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0EB3" w:rsidRDefault="009A0EB3" w:rsidP="00816E4C">
      <w:pPr>
        <w:pStyle w:val="Heading4"/>
      </w:pPr>
      <w:bookmarkStart w:id="0" w:name="_GoBack"/>
      <w:bookmarkEnd w:id="0"/>
    </w:p>
    <w:p w:rsidR="003E1929" w:rsidRDefault="003E1929" w:rsidP="003E1929">
      <w:pPr>
        <w:rPr>
          <w:lang w:val="en-IN" w:eastAsia="en-IN"/>
        </w:rPr>
      </w:pPr>
    </w:p>
    <w:p w:rsidR="003E1929" w:rsidRDefault="003E1929" w:rsidP="003E1929">
      <w:pPr>
        <w:rPr>
          <w:lang w:val="en-IN" w:eastAsia="en-IN"/>
        </w:rPr>
      </w:pPr>
    </w:p>
    <w:p w:rsidR="003E1929" w:rsidRDefault="003E1929" w:rsidP="003E1929">
      <w:pPr>
        <w:rPr>
          <w:lang w:val="en-IN" w:eastAsia="en-IN"/>
        </w:rPr>
      </w:pPr>
    </w:p>
    <w:p w:rsidR="003E1929" w:rsidRPr="003E1929" w:rsidRDefault="003E1929" w:rsidP="003E1929">
      <w:pPr>
        <w:rPr>
          <w:lang w:val="en-IN" w:eastAsia="en-IN"/>
        </w:rPr>
      </w:pPr>
    </w:p>
    <w:p w:rsidR="009A0EB3" w:rsidRPr="00C4512E" w:rsidRDefault="009A0EB3" w:rsidP="009A0EB3">
      <w:pPr>
        <w:spacing w:line="20" w:lineRule="atLeast"/>
        <w:jc w:val="center"/>
        <w:outlineLvl w:val="0"/>
        <w:rPr>
          <w:rFonts w:ascii="Garamond" w:hAnsi="Garamond"/>
          <w:b/>
          <w:color w:val="1F4E79" w:themeColor="accent1" w:themeShade="80"/>
          <w:sz w:val="144"/>
          <w:szCs w:val="144"/>
        </w:rPr>
      </w:pPr>
      <w:r w:rsidRPr="00C4512E">
        <w:rPr>
          <w:rFonts w:ascii="Garamond" w:hAnsi="Garamond"/>
          <w:b/>
          <w:color w:val="1F4E79" w:themeColor="accent1" w:themeShade="80"/>
          <w:sz w:val="144"/>
          <w:szCs w:val="144"/>
        </w:rPr>
        <w:t>SEBI</w:t>
      </w:r>
    </w:p>
    <w:p w:rsidR="009A0EB3" w:rsidRPr="00C4512E" w:rsidRDefault="009A0EB3" w:rsidP="009A0EB3">
      <w:pPr>
        <w:spacing w:line="20" w:lineRule="atLeast"/>
        <w:jc w:val="center"/>
        <w:outlineLvl w:val="0"/>
        <w:rPr>
          <w:rFonts w:ascii="Garamond" w:hAnsi="Garamond"/>
          <w:b/>
          <w:color w:val="1F4E79" w:themeColor="accent1" w:themeShade="80"/>
          <w:sz w:val="56"/>
          <w:szCs w:val="56"/>
        </w:rPr>
      </w:pPr>
      <w:r w:rsidRPr="00C4512E">
        <w:rPr>
          <w:rFonts w:ascii="Garamond" w:hAnsi="Garamond"/>
          <w:b/>
          <w:color w:val="1F4E79" w:themeColor="accent1" w:themeShade="80"/>
          <w:sz w:val="56"/>
          <w:szCs w:val="56"/>
        </w:rPr>
        <w:t>BULLETIN</w:t>
      </w: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C4512E" w:rsidRDefault="008A7497" w:rsidP="002C3645">
      <w:pPr>
        <w:spacing w:line="20" w:lineRule="atLeast"/>
        <w:jc w:val="center"/>
        <w:rPr>
          <w:rFonts w:ascii="Garamond" w:hAnsi="Garamond"/>
          <w:b/>
          <w:color w:val="1F4E79" w:themeColor="accent1" w:themeShade="80"/>
        </w:rPr>
      </w:pPr>
      <w:r>
        <w:rPr>
          <w:rFonts w:ascii="Garamond" w:hAnsi="Garamond"/>
          <w:b/>
          <w:color w:val="1F4E79" w:themeColor="accent1" w:themeShade="80"/>
        </w:rPr>
        <w:t>Novem</w:t>
      </w:r>
      <w:r w:rsidR="00065E8C" w:rsidRPr="00C4512E">
        <w:rPr>
          <w:rFonts w:ascii="Garamond" w:hAnsi="Garamond"/>
          <w:b/>
          <w:color w:val="1F4E79" w:themeColor="accent1" w:themeShade="80"/>
        </w:rPr>
        <w:t>ber</w:t>
      </w:r>
      <w:r w:rsidR="008D1E7F" w:rsidRPr="00C4512E">
        <w:rPr>
          <w:rFonts w:ascii="Garamond" w:hAnsi="Garamond"/>
          <w:b/>
          <w:color w:val="1F4E79" w:themeColor="accent1" w:themeShade="80"/>
        </w:rPr>
        <w:t xml:space="preserve"> </w:t>
      </w:r>
      <w:r w:rsidR="00074803" w:rsidRPr="00C4512E">
        <w:rPr>
          <w:rFonts w:ascii="Garamond" w:hAnsi="Garamond"/>
          <w:b/>
          <w:color w:val="1F4E79" w:themeColor="accent1" w:themeShade="80"/>
        </w:rPr>
        <w:t>2</w:t>
      </w:r>
      <w:r w:rsidR="009B7E61" w:rsidRPr="00C4512E">
        <w:rPr>
          <w:rFonts w:ascii="Garamond" w:hAnsi="Garamond"/>
          <w:b/>
          <w:color w:val="1F4E79" w:themeColor="accent1" w:themeShade="80"/>
        </w:rPr>
        <w:t>02</w:t>
      </w:r>
      <w:r w:rsidR="002361F1" w:rsidRPr="00C4512E">
        <w:rPr>
          <w:rFonts w:ascii="Garamond" w:hAnsi="Garamond"/>
          <w:b/>
          <w:color w:val="1F4E79" w:themeColor="accent1" w:themeShade="80"/>
        </w:rPr>
        <w:t>1</w:t>
      </w:r>
      <w:r w:rsidR="008E4467" w:rsidRPr="00C4512E">
        <w:rPr>
          <w:rFonts w:ascii="Garamond" w:hAnsi="Garamond"/>
          <w:b/>
          <w:color w:val="1F4E79" w:themeColor="accent1" w:themeShade="80"/>
        </w:rPr>
        <w:t xml:space="preserve">   VOL. 1</w:t>
      </w:r>
      <w:r w:rsidR="002361F1" w:rsidRPr="00C4512E">
        <w:rPr>
          <w:rFonts w:ascii="Garamond" w:hAnsi="Garamond"/>
          <w:b/>
          <w:color w:val="1F4E79" w:themeColor="accent1" w:themeShade="80"/>
        </w:rPr>
        <w:t>9</w:t>
      </w:r>
      <w:r w:rsidR="008E4467" w:rsidRPr="00C4512E">
        <w:rPr>
          <w:rFonts w:ascii="Garamond" w:hAnsi="Garamond"/>
          <w:b/>
          <w:color w:val="1F4E79" w:themeColor="accent1" w:themeShade="80"/>
        </w:rPr>
        <w:t xml:space="preserve">              </w:t>
      </w:r>
      <w:r w:rsidR="002C3645" w:rsidRPr="00C4512E">
        <w:rPr>
          <w:rFonts w:ascii="Garamond" w:hAnsi="Garamond"/>
          <w:b/>
          <w:color w:val="1F4E79" w:themeColor="accent1" w:themeShade="80"/>
        </w:rPr>
        <w:t xml:space="preserve"> </w:t>
      </w:r>
      <w:r w:rsidR="00B20597" w:rsidRPr="00C4512E">
        <w:rPr>
          <w:rFonts w:ascii="Garamond" w:hAnsi="Garamond"/>
          <w:b/>
          <w:color w:val="1F4E79" w:themeColor="accent1" w:themeShade="80"/>
        </w:rPr>
        <w:t xml:space="preserve">NUMBER </w:t>
      </w:r>
      <w:r w:rsidR="00065E8C" w:rsidRPr="00C4512E">
        <w:rPr>
          <w:rFonts w:ascii="Garamond" w:hAnsi="Garamond"/>
          <w:b/>
          <w:color w:val="1F4E79" w:themeColor="accent1" w:themeShade="80"/>
        </w:rPr>
        <w:t>1</w:t>
      </w:r>
      <w:r>
        <w:rPr>
          <w:rFonts w:ascii="Garamond" w:hAnsi="Garamond"/>
          <w:b/>
          <w:color w:val="1F4E79" w:themeColor="accent1" w:themeShade="80"/>
        </w:rPr>
        <w:t>1</w:t>
      </w: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18049A" w:rsidRPr="009A0EB3" w:rsidRDefault="0018049A"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Default="002C3645" w:rsidP="00C4512E">
      <w:pPr>
        <w:outlineLvl w:val="0"/>
        <w:rPr>
          <w:rFonts w:ascii="Palatino Linotype" w:hAnsi="Palatino Linotype" w:cs="Helvetica"/>
          <w:b/>
          <w:color w:val="000099"/>
          <w:sz w:val="22"/>
          <w:szCs w:val="22"/>
        </w:rPr>
      </w:pPr>
    </w:p>
    <w:p w:rsidR="00C4512E" w:rsidRDefault="00C4512E" w:rsidP="00C4512E">
      <w:pPr>
        <w:outlineLvl w:val="0"/>
        <w:rPr>
          <w:rFonts w:ascii="Palatino Linotype" w:hAnsi="Palatino Linotype" w:cs="Helvetica"/>
          <w:b/>
          <w:color w:val="000099"/>
          <w:sz w:val="22"/>
          <w:szCs w:val="22"/>
        </w:rPr>
      </w:pPr>
    </w:p>
    <w:p w:rsidR="008E4467" w:rsidRPr="009A0EB3" w:rsidRDefault="008E4467"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C4512E" w:rsidRDefault="002C3645" w:rsidP="002C3645">
      <w:pPr>
        <w:spacing w:line="20" w:lineRule="atLeast"/>
        <w:jc w:val="center"/>
        <w:rPr>
          <w:rFonts w:ascii="Garamond" w:hAnsi="Garamond"/>
          <w:b/>
          <w:color w:val="1F4E79" w:themeColor="accent1" w:themeShade="80"/>
          <w:sz w:val="28"/>
          <w:szCs w:val="28"/>
        </w:rPr>
      </w:pPr>
      <w:r w:rsidRPr="00C4512E">
        <w:rPr>
          <w:rFonts w:ascii="Garamond" w:hAnsi="Garamond"/>
          <w:b/>
          <w:color w:val="1F4E79" w:themeColor="accent1" w:themeShade="80"/>
          <w:sz w:val="28"/>
          <w:szCs w:val="28"/>
        </w:rPr>
        <w:lastRenderedPageBreak/>
        <w:t>SECURITIES AND EXCHANGE BOARD OF INDIA</w:t>
      </w:r>
    </w:p>
    <w:p w:rsidR="002C3645" w:rsidRPr="00C4512E" w:rsidRDefault="002C3645" w:rsidP="002C3645">
      <w:pPr>
        <w:spacing w:line="20" w:lineRule="atLeast"/>
        <w:jc w:val="both"/>
        <w:rPr>
          <w:rFonts w:ascii="Garamond" w:hAnsi="Garamond"/>
          <w:color w:val="FF0000"/>
        </w:rPr>
      </w:pPr>
    </w:p>
    <w:p w:rsidR="009A0EB3" w:rsidRPr="00C4512E" w:rsidRDefault="009A0EB3" w:rsidP="002C3645">
      <w:pPr>
        <w:spacing w:line="20" w:lineRule="atLeast"/>
        <w:rPr>
          <w:rFonts w:ascii="Garamond" w:hAnsi="Garamond"/>
          <w:b/>
        </w:rPr>
      </w:pPr>
    </w:p>
    <w:p w:rsidR="002C3645" w:rsidRPr="00C4512E" w:rsidRDefault="002C3645" w:rsidP="002C3645">
      <w:pPr>
        <w:spacing w:line="20" w:lineRule="atLeast"/>
        <w:rPr>
          <w:rFonts w:ascii="Garamond" w:hAnsi="Garamond"/>
          <w:b/>
        </w:rPr>
      </w:pPr>
      <w:r w:rsidRPr="00C4512E">
        <w:rPr>
          <w:rFonts w:ascii="Garamond" w:hAnsi="Garamond"/>
          <w:b/>
        </w:rPr>
        <w:t xml:space="preserve">EDITORIAL COMMITTEE </w:t>
      </w:r>
      <w:r w:rsidR="009A0EB3" w:rsidRPr="00C4512E">
        <w:rPr>
          <w:rFonts w:ascii="Garamond" w:hAnsi="Garamond"/>
          <w:b/>
        </w:rPr>
        <w:br/>
      </w:r>
    </w:p>
    <w:p w:rsidR="00E4439E" w:rsidRPr="00C4512E" w:rsidRDefault="00E4439E" w:rsidP="002C3645">
      <w:pPr>
        <w:spacing w:line="20" w:lineRule="atLeast"/>
        <w:jc w:val="both"/>
        <w:outlineLvl w:val="0"/>
        <w:rPr>
          <w:rFonts w:ascii="Garamond" w:hAnsi="Garamond"/>
          <w:b/>
        </w:rPr>
      </w:pPr>
      <w:r w:rsidRPr="00C4512E">
        <w:rPr>
          <w:rFonts w:ascii="Garamond" w:eastAsia="Times New Roman" w:hAnsi="Garamond"/>
          <w:b/>
        </w:rPr>
        <w:t>Shri Amarjeet Singh</w:t>
      </w:r>
      <w:r w:rsidRPr="00C4512E">
        <w:rPr>
          <w:rFonts w:ascii="Garamond" w:hAnsi="Garamond"/>
          <w:b/>
        </w:rPr>
        <w:t xml:space="preserve"> </w:t>
      </w:r>
    </w:p>
    <w:p w:rsidR="002C3645" w:rsidRPr="00C4512E" w:rsidRDefault="002C3645" w:rsidP="002C3645">
      <w:pPr>
        <w:spacing w:line="20" w:lineRule="atLeast"/>
        <w:jc w:val="both"/>
        <w:outlineLvl w:val="0"/>
        <w:rPr>
          <w:rFonts w:ascii="Garamond" w:hAnsi="Garamond"/>
          <w:b/>
        </w:rPr>
      </w:pPr>
      <w:r w:rsidRPr="00C4512E">
        <w:rPr>
          <w:rFonts w:ascii="Garamond" w:hAnsi="Garamond"/>
          <w:b/>
        </w:rPr>
        <w:t xml:space="preserve">Dr. </w:t>
      </w:r>
      <w:r w:rsidR="004A4D62" w:rsidRPr="00C4512E">
        <w:rPr>
          <w:rFonts w:ascii="Garamond" w:hAnsi="Garamond"/>
          <w:b/>
        </w:rPr>
        <w:t xml:space="preserve"> </w:t>
      </w:r>
      <w:r w:rsidRPr="00C4512E">
        <w:rPr>
          <w:rFonts w:ascii="Garamond" w:hAnsi="Garamond"/>
          <w:b/>
        </w:rPr>
        <w:t>Prabhakar R. Patil</w:t>
      </w:r>
    </w:p>
    <w:p w:rsidR="00E71481" w:rsidRPr="00C4512E" w:rsidRDefault="00E71481" w:rsidP="002C3645">
      <w:pPr>
        <w:spacing w:line="20" w:lineRule="atLeast"/>
        <w:jc w:val="both"/>
        <w:outlineLvl w:val="0"/>
        <w:rPr>
          <w:rFonts w:ascii="Garamond" w:hAnsi="Garamond"/>
          <w:b/>
        </w:rPr>
      </w:pPr>
      <w:r w:rsidRPr="00C4512E">
        <w:rPr>
          <w:rFonts w:ascii="Garamond" w:hAnsi="Garamond"/>
          <w:b/>
        </w:rPr>
        <w:t>Shri Prabhas Rath</w:t>
      </w:r>
    </w:p>
    <w:p w:rsidR="00012FAA" w:rsidRPr="00C4512E" w:rsidRDefault="00012FAA" w:rsidP="002C3645">
      <w:pPr>
        <w:spacing w:line="20" w:lineRule="atLeast"/>
        <w:jc w:val="both"/>
        <w:outlineLvl w:val="0"/>
        <w:rPr>
          <w:rFonts w:ascii="Garamond" w:hAnsi="Garamond"/>
          <w:b/>
        </w:rPr>
      </w:pPr>
      <w:r w:rsidRPr="00C4512E">
        <w:rPr>
          <w:rFonts w:ascii="Garamond" w:hAnsi="Garamond"/>
          <w:b/>
        </w:rPr>
        <w:t>Ms. Sangeeta Rathod</w:t>
      </w:r>
    </w:p>
    <w:p w:rsidR="002C3645" w:rsidRPr="00C4512E" w:rsidRDefault="002C1128" w:rsidP="002C3645">
      <w:pPr>
        <w:spacing w:line="20" w:lineRule="atLeast"/>
        <w:jc w:val="both"/>
        <w:outlineLvl w:val="0"/>
        <w:rPr>
          <w:rFonts w:ascii="Garamond" w:hAnsi="Garamond"/>
          <w:b/>
        </w:rPr>
      </w:pPr>
      <w:r w:rsidRPr="00C4512E">
        <w:rPr>
          <w:rFonts w:ascii="Garamond" w:hAnsi="Garamond"/>
          <w:b/>
        </w:rPr>
        <w:t>Ms. Deepthi L S</w:t>
      </w:r>
    </w:p>
    <w:p w:rsidR="002C3645" w:rsidRPr="00C4512E" w:rsidRDefault="00FD1851" w:rsidP="002C3645">
      <w:pPr>
        <w:spacing w:line="20" w:lineRule="atLeast"/>
        <w:jc w:val="both"/>
        <w:outlineLvl w:val="0"/>
        <w:rPr>
          <w:rFonts w:ascii="Garamond" w:hAnsi="Garamond"/>
          <w:b/>
        </w:rPr>
      </w:pPr>
      <w:r w:rsidRPr="00C4512E">
        <w:rPr>
          <w:rFonts w:ascii="Garamond" w:hAnsi="Garamond"/>
          <w:b/>
        </w:rPr>
        <w:t>Dr.</w:t>
      </w:r>
      <w:r w:rsidR="002C3645" w:rsidRPr="00C4512E">
        <w:rPr>
          <w:rFonts w:ascii="Garamond" w:hAnsi="Garamond"/>
          <w:b/>
        </w:rPr>
        <w:t xml:space="preserve"> </w:t>
      </w:r>
      <w:r w:rsidRPr="00C4512E">
        <w:rPr>
          <w:rFonts w:ascii="Garamond" w:hAnsi="Garamond"/>
          <w:b/>
        </w:rPr>
        <w:t xml:space="preserve"> Deepali Dixit</w:t>
      </w:r>
    </w:p>
    <w:p w:rsidR="002C3645" w:rsidRPr="00C4512E" w:rsidRDefault="00E71481" w:rsidP="002C3645">
      <w:pPr>
        <w:spacing w:line="20" w:lineRule="atLeast"/>
        <w:jc w:val="both"/>
        <w:outlineLvl w:val="0"/>
        <w:rPr>
          <w:rFonts w:ascii="Garamond" w:hAnsi="Garamond"/>
          <w:b/>
        </w:rPr>
      </w:pPr>
      <w:r w:rsidRPr="00C4512E">
        <w:rPr>
          <w:rFonts w:ascii="Garamond" w:hAnsi="Garamond"/>
          <w:b/>
        </w:rPr>
        <w:t>Shri</w:t>
      </w:r>
      <w:r w:rsidR="002C3645" w:rsidRPr="00C4512E">
        <w:rPr>
          <w:rFonts w:ascii="Garamond" w:hAnsi="Garamond"/>
          <w:b/>
        </w:rPr>
        <w:t xml:space="preserve"> </w:t>
      </w:r>
      <w:r w:rsidR="00FD1851" w:rsidRPr="00C4512E">
        <w:rPr>
          <w:rFonts w:ascii="Garamond" w:hAnsi="Garamond"/>
          <w:b/>
        </w:rPr>
        <w:t>Jitendra Kumar</w:t>
      </w:r>
    </w:p>
    <w:p w:rsidR="002C3645" w:rsidRPr="00C4512E" w:rsidRDefault="002C3645" w:rsidP="002C3645">
      <w:pPr>
        <w:spacing w:line="20" w:lineRule="atLeast"/>
        <w:jc w:val="both"/>
        <w:outlineLvl w:val="0"/>
        <w:rPr>
          <w:rFonts w:ascii="Garamond" w:hAnsi="Garamond"/>
          <w:b/>
        </w:rPr>
      </w:pPr>
    </w:p>
    <w:p w:rsidR="002C3645" w:rsidRPr="00C4512E" w:rsidRDefault="002C3645" w:rsidP="002C3645">
      <w:pPr>
        <w:spacing w:line="20" w:lineRule="atLeast"/>
        <w:jc w:val="both"/>
        <w:rPr>
          <w:rFonts w:ascii="Garamond" w:hAnsi="Garamond"/>
        </w:rPr>
      </w:pPr>
    </w:p>
    <w:p w:rsidR="00563987" w:rsidRPr="00C4512E" w:rsidRDefault="002C3645" w:rsidP="002C3645">
      <w:pPr>
        <w:spacing w:line="20" w:lineRule="atLeast"/>
        <w:jc w:val="both"/>
        <w:rPr>
          <w:rFonts w:ascii="Garamond" w:hAnsi="Garamond"/>
          <w:bCs/>
        </w:rPr>
      </w:pPr>
      <w:r w:rsidRPr="00C4512E">
        <w:rPr>
          <w:rFonts w:ascii="Garamond" w:hAnsi="Garamond"/>
        </w:rPr>
        <w:t xml:space="preserve">The </w:t>
      </w:r>
      <w:r w:rsidR="00E77B3E" w:rsidRPr="00C4512E">
        <w:rPr>
          <w:rFonts w:ascii="Garamond" w:hAnsi="Garamond"/>
        </w:rPr>
        <w:t xml:space="preserve">SEBI Monthly </w:t>
      </w:r>
      <w:r w:rsidRPr="00C4512E">
        <w:rPr>
          <w:rFonts w:ascii="Garamond" w:hAnsi="Garamond"/>
        </w:rPr>
        <w:t xml:space="preserve">Bulletin is issued by the Department of Economic and Policy Analysis, Securities and Exchange Board of India under the direction of </w:t>
      </w:r>
      <w:r w:rsidR="00563987" w:rsidRPr="00C4512E">
        <w:rPr>
          <w:rFonts w:ascii="Garamond" w:hAnsi="Garamond"/>
        </w:rPr>
        <w:t>the</w:t>
      </w:r>
      <w:r w:rsidRPr="00C4512E">
        <w:rPr>
          <w:rFonts w:ascii="Garamond" w:hAnsi="Garamond"/>
        </w:rPr>
        <w:t xml:space="preserve"> Editorial Committee. SEBI is not responsible for accuracy of data/information/interpretations and opinions expressed in the case of signed articles/speeches as authors are responsible for their personal views. SEBI has no objection to the material published herein being reproduced, provided an acknowledgement of the same is made.</w:t>
      </w:r>
      <w:r w:rsidRPr="00C4512E">
        <w:rPr>
          <w:rFonts w:ascii="Garamond" w:hAnsi="Garamond"/>
          <w:bCs/>
        </w:rPr>
        <w:t xml:space="preserve"> </w:t>
      </w:r>
      <w:r w:rsidR="00E71481" w:rsidRPr="00C4512E">
        <w:rPr>
          <w:rFonts w:ascii="Garamond" w:hAnsi="Garamond"/>
          <w:bCs/>
        </w:rPr>
        <w:t xml:space="preserve"> </w:t>
      </w:r>
    </w:p>
    <w:p w:rsidR="00563987" w:rsidRPr="00C4512E" w:rsidRDefault="00563987" w:rsidP="002C3645">
      <w:pPr>
        <w:spacing w:line="20" w:lineRule="atLeast"/>
        <w:jc w:val="both"/>
        <w:rPr>
          <w:rFonts w:ascii="Garamond" w:hAnsi="Garamond"/>
          <w:bCs/>
        </w:rPr>
      </w:pPr>
    </w:p>
    <w:p w:rsidR="00563987" w:rsidRPr="00C4512E" w:rsidRDefault="00563987" w:rsidP="00545C71">
      <w:pPr>
        <w:spacing w:line="20" w:lineRule="atLeast"/>
        <w:jc w:val="both"/>
        <w:rPr>
          <w:rFonts w:ascii="Garamond" w:hAnsi="Garamond"/>
          <w:bCs/>
        </w:rPr>
      </w:pPr>
      <w:r w:rsidRPr="00C4512E">
        <w:rPr>
          <w:rFonts w:ascii="Garamond" w:hAnsi="Garamond"/>
          <w:bCs/>
        </w:rPr>
        <w:t>The soft</w:t>
      </w:r>
      <w:r w:rsidR="00E71481" w:rsidRPr="00C4512E">
        <w:rPr>
          <w:rFonts w:ascii="Garamond" w:hAnsi="Garamond"/>
          <w:bCs/>
        </w:rPr>
        <w:t xml:space="preserve"> copy of SEBI Bulletin </w:t>
      </w:r>
      <w:r w:rsidRPr="00C4512E">
        <w:rPr>
          <w:rFonts w:ascii="Garamond" w:hAnsi="Garamond"/>
          <w:bCs/>
        </w:rPr>
        <w:t xml:space="preserve">in PDF, Word and Excel formats </w:t>
      </w:r>
      <w:r w:rsidR="00E77B3E" w:rsidRPr="00C4512E">
        <w:rPr>
          <w:rFonts w:ascii="Garamond" w:hAnsi="Garamond"/>
          <w:bCs/>
        </w:rPr>
        <w:t xml:space="preserve">can be freely downloaded from the publications link under Reports and Statistics </w:t>
      </w:r>
      <w:r w:rsidRPr="00C4512E">
        <w:rPr>
          <w:rFonts w:ascii="Garamond" w:hAnsi="Garamond"/>
          <w:bCs/>
        </w:rPr>
        <w:t>s</w:t>
      </w:r>
      <w:r w:rsidR="00E77B3E" w:rsidRPr="00C4512E">
        <w:rPr>
          <w:rFonts w:ascii="Garamond" w:hAnsi="Garamond"/>
          <w:bCs/>
        </w:rPr>
        <w:t>ection in SEBI website</w:t>
      </w:r>
      <w:r w:rsidR="00E77B3E" w:rsidRPr="00C4512E">
        <w:rPr>
          <w:rFonts w:ascii="Garamond" w:hAnsi="Garamond"/>
        </w:rPr>
        <w:t xml:space="preserve"> (</w:t>
      </w:r>
      <w:hyperlink r:id="rId15" w:history="1">
        <w:r w:rsidR="00B522A6" w:rsidRPr="00C4512E">
          <w:rPr>
            <w:rStyle w:val="Hyperlink"/>
            <w:rFonts w:ascii="Garamond" w:hAnsi="Garamond"/>
            <w:bCs/>
          </w:rPr>
          <w:t>https://www.sebi.gov.in/reports-and-statistics.html</w:t>
        </w:r>
      </w:hyperlink>
      <w:r w:rsidR="00E77B3E" w:rsidRPr="00C4512E">
        <w:rPr>
          <w:rFonts w:ascii="Garamond" w:hAnsi="Garamond"/>
          <w:bCs/>
        </w:rPr>
        <w:t>)</w:t>
      </w:r>
      <w:r w:rsidRPr="00C4512E">
        <w:rPr>
          <w:rFonts w:ascii="Garamond" w:hAnsi="Garamond"/>
          <w:bCs/>
        </w:rPr>
        <w:t>.</w:t>
      </w:r>
      <w:r w:rsidR="00E77B3E" w:rsidRPr="00C4512E">
        <w:rPr>
          <w:rFonts w:ascii="Garamond" w:hAnsi="Garamond"/>
          <w:bCs/>
        </w:rPr>
        <w:t xml:space="preserve"> </w:t>
      </w:r>
    </w:p>
    <w:p w:rsidR="00563987" w:rsidRPr="00C4512E" w:rsidRDefault="00563987" w:rsidP="00545C71">
      <w:pPr>
        <w:spacing w:line="20" w:lineRule="atLeast"/>
        <w:jc w:val="both"/>
        <w:rPr>
          <w:rFonts w:ascii="Garamond" w:hAnsi="Garamond"/>
          <w:bCs/>
        </w:rPr>
      </w:pPr>
    </w:p>
    <w:p w:rsidR="00563987" w:rsidRPr="00C4512E" w:rsidRDefault="002C3645" w:rsidP="00545C71">
      <w:pPr>
        <w:spacing w:line="20" w:lineRule="atLeast"/>
        <w:jc w:val="both"/>
        <w:rPr>
          <w:rFonts w:ascii="Garamond" w:hAnsi="Garamond"/>
        </w:rPr>
      </w:pPr>
      <w:r w:rsidRPr="00C4512E">
        <w:rPr>
          <w:rFonts w:ascii="Garamond" w:hAnsi="Garamond"/>
          <w:bCs/>
        </w:rPr>
        <w:t xml:space="preserve">Any comments and suggestions on any of the features/sections may be sent to </w:t>
      </w:r>
      <w:r w:rsidR="00563987" w:rsidRPr="00C4512E">
        <w:rPr>
          <w:rFonts w:ascii="Garamond" w:hAnsi="Garamond"/>
          <w:bCs/>
        </w:rPr>
        <w:t xml:space="preserve">the email id: </w:t>
      </w:r>
    </w:p>
    <w:p w:rsidR="00563987" w:rsidRPr="00C4512E" w:rsidRDefault="00871DB4" w:rsidP="00545C71">
      <w:pPr>
        <w:spacing w:line="20" w:lineRule="atLeast"/>
        <w:jc w:val="both"/>
        <w:rPr>
          <w:rFonts w:ascii="Garamond" w:hAnsi="Garamond"/>
        </w:rPr>
      </w:pPr>
      <w:hyperlink r:id="rId16" w:history="1">
        <w:r w:rsidR="00563987" w:rsidRPr="00C4512E">
          <w:rPr>
            <w:rStyle w:val="Hyperlink"/>
            <w:rFonts w:ascii="Garamond" w:hAnsi="Garamond"/>
          </w:rPr>
          <w:t>bulletin@sebi.gov.in</w:t>
        </w:r>
      </w:hyperlink>
    </w:p>
    <w:p w:rsidR="00563987" w:rsidRPr="00C4512E" w:rsidRDefault="00563987" w:rsidP="00545C71">
      <w:pPr>
        <w:spacing w:line="20" w:lineRule="atLeast"/>
        <w:jc w:val="both"/>
        <w:rPr>
          <w:rFonts w:ascii="Garamond" w:hAnsi="Garamond"/>
        </w:rPr>
      </w:pPr>
    </w:p>
    <w:p w:rsidR="00563987" w:rsidRPr="009A0EB3" w:rsidRDefault="00563987" w:rsidP="002C3645">
      <w:pPr>
        <w:spacing w:line="20" w:lineRule="atLeast"/>
        <w:jc w:val="both"/>
        <w:rPr>
          <w:rFonts w:ascii="Palatino Linotype" w:hAnsi="Palatino Linotype"/>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EB52C5" w:rsidRDefault="00EB52C5" w:rsidP="00B84DDC">
      <w:pPr>
        <w:outlineLvl w:val="0"/>
        <w:rPr>
          <w:rFonts w:ascii="Palatino Linotype" w:hAnsi="Palatino Linotype" w:cs="Helvetica"/>
          <w:b/>
          <w:color w:val="000099"/>
          <w:sz w:val="22"/>
          <w:szCs w:val="22"/>
        </w:rPr>
      </w:pPr>
    </w:p>
    <w:p w:rsidR="00B84DDC" w:rsidRPr="009A0EB3" w:rsidRDefault="00B84DDC" w:rsidP="00B84DDC">
      <w:pP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C4512E" w:rsidRDefault="00C4512E" w:rsidP="00B25DA6">
      <w:pPr>
        <w:jc w:val="center"/>
        <w:outlineLvl w:val="0"/>
        <w:rPr>
          <w:rFonts w:ascii="Palatino Linotype" w:hAnsi="Palatino Linotype" w:cs="Helvetica"/>
          <w:b/>
          <w:color w:val="000099"/>
          <w:sz w:val="22"/>
          <w:szCs w:val="22"/>
        </w:rPr>
      </w:pPr>
    </w:p>
    <w:p w:rsidR="00C4512E" w:rsidRPr="009A0EB3" w:rsidRDefault="00C4512E" w:rsidP="00B25DA6">
      <w:pPr>
        <w:jc w:val="center"/>
        <w:outlineLvl w:val="0"/>
        <w:rPr>
          <w:rFonts w:ascii="Palatino Linotype" w:hAnsi="Palatino Linotype" w:cs="Helvetica"/>
          <w:b/>
          <w:color w:val="000099"/>
          <w:sz w:val="22"/>
          <w:szCs w:val="22"/>
        </w:rPr>
      </w:pPr>
    </w:p>
    <w:p w:rsidR="00C4512E" w:rsidRDefault="00C4512E" w:rsidP="002C3645">
      <w:pPr>
        <w:spacing w:line="20" w:lineRule="atLeast"/>
        <w:jc w:val="center"/>
        <w:rPr>
          <w:rFonts w:ascii="Palatino Linotype" w:hAnsi="Palatino Linotype"/>
          <w:b/>
          <w:color w:val="632423"/>
          <w:sz w:val="22"/>
          <w:szCs w:val="22"/>
        </w:rPr>
      </w:pPr>
    </w:p>
    <w:p w:rsidR="002C3645" w:rsidRPr="00C4512E" w:rsidRDefault="002C3645" w:rsidP="002C3645">
      <w:pPr>
        <w:spacing w:line="20" w:lineRule="atLeast"/>
        <w:jc w:val="center"/>
        <w:rPr>
          <w:rFonts w:ascii="Garamond" w:hAnsi="Garamond"/>
          <w:b/>
          <w:color w:val="1F4E79" w:themeColor="accent1" w:themeShade="80"/>
          <w:sz w:val="28"/>
          <w:szCs w:val="28"/>
        </w:rPr>
      </w:pPr>
      <w:r w:rsidRPr="00C4512E">
        <w:rPr>
          <w:rFonts w:ascii="Garamond" w:hAnsi="Garamond"/>
          <w:b/>
          <w:color w:val="1F4E79" w:themeColor="accent1" w:themeShade="80"/>
          <w:sz w:val="28"/>
          <w:szCs w:val="28"/>
        </w:rPr>
        <w:lastRenderedPageBreak/>
        <w:t>CONTENTS</w:t>
      </w:r>
    </w:p>
    <w:p w:rsidR="002C3645" w:rsidRPr="00C4512E" w:rsidRDefault="002C3645" w:rsidP="002C3645">
      <w:pPr>
        <w:spacing w:line="20" w:lineRule="atLeast"/>
        <w:jc w:val="both"/>
        <w:rPr>
          <w:rFonts w:ascii="Garamond" w:hAnsi="Garamond"/>
          <w:b/>
          <w:color w:val="0000FF"/>
        </w:rPr>
      </w:pPr>
    </w:p>
    <w:p w:rsidR="002C3645" w:rsidRPr="00C4512E" w:rsidRDefault="002C3645" w:rsidP="002C3645">
      <w:pPr>
        <w:spacing w:line="20" w:lineRule="atLeast"/>
        <w:jc w:val="both"/>
        <w:rPr>
          <w:rFonts w:ascii="Garamond" w:hAnsi="Garamond"/>
          <w:b/>
          <w:color w:val="0000FF"/>
        </w:rPr>
      </w:pPr>
    </w:p>
    <w:p w:rsidR="002C1136" w:rsidRDefault="00D73337" w:rsidP="00A36146">
      <w:pPr>
        <w:spacing w:line="20" w:lineRule="atLeast"/>
        <w:jc w:val="both"/>
        <w:rPr>
          <w:rFonts w:ascii="Garamond" w:hAnsi="Garamond"/>
          <w:b/>
          <w:color w:val="1F4E79" w:themeColor="accent1" w:themeShade="80"/>
        </w:rPr>
      </w:pPr>
      <w:r w:rsidRPr="003B0112">
        <w:rPr>
          <w:rFonts w:ascii="Garamond" w:hAnsi="Garamond"/>
          <w:b/>
          <w:color w:val="1F4E79" w:themeColor="accent1" w:themeShade="80"/>
        </w:rPr>
        <w:t>CHAIRMAN’S SPEECH</w:t>
      </w:r>
    </w:p>
    <w:p w:rsidR="00DC34EF" w:rsidRDefault="00DC34EF" w:rsidP="00A36146">
      <w:pPr>
        <w:spacing w:line="20" w:lineRule="atLeast"/>
        <w:jc w:val="both"/>
        <w:rPr>
          <w:rFonts w:ascii="Garamond" w:hAnsi="Garamond"/>
          <w:b/>
          <w:color w:val="1F4E79" w:themeColor="accent1" w:themeShade="80"/>
        </w:rPr>
      </w:pPr>
    </w:p>
    <w:p w:rsidR="00DC34EF" w:rsidRPr="003B0112" w:rsidRDefault="00DC34EF" w:rsidP="00A36146">
      <w:pPr>
        <w:spacing w:line="20" w:lineRule="atLeast"/>
        <w:jc w:val="both"/>
        <w:rPr>
          <w:rFonts w:ascii="Garamond" w:hAnsi="Garamond"/>
          <w:b/>
          <w:color w:val="1F4E79" w:themeColor="accent1" w:themeShade="80"/>
        </w:rPr>
      </w:pPr>
      <w:r>
        <w:rPr>
          <w:rFonts w:ascii="Garamond" w:hAnsi="Garamond"/>
          <w:b/>
          <w:color w:val="1F4E79" w:themeColor="accent1" w:themeShade="80"/>
        </w:rPr>
        <w:t>REPORT ON UNCLAIMED ASSETS OF INVESTORS IN SECURITIES MARKETS</w:t>
      </w:r>
    </w:p>
    <w:p w:rsidR="00D73337" w:rsidRPr="003B0112" w:rsidRDefault="00D73337" w:rsidP="00F81232">
      <w:pPr>
        <w:spacing w:line="20" w:lineRule="atLeast"/>
        <w:jc w:val="both"/>
        <w:rPr>
          <w:rFonts w:ascii="Garamond" w:hAnsi="Garamond"/>
          <w:b/>
          <w:color w:val="1F4E79" w:themeColor="accent1" w:themeShade="80"/>
        </w:rPr>
      </w:pPr>
    </w:p>
    <w:p w:rsidR="002C3645" w:rsidRPr="003B0112" w:rsidRDefault="002C3645" w:rsidP="00F81232">
      <w:pPr>
        <w:spacing w:line="20" w:lineRule="atLeast"/>
        <w:jc w:val="both"/>
        <w:rPr>
          <w:rFonts w:ascii="Garamond" w:hAnsi="Garamond"/>
          <w:b/>
          <w:color w:val="1F4E79" w:themeColor="accent1" w:themeShade="80"/>
        </w:rPr>
      </w:pPr>
      <w:r w:rsidRPr="003B0112">
        <w:rPr>
          <w:rFonts w:ascii="Garamond" w:hAnsi="Garamond"/>
          <w:b/>
          <w:color w:val="1F4E79" w:themeColor="accent1" w:themeShade="80"/>
        </w:rPr>
        <w:t>CAPITAL MARKET REVIEW</w:t>
      </w:r>
    </w:p>
    <w:p w:rsidR="002C3645" w:rsidRPr="003B0112" w:rsidRDefault="002C3645" w:rsidP="002C3645">
      <w:pPr>
        <w:spacing w:line="20" w:lineRule="atLeast"/>
        <w:jc w:val="both"/>
        <w:rPr>
          <w:rFonts w:ascii="Garamond" w:hAnsi="Garamond"/>
          <w:b/>
          <w:color w:val="1F4E79" w:themeColor="accent1" w:themeShade="80"/>
        </w:rPr>
      </w:pPr>
    </w:p>
    <w:p w:rsidR="002C3645" w:rsidRPr="003B0112" w:rsidRDefault="002C3645" w:rsidP="002C3645">
      <w:pPr>
        <w:spacing w:line="20" w:lineRule="atLeast"/>
        <w:jc w:val="both"/>
        <w:rPr>
          <w:rFonts w:ascii="Garamond" w:hAnsi="Garamond"/>
          <w:b/>
          <w:color w:val="1F4E79" w:themeColor="accent1" w:themeShade="80"/>
        </w:rPr>
      </w:pPr>
      <w:r w:rsidRPr="003B0112">
        <w:rPr>
          <w:rFonts w:ascii="Garamond" w:hAnsi="Garamond"/>
          <w:b/>
          <w:color w:val="1F4E79" w:themeColor="accent1" w:themeShade="80"/>
        </w:rPr>
        <w:t>REVIEW OF GLOBAL FINANCIAL MARKETS</w:t>
      </w:r>
    </w:p>
    <w:p w:rsidR="002C3645" w:rsidRPr="003B0112" w:rsidRDefault="002C3645" w:rsidP="002C3645">
      <w:pPr>
        <w:spacing w:line="20" w:lineRule="atLeast"/>
        <w:jc w:val="both"/>
        <w:rPr>
          <w:rFonts w:ascii="Garamond" w:hAnsi="Garamond"/>
          <w:b/>
          <w:color w:val="1F4E79" w:themeColor="accent1" w:themeShade="80"/>
        </w:rPr>
      </w:pPr>
    </w:p>
    <w:p w:rsidR="002C3645" w:rsidRPr="003B0112" w:rsidRDefault="002C3645" w:rsidP="002C3645">
      <w:pPr>
        <w:spacing w:line="20" w:lineRule="atLeast"/>
        <w:jc w:val="both"/>
        <w:rPr>
          <w:rFonts w:ascii="Garamond" w:hAnsi="Garamond"/>
          <w:b/>
          <w:color w:val="1F4E79" w:themeColor="accent1" w:themeShade="80"/>
        </w:rPr>
      </w:pPr>
      <w:r w:rsidRPr="003B0112">
        <w:rPr>
          <w:rFonts w:ascii="Garamond" w:hAnsi="Garamond"/>
          <w:b/>
          <w:color w:val="1F4E79" w:themeColor="accent1" w:themeShade="80"/>
        </w:rPr>
        <w:t>HIGHLIGHTS OF DEVELOPMENTS IN INTERNATIONAL SECURITIES MARKET</w:t>
      </w:r>
    </w:p>
    <w:p w:rsidR="002C3645" w:rsidRPr="003B0112" w:rsidRDefault="002C3645" w:rsidP="002C3645">
      <w:pPr>
        <w:spacing w:line="20" w:lineRule="atLeast"/>
        <w:jc w:val="both"/>
        <w:rPr>
          <w:rFonts w:ascii="Garamond" w:hAnsi="Garamond"/>
          <w:b/>
          <w:color w:val="1F4E79" w:themeColor="accent1" w:themeShade="80"/>
        </w:rPr>
      </w:pPr>
    </w:p>
    <w:p w:rsidR="002C3645" w:rsidRPr="003B0112" w:rsidRDefault="002C3645" w:rsidP="002C3645">
      <w:pPr>
        <w:spacing w:line="20" w:lineRule="atLeast"/>
        <w:jc w:val="both"/>
        <w:rPr>
          <w:rFonts w:ascii="Garamond" w:hAnsi="Garamond"/>
          <w:b/>
          <w:color w:val="1F4E79" w:themeColor="accent1" w:themeShade="80"/>
        </w:rPr>
      </w:pPr>
      <w:r w:rsidRPr="003B0112">
        <w:rPr>
          <w:rFonts w:ascii="Garamond" w:hAnsi="Garamond"/>
          <w:b/>
          <w:color w:val="1F4E79" w:themeColor="accent1" w:themeShade="80"/>
        </w:rPr>
        <w:t xml:space="preserve">POLICY DEVELOPMENTS </w:t>
      </w:r>
      <w:r w:rsidR="00B522A6" w:rsidRPr="003B0112">
        <w:rPr>
          <w:rFonts w:ascii="Garamond" w:hAnsi="Garamond"/>
          <w:b/>
          <w:color w:val="1F4E79" w:themeColor="accent1" w:themeShade="80"/>
        </w:rPr>
        <w:t>IN INDIAN SECURITIES MARKET</w:t>
      </w:r>
    </w:p>
    <w:p w:rsidR="002C3645" w:rsidRPr="003B0112" w:rsidRDefault="002C3645" w:rsidP="002C3645">
      <w:pPr>
        <w:spacing w:line="20" w:lineRule="atLeast"/>
        <w:jc w:val="both"/>
        <w:rPr>
          <w:rFonts w:ascii="Garamond" w:hAnsi="Garamond"/>
          <w:b/>
          <w:color w:val="1F4E79" w:themeColor="accent1" w:themeShade="80"/>
        </w:rPr>
      </w:pPr>
    </w:p>
    <w:p w:rsidR="002C3645" w:rsidRPr="003B0112" w:rsidRDefault="002C3645" w:rsidP="002C3645">
      <w:pPr>
        <w:spacing w:line="20" w:lineRule="atLeast"/>
        <w:jc w:val="both"/>
        <w:rPr>
          <w:rFonts w:ascii="Garamond" w:hAnsi="Garamond"/>
          <w:b/>
          <w:color w:val="1F4E79" w:themeColor="accent1" w:themeShade="80"/>
        </w:rPr>
      </w:pPr>
      <w:r w:rsidRPr="003B0112">
        <w:rPr>
          <w:rFonts w:ascii="Garamond" w:hAnsi="Garamond"/>
          <w:b/>
          <w:color w:val="1F4E79" w:themeColor="accent1" w:themeShade="80"/>
        </w:rPr>
        <w:t xml:space="preserve">REGULATORY ACTIONS TAKEN BY SEBI </w:t>
      </w:r>
    </w:p>
    <w:p w:rsidR="002C3645" w:rsidRPr="003B0112" w:rsidRDefault="002C3645" w:rsidP="002C3645">
      <w:pPr>
        <w:spacing w:line="20" w:lineRule="atLeast"/>
        <w:jc w:val="both"/>
        <w:rPr>
          <w:rFonts w:ascii="Garamond" w:hAnsi="Garamond"/>
          <w:b/>
          <w:color w:val="1F4E79" w:themeColor="accent1" w:themeShade="80"/>
        </w:rPr>
      </w:pPr>
    </w:p>
    <w:p w:rsidR="002C3645" w:rsidRPr="003B0112" w:rsidRDefault="00B522A6" w:rsidP="002C3645">
      <w:pPr>
        <w:spacing w:line="20" w:lineRule="atLeast"/>
        <w:jc w:val="both"/>
        <w:rPr>
          <w:rFonts w:ascii="Garamond" w:hAnsi="Garamond"/>
          <w:b/>
          <w:color w:val="1F4E79" w:themeColor="accent1" w:themeShade="80"/>
        </w:rPr>
      </w:pPr>
      <w:r w:rsidRPr="003B0112">
        <w:rPr>
          <w:rFonts w:ascii="Garamond" w:hAnsi="Garamond"/>
          <w:b/>
          <w:color w:val="1F4E79" w:themeColor="accent1" w:themeShade="80"/>
        </w:rPr>
        <w:t>CURRENT STATISTICS</w:t>
      </w:r>
    </w:p>
    <w:p w:rsidR="00C4512E" w:rsidRPr="003B0112" w:rsidRDefault="00C4512E" w:rsidP="002C3645">
      <w:pPr>
        <w:spacing w:line="20" w:lineRule="atLeast"/>
        <w:jc w:val="both"/>
        <w:rPr>
          <w:rFonts w:ascii="Garamond" w:hAnsi="Garamond"/>
          <w:b/>
          <w:color w:val="1F4E79" w:themeColor="accent1" w:themeShade="80"/>
        </w:rPr>
      </w:pPr>
    </w:p>
    <w:p w:rsidR="00C4512E" w:rsidRPr="00C4512E" w:rsidRDefault="00C4512E" w:rsidP="002C3645">
      <w:pPr>
        <w:spacing w:line="20" w:lineRule="atLeast"/>
        <w:jc w:val="both"/>
        <w:rPr>
          <w:rFonts w:ascii="Garamond" w:hAnsi="Garamond"/>
          <w:b/>
          <w:color w:val="1F4E79" w:themeColor="accent1" w:themeShade="80"/>
        </w:rPr>
      </w:pPr>
      <w:r w:rsidRPr="003B0112">
        <w:rPr>
          <w:rFonts w:ascii="Garamond" w:hAnsi="Garamond"/>
          <w:b/>
          <w:color w:val="1F4E79" w:themeColor="accent1" w:themeShade="80"/>
        </w:rPr>
        <w:t>LATEST PUBLICATIONS</w:t>
      </w:r>
    </w:p>
    <w:p w:rsidR="002C3645" w:rsidRPr="00C4512E" w:rsidRDefault="002C3645" w:rsidP="002C3645">
      <w:pPr>
        <w:spacing w:line="20" w:lineRule="atLeast"/>
        <w:jc w:val="both"/>
        <w:rPr>
          <w:rFonts w:ascii="Palatino Linotype" w:hAnsi="Palatino Linotype"/>
          <w:b/>
          <w:color w:val="1F4E79" w:themeColor="accent1" w:themeShade="80"/>
          <w:sz w:val="22"/>
          <w:szCs w:val="22"/>
        </w:rPr>
      </w:pPr>
    </w:p>
    <w:p w:rsidR="002C3645" w:rsidRPr="009A0EB3" w:rsidRDefault="002C3645" w:rsidP="002C3645">
      <w:pPr>
        <w:spacing w:line="20" w:lineRule="atLeast"/>
        <w:jc w:val="both"/>
        <w:rPr>
          <w:rFonts w:ascii="Palatino Linotype" w:hAnsi="Palatino Linotype"/>
          <w:b/>
          <w:color w:val="0000FF"/>
          <w:sz w:val="22"/>
          <w:szCs w:val="22"/>
        </w:rPr>
      </w:pPr>
    </w:p>
    <w:p w:rsidR="002C3645" w:rsidRDefault="002C3645"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C4512E" w:rsidRDefault="00C4512E" w:rsidP="00B25DA6">
      <w:pPr>
        <w:jc w:val="center"/>
        <w:outlineLvl w:val="0"/>
        <w:rPr>
          <w:rFonts w:ascii="Palatino Linotype" w:hAnsi="Palatino Linotype" w:cs="Helvetica"/>
          <w:b/>
          <w:color w:val="000099"/>
          <w:sz w:val="22"/>
          <w:szCs w:val="22"/>
        </w:rPr>
      </w:pPr>
    </w:p>
    <w:p w:rsidR="00C4512E" w:rsidRDefault="00C4512E" w:rsidP="00B25DA6">
      <w:pPr>
        <w:jc w:val="center"/>
        <w:outlineLvl w:val="0"/>
        <w:rPr>
          <w:rFonts w:ascii="Palatino Linotype" w:hAnsi="Palatino Linotype" w:cs="Helvetica"/>
          <w:b/>
          <w:color w:val="000099"/>
          <w:sz w:val="22"/>
          <w:szCs w:val="22"/>
        </w:rPr>
      </w:pPr>
    </w:p>
    <w:p w:rsidR="00C4512E" w:rsidRDefault="00C4512E" w:rsidP="00B25DA6">
      <w:pPr>
        <w:jc w:val="center"/>
        <w:outlineLvl w:val="0"/>
        <w:rPr>
          <w:rFonts w:ascii="Palatino Linotype" w:hAnsi="Palatino Linotype" w:cs="Helvetica"/>
          <w:b/>
          <w:color w:val="000099"/>
          <w:sz w:val="22"/>
          <w:szCs w:val="22"/>
        </w:rPr>
      </w:pPr>
    </w:p>
    <w:p w:rsidR="00C4512E" w:rsidRDefault="00C4512E" w:rsidP="00B25DA6">
      <w:pPr>
        <w:jc w:val="center"/>
        <w:outlineLvl w:val="0"/>
        <w:rPr>
          <w:rFonts w:ascii="Palatino Linotype" w:hAnsi="Palatino Linotype" w:cs="Helvetica"/>
          <w:b/>
          <w:color w:val="000099"/>
          <w:sz w:val="22"/>
          <w:szCs w:val="22"/>
        </w:rPr>
      </w:pPr>
    </w:p>
    <w:p w:rsidR="00563987" w:rsidRDefault="00563987" w:rsidP="00563987">
      <w:pPr>
        <w:shd w:val="clear" w:color="auto" w:fill="FFFFFF"/>
        <w:rPr>
          <w:rFonts w:ascii="Palatino Linotype" w:hAnsi="Palatino Linotype" w:cs="Helvetica"/>
          <w:b/>
          <w:color w:val="000099"/>
          <w:sz w:val="22"/>
          <w:szCs w:val="22"/>
        </w:rPr>
      </w:pPr>
    </w:p>
    <w:p w:rsidR="00563987" w:rsidRPr="00563987" w:rsidRDefault="00563987" w:rsidP="00C30349">
      <w:pPr>
        <w:shd w:val="clear" w:color="auto" w:fill="FFFFFF"/>
        <w:jc w:val="center"/>
        <w:rPr>
          <w:rFonts w:ascii="Garamond" w:eastAsia="Times New Roman" w:hAnsi="Garamond" w:cs="Arial"/>
          <w:b/>
          <w:bCs/>
          <w:color w:val="1F4E79" w:themeColor="accent1" w:themeShade="80"/>
          <w:sz w:val="28"/>
          <w:szCs w:val="28"/>
          <w:lang w:val="en-US" w:bidi="hi-IN"/>
        </w:rPr>
      </w:pPr>
      <w:r w:rsidRPr="00563987">
        <w:rPr>
          <w:rFonts w:ascii="Garamond" w:eastAsia="Times New Roman" w:hAnsi="Garamond" w:cs="Arial"/>
          <w:b/>
          <w:bCs/>
          <w:color w:val="1F4E79" w:themeColor="accent1" w:themeShade="80"/>
          <w:sz w:val="28"/>
          <w:szCs w:val="28"/>
          <w:lang w:val="en-US" w:bidi="hi-IN"/>
        </w:rPr>
        <w:t>SPEECH</w:t>
      </w:r>
    </w:p>
    <w:p w:rsidR="00563987" w:rsidRDefault="00563987" w:rsidP="00563987">
      <w:pPr>
        <w:shd w:val="clear" w:color="auto" w:fill="FFFFFF"/>
        <w:jc w:val="right"/>
        <w:rPr>
          <w:rFonts w:ascii="Garamond" w:eastAsia="Times New Roman" w:hAnsi="Garamond" w:cs="Arial"/>
          <w:b/>
          <w:bCs/>
          <w:color w:val="1F4E79" w:themeColor="accent1" w:themeShade="80"/>
          <w:lang w:val="en-US" w:bidi="hi-IN"/>
        </w:rPr>
      </w:pPr>
    </w:p>
    <w:p w:rsidR="00D0348E" w:rsidRDefault="00D0348E" w:rsidP="00563987">
      <w:pPr>
        <w:shd w:val="clear" w:color="auto" w:fill="FFFFFF"/>
        <w:jc w:val="right"/>
        <w:rPr>
          <w:rFonts w:ascii="Garamond" w:eastAsia="Times New Roman" w:hAnsi="Garamond" w:cs="Arial"/>
          <w:b/>
          <w:bCs/>
          <w:color w:val="1F4E79" w:themeColor="accent1" w:themeShade="80"/>
          <w:lang w:val="en-US" w:bidi="hi-IN"/>
        </w:rPr>
      </w:pPr>
    </w:p>
    <w:p w:rsidR="00DB4416" w:rsidRPr="00DB4416" w:rsidRDefault="00563987" w:rsidP="00563987">
      <w:pPr>
        <w:shd w:val="clear" w:color="auto" w:fill="FFFFFF"/>
        <w:jc w:val="right"/>
        <w:rPr>
          <w:rFonts w:ascii="Garamond" w:hAnsi="Garamond" w:cs="Helvetica"/>
          <w:b/>
          <w:color w:val="000099"/>
        </w:rPr>
      </w:pPr>
      <w:r w:rsidRPr="00E97268">
        <w:rPr>
          <w:rFonts w:ascii="Garamond" w:eastAsia="Times New Roman" w:hAnsi="Garamond" w:cs="Arial"/>
          <w:b/>
          <w:bCs/>
          <w:color w:val="1F4E79" w:themeColor="accent1" w:themeShade="80"/>
          <w:lang w:val="en-US" w:bidi="hi-IN"/>
        </w:rPr>
        <w:t>Shri Ajay Tyagi, Chairman, SEBI</w:t>
      </w:r>
      <w:r>
        <w:rPr>
          <w:rStyle w:val="FootnoteReference"/>
          <w:rFonts w:ascii="Garamond" w:eastAsia="Times New Roman" w:hAnsi="Garamond" w:cs="Arial"/>
          <w:b/>
          <w:bCs/>
          <w:color w:val="1F4E79" w:themeColor="accent1" w:themeShade="80"/>
          <w:lang w:val="en-US" w:bidi="hi-IN"/>
        </w:rPr>
        <w:footnoteReference w:id="1"/>
      </w:r>
    </w:p>
    <w:p w:rsidR="00611DA1" w:rsidRPr="00DB4416" w:rsidRDefault="00611DA1" w:rsidP="00E51198">
      <w:pPr>
        <w:jc w:val="center"/>
        <w:rPr>
          <w:rFonts w:ascii="Garamond" w:hAnsi="Garamond" w:cs="Arial"/>
          <w:b/>
          <w:lang w:val="en-IN"/>
        </w:rPr>
      </w:pPr>
    </w:p>
    <w:p w:rsidR="00C30349" w:rsidRDefault="00C30349" w:rsidP="00B84DDC">
      <w:pPr>
        <w:rPr>
          <w:rFonts w:ascii="Garamond" w:hAnsi="Garamond" w:cs="Arial"/>
          <w:bCs/>
        </w:rPr>
      </w:pPr>
      <w:r w:rsidRPr="00C30349">
        <w:rPr>
          <w:rFonts w:ascii="Garamond" w:hAnsi="Garamond" w:cs="Arial"/>
          <w:bCs/>
        </w:rPr>
        <w:t>Good Morning, distinguished guests, members of the faculty and participants.</w:t>
      </w:r>
    </w:p>
    <w:p w:rsidR="00C30349" w:rsidRPr="00C30349" w:rsidRDefault="00C30349" w:rsidP="00B84DDC">
      <w:pPr>
        <w:rPr>
          <w:rFonts w:ascii="Garamond" w:hAnsi="Garamond" w:cs="Arial"/>
          <w:bCs/>
        </w:rPr>
      </w:pPr>
    </w:p>
    <w:p w:rsidR="00C30349" w:rsidRPr="00C30349" w:rsidRDefault="00C30349" w:rsidP="00456F4D">
      <w:pPr>
        <w:pStyle w:val="ListParagraph"/>
        <w:numPr>
          <w:ilvl w:val="0"/>
          <w:numId w:val="10"/>
        </w:numPr>
        <w:jc w:val="both"/>
        <w:rPr>
          <w:rFonts w:ascii="Garamond" w:hAnsi="Garamond" w:cs="Arial"/>
          <w:bCs/>
          <w:sz w:val="24"/>
          <w:szCs w:val="24"/>
          <w:lang w:val="en-IN"/>
        </w:rPr>
      </w:pPr>
      <w:r w:rsidRPr="00C30349">
        <w:rPr>
          <w:rFonts w:ascii="Garamond" w:hAnsi="Garamond" w:cs="Arial"/>
          <w:bCs/>
          <w:sz w:val="24"/>
          <w:szCs w:val="24"/>
        </w:rPr>
        <w:t>There is a visible trend of increase in use of technology in different spheres of life in the last few years, especially post the onset of pandemic. In the financial sector as well, the extent of use of technology has significantly picked up, in the areas such as digital banking, online payments, mobile</w:t>
      </w:r>
      <w:r>
        <w:rPr>
          <w:rFonts w:ascii="Garamond" w:hAnsi="Garamond" w:cs="Arial"/>
          <w:bCs/>
          <w:sz w:val="24"/>
          <w:szCs w:val="24"/>
        </w:rPr>
        <w:t>-</w:t>
      </w:r>
      <w:r w:rsidRPr="00C30349">
        <w:rPr>
          <w:rFonts w:ascii="Garamond" w:hAnsi="Garamond" w:cs="Arial"/>
          <w:bCs/>
          <w:sz w:val="24"/>
          <w:szCs w:val="24"/>
        </w:rPr>
        <w:t xml:space="preserve">based and internet-based trading, etc. In the changing world where technology is omnipresent, Cyber Security is pivotal to keep the systems robust. </w:t>
      </w:r>
    </w:p>
    <w:p w:rsidR="00C30349" w:rsidRPr="00C30349" w:rsidRDefault="00C30349" w:rsidP="00901509">
      <w:pPr>
        <w:pStyle w:val="ListParagraph"/>
        <w:jc w:val="both"/>
        <w:rPr>
          <w:rFonts w:ascii="Garamond" w:hAnsi="Garamond" w:cs="Arial"/>
          <w:bCs/>
          <w:sz w:val="24"/>
          <w:szCs w:val="24"/>
          <w:lang w:val="en-IN"/>
        </w:rPr>
      </w:pPr>
    </w:p>
    <w:p w:rsidR="00C30349" w:rsidRPr="00C30349" w:rsidRDefault="00C30349" w:rsidP="00456F4D">
      <w:pPr>
        <w:pStyle w:val="ListParagraph"/>
        <w:numPr>
          <w:ilvl w:val="0"/>
          <w:numId w:val="10"/>
        </w:numPr>
        <w:jc w:val="both"/>
        <w:rPr>
          <w:rFonts w:ascii="Garamond" w:hAnsi="Garamond" w:cs="Arial"/>
          <w:bCs/>
          <w:sz w:val="24"/>
          <w:szCs w:val="24"/>
          <w:lang w:val="en-IN"/>
        </w:rPr>
      </w:pPr>
      <w:r w:rsidRPr="00C30349">
        <w:rPr>
          <w:rFonts w:ascii="Garamond" w:hAnsi="Garamond" w:cs="Arial"/>
          <w:bCs/>
          <w:sz w:val="24"/>
          <w:szCs w:val="24"/>
        </w:rPr>
        <w:t>SEBI has been constantly stepping up its cyber security efforts, both internally within the organization and externally. From the external perspective, SEBI’s cyber security measures relate to Market Infrastructure Institutions like stock exchanges, clearing corporations and depositories, SEBI registered intermediaries and Mutual Funds. Further, since SEBI receives and deals with a lot of sensitive and important data, we have implemented a robust cyber security framework internally. I will briefly state these initiatives:</w:t>
      </w:r>
    </w:p>
    <w:p w:rsidR="00C30349" w:rsidRPr="00C30349" w:rsidRDefault="00C30349" w:rsidP="00901509">
      <w:pPr>
        <w:pStyle w:val="ListParagraph"/>
        <w:jc w:val="both"/>
        <w:rPr>
          <w:rFonts w:ascii="Garamond" w:hAnsi="Garamond" w:cs="Arial"/>
          <w:bCs/>
          <w:sz w:val="24"/>
          <w:szCs w:val="24"/>
          <w:lang w:val="en-IN"/>
        </w:rPr>
      </w:pPr>
    </w:p>
    <w:p w:rsidR="00481098" w:rsidRPr="00481098" w:rsidRDefault="00C30349" w:rsidP="00456F4D">
      <w:pPr>
        <w:pStyle w:val="ListParagraph"/>
        <w:numPr>
          <w:ilvl w:val="0"/>
          <w:numId w:val="11"/>
        </w:numPr>
        <w:jc w:val="both"/>
        <w:rPr>
          <w:rFonts w:ascii="Garamond" w:hAnsi="Garamond" w:cs="Arial"/>
          <w:bCs/>
          <w:sz w:val="24"/>
          <w:szCs w:val="24"/>
          <w:lang w:val="en-IN"/>
        </w:rPr>
      </w:pPr>
      <w:r w:rsidRPr="00545C71">
        <w:rPr>
          <w:rFonts w:ascii="Garamond" w:hAnsi="Garamond" w:cs="Arial"/>
          <w:bCs/>
          <w:sz w:val="24"/>
          <w:szCs w:val="24"/>
          <w:lang w:val="en-GB"/>
        </w:rPr>
        <w:t>Market Infrastructure Institutions</w:t>
      </w:r>
      <w:r w:rsidR="00481098">
        <w:rPr>
          <w:rFonts w:ascii="Garamond" w:hAnsi="Garamond" w:cs="Arial"/>
          <w:bCs/>
          <w:sz w:val="24"/>
          <w:szCs w:val="24"/>
          <w:lang w:val="en-GB"/>
        </w:rPr>
        <w:t xml:space="preserve"> </w:t>
      </w:r>
      <w:r w:rsidRPr="00C30349">
        <w:rPr>
          <w:rFonts w:ascii="Garamond" w:hAnsi="Garamond" w:cs="Arial"/>
          <w:bCs/>
          <w:sz w:val="24"/>
          <w:szCs w:val="24"/>
          <w:lang w:val="en-GB"/>
        </w:rPr>
        <w:t>-</w:t>
      </w:r>
      <w:r>
        <w:rPr>
          <w:rFonts w:ascii="Garamond" w:hAnsi="Garamond" w:cs="Arial"/>
          <w:bCs/>
          <w:sz w:val="24"/>
          <w:szCs w:val="24"/>
          <w:lang w:val="en-GB"/>
        </w:rPr>
        <w:t xml:space="preserve"> </w:t>
      </w:r>
      <w:r w:rsidRPr="00C30349">
        <w:rPr>
          <w:rFonts w:ascii="Garamond" w:hAnsi="Garamond" w:cs="Arial"/>
          <w:bCs/>
          <w:sz w:val="24"/>
          <w:szCs w:val="24"/>
          <w:lang w:val="en-GB"/>
        </w:rPr>
        <w:t>From the perspective of stock exchanges, clearing corporations and depositories, cyber security is extremely critical since technology is the underpinning for all these institutions. Cyber security failures in such institutions will not only impact protection of data but could even cause a system failure leading to a ripple-through effect in the entire financial ecosystem. SEBI has laid down a detailed framework for cyber security for such institutions including Identification of Critical Assets and Cyber Risks, Network Security Management and Security of Data, Vulne</w:t>
      </w:r>
      <w:r w:rsidR="00481098">
        <w:rPr>
          <w:rFonts w:ascii="Garamond" w:hAnsi="Garamond" w:cs="Arial"/>
          <w:bCs/>
          <w:sz w:val="24"/>
          <w:szCs w:val="24"/>
          <w:lang w:val="en-GB"/>
        </w:rPr>
        <w:t xml:space="preserve">rability Assessment </w:t>
      </w:r>
      <w:r w:rsidRPr="00C30349">
        <w:rPr>
          <w:rFonts w:ascii="Garamond" w:hAnsi="Garamond" w:cs="Arial"/>
          <w:bCs/>
          <w:sz w:val="24"/>
          <w:szCs w:val="24"/>
          <w:lang w:val="en-GB"/>
        </w:rPr>
        <w:t>and Penetration Testing, System Audits to be done by CERT-In empanelled auditors, etc.</w:t>
      </w:r>
    </w:p>
    <w:p w:rsidR="00481098" w:rsidRPr="00481098" w:rsidRDefault="00481098" w:rsidP="00901509">
      <w:pPr>
        <w:pStyle w:val="ListParagraph"/>
        <w:ind w:left="1440"/>
        <w:jc w:val="both"/>
        <w:rPr>
          <w:rFonts w:ascii="Garamond" w:hAnsi="Garamond" w:cs="Arial"/>
          <w:bCs/>
          <w:sz w:val="24"/>
          <w:szCs w:val="24"/>
          <w:lang w:val="en-IN"/>
        </w:rPr>
      </w:pPr>
    </w:p>
    <w:p w:rsidR="00481098" w:rsidRPr="00481098" w:rsidRDefault="00481098" w:rsidP="00456F4D">
      <w:pPr>
        <w:pStyle w:val="ListParagraph"/>
        <w:numPr>
          <w:ilvl w:val="0"/>
          <w:numId w:val="11"/>
        </w:numPr>
        <w:jc w:val="both"/>
        <w:rPr>
          <w:rFonts w:ascii="Garamond" w:hAnsi="Garamond" w:cs="Arial"/>
          <w:bCs/>
          <w:sz w:val="24"/>
          <w:szCs w:val="24"/>
          <w:lang w:val="en-IN"/>
        </w:rPr>
      </w:pPr>
      <w:r w:rsidRPr="00545C71">
        <w:rPr>
          <w:rFonts w:ascii="Garamond" w:hAnsi="Garamond" w:cs="Arial"/>
          <w:bCs/>
          <w:sz w:val="24"/>
          <w:szCs w:val="24"/>
          <w:lang w:val="en-GB"/>
        </w:rPr>
        <w:t>Intermediaries and Mutual Funds</w:t>
      </w:r>
      <w:r w:rsidRPr="00481098">
        <w:rPr>
          <w:rFonts w:ascii="Garamond" w:hAnsi="Garamond" w:cs="Arial"/>
          <w:bCs/>
          <w:sz w:val="24"/>
          <w:szCs w:val="24"/>
          <w:lang w:val="en-GB"/>
        </w:rPr>
        <w:t xml:space="preserve"> –While unlike Market Infrastructure Institutions, technology failure in any individual intermediary may not have system-wide impact, the intermediaries are critical from the perspective of protection of data including client data. SEBI’s framework for intermediaries prescribes an SOP for handling cyber security incidents. Detailed framework has been specified for Mutual Funds which includes formulation of a comprehensive cyber security &amp; cyber resilience policy, designation of a senior official as Chief Information Security Officer, etc</w:t>
      </w:r>
    </w:p>
    <w:p w:rsidR="00481098" w:rsidRPr="00481098" w:rsidRDefault="00481098" w:rsidP="00901509">
      <w:pPr>
        <w:pStyle w:val="ListParagraph"/>
        <w:jc w:val="both"/>
        <w:rPr>
          <w:rFonts w:ascii="Garamond" w:hAnsi="Garamond" w:cs="Arial"/>
          <w:bCs/>
          <w:sz w:val="24"/>
          <w:szCs w:val="24"/>
          <w:lang w:val="en-IN"/>
        </w:rPr>
      </w:pPr>
    </w:p>
    <w:p w:rsidR="00481098" w:rsidRPr="00481098" w:rsidRDefault="00481098" w:rsidP="00456F4D">
      <w:pPr>
        <w:pStyle w:val="ListParagraph"/>
        <w:numPr>
          <w:ilvl w:val="0"/>
          <w:numId w:val="11"/>
        </w:numPr>
        <w:jc w:val="both"/>
        <w:rPr>
          <w:rFonts w:ascii="Garamond" w:hAnsi="Garamond" w:cs="Arial"/>
          <w:bCs/>
          <w:sz w:val="24"/>
          <w:szCs w:val="24"/>
          <w:lang w:val="en-IN"/>
        </w:rPr>
      </w:pPr>
      <w:r w:rsidRPr="00481098">
        <w:rPr>
          <w:rFonts w:ascii="Garamond" w:hAnsi="Garamond" w:cs="Arial"/>
          <w:bCs/>
          <w:sz w:val="24"/>
          <w:szCs w:val="24"/>
          <w:lang w:val="en-GB"/>
        </w:rPr>
        <w:lastRenderedPageBreak/>
        <w:t>Internal SEBI measures- SEBI has significantly boosted its own cyber security capability with several measures. An important initiative in this direction is Cyber Security Operations Centre (SOC) which monitors and defends enterprise-wide information technology systems. We have initiated the process to conduct Enterprise-wide Vulnerability Assessment and Penetration Testing (VAPT) for all our IT systems. We have also formed an Information Systems Security Committee to advise SEBI on handling of specific cyber security incidences.</w:t>
      </w:r>
    </w:p>
    <w:p w:rsidR="00481098" w:rsidRPr="00481098" w:rsidRDefault="00481098" w:rsidP="00901509">
      <w:pPr>
        <w:pStyle w:val="ListParagraph"/>
        <w:jc w:val="both"/>
        <w:rPr>
          <w:rFonts w:ascii="Garamond" w:hAnsi="Garamond" w:cs="Arial"/>
          <w:bCs/>
          <w:sz w:val="24"/>
          <w:szCs w:val="24"/>
          <w:lang w:val="en-IN"/>
        </w:rPr>
      </w:pPr>
    </w:p>
    <w:p w:rsidR="00481098" w:rsidRPr="00481098" w:rsidRDefault="00481098" w:rsidP="00456F4D">
      <w:pPr>
        <w:pStyle w:val="ListParagraph"/>
        <w:numPr>
          <w:ilvl w:val="0"/>
          <w:numId w:val="10"/>
        </w:numPr>
        <w:jc w:val="both"/>
        <w:rPr>
          <w:rFonts w:ascii="Garamond" w:hAnsi="Garamond" w:cs="Arial"/>
          <w:bCs/>
          <w:sz w:val="24"/>
          <w:szCs w:val="24"/>
          <w:lang w:val="en-IN"/>
        </w:rPr>
      </w:pPr>
      <w:r w:rsidRPr="00481098">
        <w:rPr>
          <w:rFonts w:ascii="Garamond" w:hAnsi="Garamond" w:cs="Arial"/>
          <w:bCs/>
          <w:sz w:val="24"/>
          <w:szCs w:val="24"/>
        </w:rPr>
        <w:t xml:space="preserve">While SEBI has not specified a specific cyber security framework for listed entities, the Risk Management Committee of the listed companies has been mandated to monitor and manage cyber security risks as one of its mandates. </w:t>
      </w:r>
    </w:p>
    <w:p w:rsidR="00481098" w:rsidRDefault="00481098" w:rsidP="00901509">
      <w:pPr>
        <w:pStyle w:val="ListParagraph"/>
        <w:jc w:val="both"/>
        <w:rPr>
          <w:rFonts w:ascii="Garamond" w:hAnsi="Garamond" w:cs="Arial"/>
          <w:bCs/>
          <w:sz w:val="24"/>
          <w:szCs w:val="24"/>
          <w:lang w:val="en-IN"/>
        </w:rPr>
      </w:pPr>
    </w:p>
    <w:p w:rsidR="00481098" w:rsidRPr="00481098" w:rsidRDefault="00481098" w:rsidP="00456F4D">
      <w:pPr>
        <w:pStyle w:val="ListParagraph"/>
        <w:numPr>
          <w:ilvl w:val="0"/>
          <w:numId w:val="10"/>
        </w:numPr>
        <w:jc w:val="both"/>
        <w:rPr>
          <w:rFonts w:ascii="Garamond" w:hAnsi="Garamond" w:cs="Arial"/>
          <w:bCs/>
          <w:sz w:val="24"/>
          <w:szCs w:val="24"/>
          <w:lang w:val="en-IN"/>
        </w:rPr>
      </w:pPr>
      <w:r w:rsidRPr="00481098">
        <w:rPr>
          <w:rFonts w:ascii="Garamond" w:hAnsi="Garamond" w:cs="Arial"/>
          <w:bCs/>
          <w:sz w:val="24"/>
          <w:szCs w:val="24"/>
          <w:lang w:val="en-GB"/>
        </w:rPr>
        <w:t xml:space="preserve">Clearly, cyber security management is not a one-time event but a continuous process – it is not a project but a journey. </w:t>
      </w:r>
    </w:p>
    <w:p w:rsidR="00481098" w:rsidRPr="00481098" w:rsidRDefault="00481098" w:rsidP="00901509">
      <w:pPr>
        <w:pStyle w:val="ListParagraph"/>
        <w:jc w:val="both"/>
        <w:rPr>
          <w:rFonts w:ascii="Garamond" w:hAnsi="Garamond" w:cs="Arial"/>
          <w:bCs/>
          <w:sz w:val="24"/>
          <w:szCs w:val="24"/>
          <w:lang w:val="en-IN"/>
        </w:rPr>
      </w:pPr>
    </w:p>
    <w:p w:rsidR="00481098" w:rsidRPr="00481098" w:rsidRDefault="00481098" w:rsidP="00456F4D">
      <w:pPr>
        <w:pStyle w:val="ListParagraph"/>
        <w:numPr>
          <w:ilvl w:val="0"/>
          <w:numId w:val="10"/>
        </w:numPr>
        <w:jc w:val="both"/>
        <w:rPr>
          <w:rFonts w:ascii="Garamond" w:hAnsi="Garamond" w:cs="Arial"/>
          <w:bCs/>
          <w:sz w:val="24"/>
          <w:szCs w:val="24"/>
          <w:lang w:val="en-IN"/>
        </w:rPr>
      </w:pPr>
      <w:r w:rsidRPr="00481098">
        <w:rPr>
          <w:rFonts w:ascii="Garamond" w:hAnsi="Garamond" w:cs="Arial"/>
          <w:bCs/>
          <w:sz w:val="24"/>
          <w:szCs w:val="24"/>
          <w:lang w:val="en-GB"/>
        </w:rPr>
        <w:t>It is heartening to note that NISM, CERT-In, C-DAC and MeitY have jointly worked together towards launch of this cyber-security certification course. This course will help in understanding Cyber Security Framework based on the pillars viz. Identify, Build, Detect, Respond and Recov</w:t>
      </w:r>
      <w:r>
        <w:rPr>
          <w:rFonts w:ascii="Garamond" w:hAnsi="Garamond" w:cs="Arial"/>
          <w:bCs/>
          <w:sz w:val="24"/>
          <w:szCs w:val="24"/>
          <w:lang w:val="en-GB"/>
        </w:rPr>
        <w:t xml:space="preserve">er. In addition, the </w:t>
      </w:r>
      <w:r w:rsidRPr="00481098">
        <w:rPr>
          <w:rFonts w:ascii="Garamond" w:hAnsi="Garamond" w:cs="Arial"/>
          <w:bCs/>
          <w:sz w:val="24"/>
          <w:szCs w:val="24"/>
          <w:lang w:val="en-GB"/>
        </w:rPr>
        <w:t xml:space="preserve">course dwells in detail about the cyber security advisories issued by SEBI from time to time. </w:t>
      </w:r>
    </w:p>
    <w:p w:rsidR="00481098" w:rsidRPr="00481098" w:rsidRDefault="00481098" w:rsidP="00901509">
      <w:pPr>
        <w:pStyle w:val="ListParagraph"/>
        <w:jc w:val="both"/>
        <w:rPr>
          <w:rFonts w:ascii="Garamond" w:hAnsi="Garamond" w:cs="Arial"/>
          <w:bCs/>
          <w:sz w:val="24"/>
          <w:szCs w:val="24"/>
          <w:lang w:val="en-IN"/>
        </w:rPr>
      </w:pPr>
    </w:p>
    <w:p w:rsidR="00481098" w:rsidRPr="00481098" w:rsidRDefault="00481098" w:rsidP="00456F4D">
      <w:pPr>
        <w:pStyle w:val="ListParagraph"/>
        <w:numPr>
          <w:ilvl w:val="0"/>
          <w:numId w:val="10"/>
        </w:numPr>
        <w:jc w:val="both"/>
        <w:rPr>
          <w:rFonts w:ascii="Garamond" w:hAnsi="Garamond" w:cs="Arial"/>
          <w:bCs/>
          <w:sz w:val="24"/>
          <w:szCs w:val="24"/>
          <w:lang w:val="en-IN"/>
        </w:rPr>
      </w:pPr>
      <w:r w:rsidRPr="00481098">
        <w:rPr>
          <w:rFonts w:ascii="Garamond" w:hAnsi="Garamond" w:cs="Arial"/>
          <w:bCs/>
          <w:sz w:val="24"/>
          <w:szCs w:val="24"/>
          <w:lang w:val="en-GB"/>
        </w:rPr>
        <w:t>This course with features like self-paced e-learning, proctored test and affordable fee structure will encourage stakeholders in securities markets to learn and be aware of cyber security issues.</w:t>
      </w:r>
    </w:p>
    <w:p w:rsidR="00481098" w:rsidRPr="00481098" w:rsidRDefault="00481098" w:rsidP="00481098">
      <w:pPr>
        <w:pStyle w:val="ListParagraph"/>
        <w:rPr>
          <w:rFonts w:ascii="Garamond" w:hAnsi="Garamond" w:cs="Arial"/>
          <w:bCs/>
          <w:sz w:val="24"/>
          <w:szCs w:val="24"/>
          <w:lang w:val="en-IN"/>
        </w:rPr>
      </w:pPr>
    </w:p>
    <w:p w:rsidR="00E51198" w:rsidRDefault="00481098" w:rsidP="00481098">
      <w:pPr>
        <w:rPr>
          <w:rFonts w:ascii="Garamond" w:hAnsi="Garamond" w:cs="Arial"/>
          <w:bCs/>
          <w:lang w:val="en-IN"/>
        </w:rPr>
      </w:pPr>
      <w:r w:rsidRPr="00481098">
        <w:rPr>
          <w:rFonts w:ascii="Garamond" w:hAnsi="Garamond" w:cs="Arial"/>
          <w:bCs/>
        </w:rPr>
        <w:t xml:space="preserve">My best wishes for success of this course. </w:t>
      </w:r>
      <w:r w:rsidR="00E51198" w:rsidRPr="00481098">
        <w:rPr>
          <w:rFonts w:ascii="Garamond" w:hAnsi="Garamond" w:cs="Arial"/>
          <w:bCs/>
          <w:lang w:val="en-IN"/>
        </w:rPr>
        <w:br w:type="page"/>
      </w:r>
    </w:p>
    <w:p w:rsidR="00DC34EF" w:rsidRDefault="00DC34EF" w:rsidP="00DC34EF">
      <w:pPr>
        <w:spacing w:line="20" w:lineRule="atLeast"/>
        <w:jc w:val="center"/>
        <w:rPr>
          <w:rFonts w:ascii="Garamond" w:hAnsi="Garamond" w:cs="Helvetica"/>
          <w:b/>
          <w:color w:val="1F4E79" w:themeColor="accent1" w:themeShade="80"/>
          <w:sz w:val="28"/>
          <w:szCs w:val="28"/>
        </w:rPr>
      </w:pPr>
      <w:r w:rsidRPr="00DC34EF">
        <w:rPr>
          <w:rFonts w:ascii="Garamond" w:hAnsi="Garamond" w:cs="Helvetica"/>
          <w:b/>
          <w:color w:val="1F4E79" w:themeColor="accent1" w:themeShade="80"/>
          <w:sz w:val="28"/>
          <w:szCs w:val="28"/>
        </w:rPr>
        <w:lastRenderedPageBreak/>
        <w:t xml:space="preserve">REPORT ON UNCLAIMED ASSETS OF INVESTORS </w:t>
      </w:r>
    </w:p>
    <w:p w:rsidR="00DC34EF" w:rsidRDefault="00DC34EF" w:rsidP="00DC34EF">
      <w:pPr>
        <w:spacing w:line="20" w:lineRule="atLeast"/>
        <w:jc w:val="center"/>
        <w:rPr>
          <w:rFonts w:ascii="Garamond" w:hAnsi="Garamond" w:cs="Helvetica"/>
          <w:b/>
          <w:color w:val="1F4E79" w:themeColor="accent1" w:themeShade="80"/>
          <w:sz w:val="28"/>
          <w:szCs w:val="28"/>
        </w:rPr>
      </w:pPr>
      <w:r w:rsidRPr="00DC34EF">
        <w:rPr>
          <w:rFonts w:ascii="Garamond" w:hAnsi="Garamond" w:cs="Helvetica"/>
          <w:b/>
          <w:color w:val="1F4E79" w:themeColor="accent1" w:themeShade="80"/>
          <w:sz w:val="28"/>
          <w:szCs w:val="28"/>
        </w:rPr>
        <w:t>IN SECURITIES MARKETS</w:t>
      </w:r>
      <w:r>
        <w:rPr>
          <w:rStyle w:val="FootnoteReference"/>
          <w:rFonts w:ascii="Garamond" w:hAnsi="Garamond" w:cs="Helvetica"/>
          <w:b/>
          <w:color w:val="1F4E79" w:themeColor="accent1" w:themeShade="80"/>
          <w:sz w:val="28"/>
          <w:szCs w:val="28"/>
        </w:rPr>
        <w:footnoteReference w:id="2"/>
      </w:r>
    </w:p>
    <w:p w:rsidR="00DC34EF" w:rsidRDefault="00DC34EF" w:rsidP="00DC34EF">
      <w:pPr>
        <w:spacing w:line="20" w:lineRule="atLeast"/>
        <w:rPr>
          <w:rFonts w:ascii="Garamond" w:hAnsi="Garamond" w:cs="Helvetica"/>
          <w:b/>
          <w:color w:val="1F4E79" w:themeColor="accent1" w:themeShade="80"/>
          <w:sz w:val="28"/>
          <w:szCs w:val="28"/>
        </w:rPr>
      </w:pPr>
    </w:p>
    <w:p w:rsidR="00DC34EF" w:rsidRPr="00DC34EF" w:rsidRDefault="00DC34EF" w:rsidP="00456F4D">
      <w:pPr>
        <w:pStyle w:val="Heading1"/>
        <w:numPr>
          <w:ilvl w:val="0"/>
          <w:numId w:val="17"/>
        </w:numPr>
        <w:spacing w:before="240"/>
        <w:rPr>
          <w:rFonts w:cstheme="minorHAnsi"/>
          <w:b/>
          <w:bCs w:val="0"/>
          <w:szCs w:val="24"/>
          <w:lang w:val="en-US"/>
        </w:rPr>
      </w:pPr>
      <w:bookmarkStart w:id="1" w:name="_Toc66185869"/>
      <w:r w:rsidRPr="00DC34EF">
        <w:rPr>
          <w:rFonts w:cstheme="minorHAnsi"/>
          <w:b/>
          <w:bCs w:val="0"/>
          <w:szCs w:val="24"/>
          <w:lang w:val="en-US"/>
        </w:rPr>
        <w:t>Introduction</w:t>
      </w:r>
      <w:bookmarkEnd w:id="1"/>
    </w:p>
    <w:p w:rsidR="00DC34EF" w:rsidRPr="00DC34EF" w:rsidRDefault="00DC34EF" w:rsidP="00DC34EF">
      <w:pPr>
        <w:jc w:val="both"/>
        <w:rPr>
          <w:rFonts w:ascii="Garamond" w:hAnsi="Garamond" w:cstheme="minorHAnsi"/>
          <w:lang w:val="en-US"/>
        </w:rPr>
      </w:pPr>
    </w:p>
    <w:p w:rsidR="003A30F8" w:rsidRPr="003A273B" w:rsidRDefault="00DC34EF" w:rsidP="00456F4D">
      <w:pPr>
        <w:pStyle w:val="ListParagraph"/>
        <w:numPr>
          <w:ilvl w:val="1"/>
          <w:numId w:val="17"/>
        </w:numPr>
        <w:spacing w:after="0" w:line="240" w:lineRule="auto"/>
        <w:ind w:left="426"/>
        <w:jc w:val="both"/>
        <w:rPr>
          <w:rFonts w:ascii="Garamond" w:hAnsi="Garamond" w:cstheme="minorHAnsi"/>
          <w:sz w:val="24"/>
          <w:szCs w:val="24"/>
        </w:rPr>
      </w:pPr>
      <w:bookmarkStart w:id="2" w:name="_Ref59704318"/>
      <w:r w:rsidRPr="003A273B">
        <w:rPr>
          <w:rFonts w:ascii="Garamond" w:hAnsi="Garamond" w:cstheme="minorHAnsi"/>
          <w:sz w:val="24"/>
          <w:szCs w:val="24"/>
        </w:rPr>
        <w:t>SEBI furthers its prime mandate of investor protection through the channels and modes</w:t>
      </w:r>
      <w:bookmarkEnd w:id="2"/>
      <w:r w:rsidRPr="003A273B">
        <w:rPr>
          <w:rFonts w:ascii="Garamond" w:hAnsi="Garamond" w:cstheme="minorHAnsi"/>
          <w:sz w:val="24"/>
          <w:szCs w:val="24"/>
        </w:rPr>
        <w:t xml:space="preserve"> </w:t>
      </w:r>
      <w:r w:rsidR="003A30F8" w:rsidRPr="003A273B">
        <w:rPr>
          <w:rFonts w:ascii="Garamond" w:hAnsi="Garamond" w:cstheme="minorHAnsi"/>
          <w:sz w:val="24"/>
          <w:szCs w:val="24"/>
        </w:rPr>
        <w:t xml:space="preserve">, which interalia includes </w:t>
      </w:r>
      <w:r w:rsidRPr="003A273B">
        <w:rPr>
          <w:rFonts w:ascii="Garamond" w:hAnsi="Garamond" w:cstheme="minorHAnsi"/>
          <w:sz w:val="24"/>
          <w:szCs w:val="24"/>
        </w:rPr>
        <w:t>redressal of the grievances of investors, empowering investors by educating them, regulating the markets, e</w:t>
      </w:r>
      <w:r w:rsidR="003A30F8" w:rsidRPr="003A273B">
        <w:rPr>
          <w:rFonts w:ascii="Garamond" w:hAnsi="Garamond" w:cstheme="minorHAnsi"/>
          <w:sz w:val="24"/>
          <w:szCs w:val="24"/>
        </w:rPr>
        <w:t>nforcement actions, c</w:t>
      </w:r>
      <w:r w:rsidRPr="003A273B">
        <w:rPr>
          <w:rFonts w:ascii="Garamond" w:hAnsi="Garamond" w:cstheme="minorHAnsi"/>
          <w:sz w:val="24"/>
          <w:szCs w:val="24"/>
        </w:rPr>
        <w:t>ompensation mechanism</w:t>
      </w:r>
      <w:r w:rsidR="003A30F8" w:rsidRPr="003A273B">
        <w:rPr>
          <w:rFonts w:ascii="Garamond" w:hAnsi="Garamond" w:cstheme="minorHAnsi"/>
          <w:sz w:val="24"/>
          <w:szCs w:val="24"/>
        </w:rPr>
        <w:t xml:space="preserve"> and s</w:t>
      </w:r>
      <w:r w:rsidRPr="003A273B">
        <w:rPr>
          <w:rFonts w:ascii="Garamond" w:hAnsi="Garamond" w:cstheme="minorHAnsi"/>
          <w:sz w:val="24"/>
          <w:szCs w:val="24"/>
        </w:rPr>
        <w:t>ystemic changes</w:t>
      </w:r>
      <w:r w:rsidR="003A30F8" w:rsidRPr="003A273B">
        <w:rPr>
          <w:rFonts w:ascii="Garamond" w:hAnsi="Garamond" w:cstheme="minorHAnsi"/>
          <w:sz w:val="24"/>
          <w:szCs w:val="24"/>
        </w:rPr>
        <w:t>.</w:t>
      </w:r>
      <w:r w:rsidRPr="003A273B">
        <w:rPr>
          <w:rFonts w:ascii="Garamond" w:hAnsi="Garamond" w:cstheme="minorHAnsi"/>
          <w:sz w:val="24"/>
          <w:szCs w:val="24"/>
        </w:rPr>
        <w:t xml:space="preserve"> </w:t>
      </w:r>
      <w:bookmarkStart w:id="3" w:name="_Ref59704324"/>
    </w:p>
    <w:p w:rsidR="003A30F8" w:rsidRPr="003A273B" w:rsidRDefault="003A30F8" w:rsidP="003A30F8">
      <w:pPr>
        <w:pStyle w:val="ListParagraph"/>
        <w:spacing w:after="0" w:line="240" w:lineRule="auto"/>
        <w:ind w:left="426"/>
        <w:jc w:val="both"/>
        <w:rPr>
          <w:rFonts w:ascii="Garamond" w:hAnsi="Garamond" w:cstheme="minorHAnsi"/>
          <w:sz w:val="24"/>
          <w:szCs w:val="24"/>
        </w:rPr>
      </w:pPr>
    </w:p>
    <w:p w:rsidR="00DC34EF" w:rsidRPr="003A273B" w:rsidRDefault="00DC34EF" w:rsidP="00456F4D">
      <w:pPr>
        <w:pStyle w:val="ListParagraph"/>
        <w:numPr>
          <w:ilvl w:val="1"/>
          <w:numId w:val="17"/>
        </w:numPr>
        <w:spacing w:after="0" w:line="240" w:lineRule="auto"/>
        <w:ind w:left="426"/>
        <w:jc w:val="both"/>
        <w:rPr>
          <w:rFonts w:ascii="Garamond" w:hAnsi="Garamond" w:cstheme="minorHAnsi"/>
          <w:sz w:val="24"/>
          <w:szCs w:val="24"/>
        </w:rPr>
      </w:pPr>
      <w:r w:rsidRPr="003A273B">
        <w:rPr>
          <w:rFonts w:ascii="Garamond" w:hAnsi="Garamond" w:cstheme="minorHAnsi"/>
          <w:sz w:val="24"/>
          <w:szCs w:val="24"/>
        </w:rPr>
        <w:t xml:space="preserve">Over the years, innumerable measures have been taken and / or have been put in place by SEBI to enhance investor protection. However, the very existence and the generation of unclaimed assets in the securities market is a matter of concern as it undermines the efforts to fulfill the prime mandate. </w:t>
      </w:r>
      <w:bookmarkEnd w:id="3"/>
    </w:p>
    <w:p w:rsidR="003A30F8" w:rsidRPr="003A30F8" w:rsidRDefault="003A30F8" w:rsidP="003A30F8">
      <w:pPr>
        <w:jc w:val="both"/>
        <w:rPr>
          <w:rFonts w:ascii="Garamond" w:hAnsi="Garamond" w:cstheme="minorHAnsi"/>
        </w:rPr>
      </w:pPr>
    </w:p>
    <w:p w:rsidR="00DC34EF" w:rsidRPr="00DC34EF" w:rsidRDefault="00DC34EF" w:rsidP="00456F4D">
      <w:pPr>
        <w:pStyle w:val="ListParagraph"/>
        <w:numPr>
          <w:ilvl w:val="1"/>
          <w:numId w:val="17"/>
        </w:numPr>
        <w:spacing w:after="0" w:line="240" w:lineRule="auto"/>
        <w:ind w:left="426"/>
        <w:jc w:val="both"/>
        <w:rPr>
          <w:rFonts w:ascii="Garamond" w:hAnsi="Garamond" w:cstheme="minorHAnsi"/>
          <w:sz w:val="24"/>
          <w:szCs w:val="24"/>
        </w:rPr>
      </w:pPr>
      <w:r w:rsidRPr="00DC34EF">
        <w:rPr>
          <w:rFonts w:ascii="Garamond" w:hAnsi="Garamond" w:cstheme="minorHAnsi"/>
          <w:sz w:val="24"/>
          <w:szCs w:val="24"/>
        </w:rPr>
        <w:t xml:space="preserve">Accordingly, this study examines and documents the aforesaid matter in each of the five segments in which investors interface with securities market; </w:t>
      </w:r>
    </w:p>
    <w:p w:rsidR="00DC34EF" w:rsidRPr="00DC34EF" w:rsidRDefault="00DC34EF" w:rsidP="00456F4D">
      <w:pPr>
        <w:pStyle w:val="ListParagraph"/>
        <w:numPr>
          <w:ilvl w:val="0"/>
          <w:numId w:val="28"/>
        </w:numPr>
        <w:spacing w:before="100" w:beforeAutospacing="1" w:after="100" w:afterAutospacing="1" w:line="240" w:lineRule="auto"/>
        <w:ind w:hanging="153"/>
        <w:jc w:val="both"/>
        <w:rPr>
          <w:rFonts w:ascii="Garamond" w:hAnsi="Garamond" w:cstheme="minorHAnsi"/>
          <w:sz w:val="24"/>
          <w:szCs w:val="24"/>
        </w:rPr>
      </w:pPr>
      <w:r w:rsidRPr="00DC34EF">
        <w:rPr>
          <w:rFonts w:ascii="Garamond" w:hAnsi="Garamond" w:cstheme="minorHAnsi"/>
          <w:sz w:val="24"/>
          <w:szCs w:val="24"/>
        </w:rPr>
        <w:t>Primary market – an entry point for investors</w:t>
      </w:r>
    </w:p>
    <w:p w:rsidR="00DC34EF" w:rsidRPr="00DC34EF" w:rsidRDefault="00DC34EF" w:rsidP="00456F4D">
      <w:pPr>
        <w:pStyle w:val="ListParagraph"/>
        <w:numPr>
          <w:ilvl w:val="0"/>
          <w:numId w:val="28"/>
        </w:numPr>
        <w:spacing w:before="100" w:beforeAutospacing="1" w:after="100" w:afterAutospacing="1" w:line="240" w:lineRule="auto"/>
        <w:ind w:hanging="153"/>
        <w:jc w:val="both"/>
        <w:rPr>
          <w:rFonts w:ascii="Garamond" w:hAnsi="Garamond" w:cstheme="minorHAnsi"/>
          <w:sz w:val="24"/>
          <w:szCs w:val="24"/>
        </w:rPr>
      </w:pPr>
      <w:r w:rsidRPr="00DC34EF">
        <w:rPr>
          <w:rFonts w:ascii="Garamond" w:hAnsi="Garamond" w:cstheme="minorHAnsi"/>
          <w:sz w:val="24"/>
          <w:szCs w:val="24"/>
        </w:rPr>
        <w:t>Secondary market – entry as well as exit point for investors through the stock exchange</w:t>
      </w:r>
    </w:p>
    <w:p w:rsidR="00DC34EF" w:rsidRPr="00DC34EF" w:rsidRDefault="00DC34EF" w:rsidP="00456F4D">
      <w:pPr>
        <w:pStyle w:val="ListParagraph"/>
        <w:numPr>
          <w:ilvl w:val="0"/>
          <w:numId w:val="28"/>
        </w:numPr>
        <w:spacing w:before="100" w:beforeAutospacing="1" w:after="100" w:afterAutospacing="1" w:line="240" w:lineRule="auto"/>
        <w:ind w:hanging="153"/>
        <w:jc w:val="both"/>
        <w:rPr>
          <w:rFonts w:ascii="Garamond" w:hAnsi="Garamond" w:cstheme="minorHAnsi"/>
          <w:sz w:val="24"/>
          <w:szCs w:val="24"/>
        </w:rPr>
      </w:pPr>
      <w:r w:rsidRPr="00DC34EF">
        <w:rPr>
          <w:rFonts w:ascii="Garamond" w:hAnsi="Garamond" w:cstheme="minorHAnsi"/>
          <w:sz w:val="24"/>
          <w:szCs w:val="24"/>
        </w:rPr>
        <w:t>Holding of securities – the interim period between entry and exit from the markets</w:t>
      </w:r>
    </w:p>
    <w:p w:rsidR="00DC34EF" w:rsidRPr="00DC34EF" w:rsidRDefault="00DC34EF" w:rsidP="00456F4D">
      <w:pPr>
        <w:pStyle w:val="ListParagraph"/>
        <w:numPr>
          <w:ilvl w:val="0"/>
          <w:numId w:val="28"/>
        </w:numPr>
        <w:spacing w:before="100" w:beforeAutospacing="1" w:after="100" w:afterAutospacing="1" w:line="240" w:lineRule="auto"/>
        <w:ind w:hanging="153"/>
        <w:jc w:val="both"/>
        <w:rPr>
          <w:rFonts w:ascii="Garamond" w:hAnsi="Garamond" w:cstheme="minorHAnsi"/>
          <w:sz w:val="24"/>
          <w:szCs w:val="24"/>
        </w:rPr>
      </w:pPr>
      <w:r w:rsidRPr="00DC34EF">
        <w:rPr>
          <w:rFonts w:ascii="Garamond" w:hAnsi="Garamond" w:cstheme="minorHAnsi"/>
          <w:sz w:val="24"/>
          <w:szCs w:val="24"/>
        </w:rPr>
        <w:t xml:space="preserve">Corporate Restructuring </w:t>
      </w:r>
      <w:r w:rsidRPr="003A30F8">
        <w:rPr>
          <w:rFonts w:ascii="Garamond" w:hAnsi="Garamond" w:cstheme="minorHAnsi"/>
          <w:sz w:val="24"/>
          <w:szCs w:val="24"/>
        </w:rPr>
        <w:t>(CR)</w:t>
      </w:r>
      <w:r w:rsidRPr="00DC34EF">
        <w:rPr>
          <w:rFonts w:ascii="Garamond" w:hAnsi="Garamond" w:cstheme="minorHAnsi"/>
          <w:sz w:val="24"/>
          <w:szCs w:val="24"/>
        </w:rPr>
        <w:t xml:space="preserve"> – Buy back, Delisting and Substantial Acquisition of Shares &amp; Takeovers</w:t>
      </w:r>
    </w:p>
    <w:p w:rsidR="00DC34EF" w:rsidRPr="00DC34EF" w:rsidRDefault="00DC34EF" w:rsidP="00456F4D">
      <w:pPr>
        <w:pStyle w:val="ListParagraph"/>
        <w:numPr>
          <w:ilvl w:val="0"/>
          <w:numId w:val="28"/>
        </w:numPr>
        <w:spacing w:before="100" w:beforeAutospacing="1" w:after="100" w:afterAutospacing="1" w:line="240" w:lineRule="auto"/>
        <w:ind w:hanging="153"/>
        <w:jc w:val="both"/>
        <w:rPr>
          <w:rFonts w:ascii="Garamond" w:hAnsi="Garamond" w:cstheme="minorHAnsi"/>
          <w:sz w:val="24"/>
          <w:szCs w:val="24"/>
        </w:rPr>
      </w:pPr>
      <w:r w:rsidRPr="00DC34EF">
        <w:rPr>
          <w:rFonts w:ascii="Garamond" w:hAnsi="Garamond" w:cstheme="minorHAnsi"/>
          <w:sz w:val="24"/>
          <w:szCs w:val="24"/>
        </w:rPr>
        <w:t xml:space="preserve">Mutual Funds  </w:t>
      </w:r>
    </w:p>
    <w:p w:rsidR="00DC34EF" w:rsidRPr="00DC34EF" w:rsidRDefault="00DC34EF" w:rsidP="00DC34EF">
      <w:pPr>
        <w:jc w:val="both"/>
        <w:rPr>
          <w:rFonts w:ascii="Garamond" w:hAnsi="Garamond" w:cstheme="minorHAnsi"/>
          <w:lang w:val="en-US"/>
        </w:rPr>
      </w:pPr>
    </w:p>
    <w:p w:rsidR="00DC34EF" w:rsidRPr="00DC34EF" w:rsidRDefault="00DC34EF" w:rsidP="00456F4D">
      <w:pPr>
        <w:pStyle w:val="ListParagraph"/>
        <w:numPr>
          <w:ilvl w:val="1"/>
          <w:numId w:val="17"/>
        </w:numPr>
        <w:spacing w:after="0"/>
        <w:ind w:left="426"/>
        <w:jc w:val="both"/>
        <w:rPr>
          <w:rFonts w:ascii="Garamond" w:hAnsi="Garamond" w:cstheme="minorHAnsi"/>
          <w:sz w:val="24"/>
          <w:szCs w:val="24"/>
        </w:rPr>
      </w:pPr>
      <w:r w:rsidRPr="00DC34EF">
        <w:rPr>
          <w:rFonts w:ascii="Garamond" w:hAnsi="Garamond" w:cstheme="minorHAnsi"/>
          <w:sz w:val="24"/>
          <w:szCs w:val="24"/>
        </w:rPr>
        <w:t xml:space="preserve">In each of the above five segments the following are examined; </w:t>
      </w:r>
    </w:p>
    <w:p w:rsidR="00DC34EF" w:rsidRPr="00DC34EF" w:rsidRDefault="00DC34EF" w:rsidP="00456F4D">
      <w:pPr>
        <w:pStyle w:val="ListParagraph"/>
        <w:numPr>
          <w:ilvl w:val="0"/>
          <w:numId w:val="28"/>
        </w:numPr>
        <w:spacing w:before="100" w:beforeAutospacing="1" w:after="100" w:afterAutospacing="1" w:line="240" w:lineRule="auto"/>
        <w:ind w:hanging="153"/>
        <w:jc w:val="both"/>
        <w:rPr>
          <w:rFonts w:ascii="Garamond" w:hAnsi="Garamond" w:cstheme="minorHAnsi"/>
          <w:sz w:val="24"/>
          <w:szCs w:val="24"/>
        </w:rPr>
      </w:pPr>
      <w:r w:rsidRPr="00DC34EF">
        <w:rPr>
          <w:rFonts w:ascii="Garamond" w:hAnsi="Garamond" w:cstheme="minorHAnsi"/>
          <w:sz w:val="24"/>
          <w:szCs w:val="24"/>
        </w:rPr>
        <w:t xml:space="preserve">the reasons for the creation / generation of unclaimed assets </w:t>
      </w:r>
    </w:p>
    <w:p w:rsidR="00DC34EF" w:rsidRPr="00DC34EF" w:rsidRDefault="00DC34EF" w:rsidP="00456F4D">
      <w:pPr>
        <w:pStyle w:val="ListParagraph"/>
        <w:numPr>
          <w:ilvl w:val="0"/>
          <w:numId w:val="28"/>
        </w:numPr>
        <w:spacing w:before="100" w:beforeAutospacing="1" w:after="100" w:afterAutospacing="1" w:line="240" w:lineRule="auto"/>
        <w:ind w:hanging="153"/>
        <w:jc w:val="both"/>
        <w:rPr>
          <w:rFonts w:ascii="Garamond" w:hAnsi="Garamond" w:cstheme="minorHAnsi"/>
          <w:sz w:val="24"/>
          <w:szCs w:val="24"/>
        </w:rPr>
      </w:pPr>
      <w:r w:rsidRPr="00DC34EF">
        <w:rPr>
          <w:rFonts w:ascii="Garamond" w:hAnsi="Garamond" w:cstheme="minorHAnsi"/>
          <w:sz w:val="24"/>
          <w:szCs w:val="24"/>
        </w:rPr>
        <w:t xml:space="preserve">the existing legal and regulatory provisions to protect the investors </w:t>
      </w:r>
    </w:p>
    <w:p w:rsidR="00DC34EF" w:rsidRPr="00DC34EF" w:rsidRDefault="00DC34EF" w:rsidP="00456F4D">
      <w:pPr>
        <w:pStyle w:val="ListParagraph"/>
        <w:numPr>
          <w:ilvl w:val="0"/>
          <w:numId w:val="28"/>
        </w:numPr>
        <w:spacing w:before="100" w:beforeAutospacing="1" w:after="100" w:afterAutospacing="1" w:line="240" w:lineRule="auto"/>
        <w:ind w:hanging="153"/>
        <w:jc w:val="both"/>
        <w:rPr>
          <w:rFonts w:ascii="Garamond" w:hAnsi="Garamond" w:cstheme="minorHAnsi"/>
          <w:sz w:val="24"/>
          <w:szCs w:val="24"/>
        </w:rPr>
      </w:pPr>
      <w:r w:rsidRPr="00DC34EF">
        <w:rPr>
          <w:rFonts w:ascii="Garamond" w:hAnsi="Garamond" w:cstheme="minorHAnsi"/>
          <w:sz w:val="24"/>
          <w:szCs w:val="24"/>
        </w:rPr>
        <w:t xml:space="preserve">the size and extent of such assets and </w:t>
      </w:r>
    </w:p>
    <w:p w:rsidR="00DC34EF" w:rsidRPr="003A30F8" w:rsidRDefault="00DC34EF" w:rsidP="00456F4D">
      <w:pPr>
        <w:pStyle w:val="ListParagraph"/>
        <w:numPr>
          <w:ilvl w:val="0"/>
          <w:numId w:val="28"/>
        </w:numPr>
        <w:spacing w:before="100" w:beforeAutospacing="1" w:after="100" w:afterAutospacing="1" w:line="240" w:lineRule="auto"/>
        <w:ind w:hanging="153"/>
        <w:jc w:val="both"/>
        <w:rPr>
          <w:rFonts w:ascii="Garamond" w:hAnsi="Garamond" w:cstheme="minorHAnsi"/>
          <w:sz w:val="24"/>
          <w:szCs w:val="24"/>
        </w:rPr>
      </w:pPr>
      <w:r w:rsidRPr="00DC34EF">
        <w:rPr>
          <w:rFonts w:ascii="Garamond" w:hAnsi="Garamond" w:cstheme="minorHAnsi"/>
          <w:sz w:val="24"/>
          <w:szCs w:val="24"/>
        </w:rPr>
        <w:t xml:space="preserve">the recommendations to eliminate further creation of such assets </w:t>
      </w:r>
    </w:p>
    <w:p w:rsidR="00DC34EF" w:rsidRPr="00DC34EF" w:rsidRDefault="00DC34EF" w:rsidP="00DC34EF">
      <w:pPr>
        <w:ind w:left="360"/>
        <w:jc w:val="both"/>
        <w:rPr>
          <w:rFonts w:ascii="Garamond" w:hAnsi="Garamond" w:cstheme="minorHAnsi"/>
          <w:lang w:val="en-US"/>
        </w:rPr>
      </w:pPr>
      <w:r w:rsidRPr="00DC34EF">
        <w:rPr>
          <w:rFonts w:ascii="Garamond" w:hAnsi="Garamond" w:cstheme="minorHAnsi"/>
          <w:lang w:val="en-US"/>
        </w:rPr>
        <w:t xml:space="preserve">The term ‘asset(s)’ collectively refers to money and securities and are examined separately in this report. Further, securities, in turn, are examined, separately under physical and demat mode. The aforesaid methodology, backed by relevant data, drills down to precisely identify the nature of the problem and thereafter propose appropriate recommendations. Inputs from concerned dealing divisions </w:t>
      </w:r>
      <w:r w:rsidR="003A30F8" w:rsidRPr="003A273B">
        <w:rPr>
          <w:rFonts w:ascii="Garamond" w:hAnsi="Garamond" w:cstheme="minorHAnsi"/>
          <w:lang w:val="en-US"/>
        </w:rPr>
        <w:t>at SEBI</w:t>
      </w:r>
      <w:r w:rsidR="003A30F8">
        <w:rPr>
          <w:rFonts w:ascii="Garamond" w:hAnsi="Garamond" w:cstheme="minorHAnsi"/>
          <w:lang w:val="en-US"/>
        </w:rPr>
        <w:t xml:space="preserve"> </w:t>
      </w:r>
      <w:r w:rsidRPr="00DC34EF">
        <w:rPr>
          <w:rFonts w:ascii="Garamond" w:hAnsi="Garamond" w:cstheme="minorHAnsi"/>
          <w:lang w:val="en-US"/>
        </w:rPr>
        <w:t xml:space="preserve">were collated on the aforesaid basis. Relevant information has also been directly obtained from MII and intermediaries, industry bodies etc. wherever required. </w:t>
      </w:r>
    </w:p>
    <w:p w:rsidR="00DC34EF" w:rsidRPr="00DC34EF" w:rsidRDefault="00DC34EF" w:rsidP="00DC34EF">
      <w:pPr>
        <w:jc w:val="both"/>
        <w:rPr>
          <w:rFonts w:ascii="Garamond" w:hAnsi="Garamond" w:cstheme="minorHAnsi"/>
          <w:lang w:val="en-US"/>
        </w:rPr>
      </w:pPr>
    </w:p>
    <w:p w:rsidR="00DC34EF" w:rsidRPr="00DC34EF" w:rsidRDefault="00DC34EF" w:rsidP="00456F4D">
      <w:pPr>
        <w:pStyle w:val="ListParagraph"/>
        <w:numPr>
          <w:ilvl w:val="1"/>
          <w:numId w:val="17"/>
        </w:numPr>
        <w:spacing w:after="0" w:line="240" w:lineRule="auto"/>
        <w:ind w:left="426"/>
        <w:jc w:val="both"/>
        <w:rPr>
          <w:rFonts w:ascii="Garamond" w:hAnsi="Garamond" w:cstheme="minorHAnsi"/>
          <w:sz w:val="24"/>
          <w:szCs w:val="24"/>
        </w:rPr>
      </w:pPr>
      <w:bookmarkStart w:id="4" w:name="_Ref59704433"/>
      <w:r w:rsidRPr="00DC34EF">
        <w:rPr>
          <w:rFonts w:ascii="Garamond" w:hAnsi="Garamond" w:cstheme="minorHAnsi"/>
          <w:sz w:val="24"/>
          <w:szCs w:val="24"/>
        </w:rPr>
        <w:t xml:space="preserve">In </w:t>
      </w:r>
      <w:r w:rsidR="003A30F8">
        <w:rPr>
          <w:rFonts w:ascii="Garamond" w:hAnsi="Garamond" w:cstheme="minorHAnsi"/>
          <w:sz w:val="24"/>
          <w:szCs w:val="24"/>
        </w:rPr>
        <w:t>p</w:t>
      </w:r>
      <w:r w:rsidRPr="00DC34EF">
        <w:rPr>
          <w:rFonts w:ascii="Garamond" w:hAnsi="Garamond" w:cstheme="minorHAnsi"/>
          <w:sz w:val="24"/>
          <w:szCs w:val="24"/>
        </w:rPr>
        <w:t xml:space="preserve">rimary </w:t>
      </w:r>
      <w:r w:rsidR="003A30F8">
        <w:rPr>
          <w:rFonts w:ascii="Garamond" w:hAnsi="Garamond" w:cstheme="minorHAnsi"/>
          <w:sz w:val="24"/>
          <w:szCs w:val="24"/>
        </w:rPr>
        <w:t>m</w:t>
      </w:r>
      <w:r w:rsidRPr="00DC34EF">
        <w:rPr>
          <w:rFonts w:ascii="Garamond" w:hAnsi="Garamond" w:cstheme="minorHAnsi"/>
          <w:sz w:val="24"/>
          <w:szCs w:val="24"/>
        </w:rPr>
        <w:t xml:space="preserve">arkets, non-receipt of refunded application money and non-receipt of physical securities or its loss in transit, were the major problems plaguing investors. The same have been adequately </w:t>
      </w:r>
      <w:r w:rsidRPr="003A273B">
        <w:rPr>
          <w:rFonts w:ascii="Garamond" w:hAnsi="Garamond" w:cstheme="minorHAnsi"/>
          <w:sz w:val="24"/>
          <w:szCs w:val="24"/>
        </w:rPr>
        <w:t>address</w:t>
      </w:r>
      <w:r w:rsidR="003A30F8" w:rsidRPr="003A273B">
        <w:rPr>
          <w:rFonts w:ascii="Garamond" w:hAnsi="Garamond" w:cstheme="minorHAnsi"/>
          <w:sz w:val="24"/>
          <w:szCs w:val="24"/>
        </w:rPr>
        <w:t>ed</w:t>
      </w:r>
      <w:r w:rsidRPr="00DC34EF">
        <w:rPr>
          <w:rFonts w:ascii="Garamond" w:hAnsi="Garamond" w:cstheme="minorHAnsi"/>
          <w:sz w:val="24"/>
          <w:szCs w:val="24"/>
        </w:rPr>
        <w:t xml:space="preserve"> vide the mechanism of ASBA and mandatory issuance of securities in public and rights issues only in demat mode. It may be fairly stated that unclaimed assets are no longer generated in primary markets. Hence the same is not included in this report. Nevertheless, the recommendations pertaining to primary markets are as under.  </w:t>
      </w:r>
    </w:p>
    <w:p w:rsidR="00DC34EF" w:rsidRPr="00DC34EF" w:rsidRDefault="00DC34EF" w:rsidP="00DC34EF">
      <w:pPr>
        <w:ind w:left="-6"/>
        <w:jc w:val="both"/>
        <w:rPr>
          <w:rFonts w:ascii="Garamond" w:hAnsi="Garamond" w:cstheme="minorHAnsi"/>
          <w:lang w:val="en-US"/>
        </w:rPr>
      </w:pPr>
    </w:p>
    <w:p w:rsidR="00DC34EF" w:rsidRPr="00DC34EF" w:rsidRDefault="00DC34EF" w:rsidP="00456F4D">
      <w:pPr>
        <w:pStyle w:val="ListParagraph"/>
        <w:numPr>
          <w:ilvl w:val="1"/>
          <w:numId w:val="17"/>
        </w:numPr>
        <w:spacing w:after="0" w:line="240" w:lineRule="auto"/>
        <w:ind w:left="426"/>
        <w:jc w:val="both"/>
        <w:rPr>
          <w:rFonts w:ascii="Garamond" w:hAnsi="Garamond" w:cstheme="minorHAnsi"/>
          <w:sz w:val="24"/>
          <w:szCs w:val="24"/>
        </w:rPr>
      </w:pPr>
      <w:bookmarkStart w:id="5" w:name="_Ref64382799"/>
      <w:r w:rsidRPr="00DC34EF">
        <w:rPr>
          <w:rFonts w:ascii="Garamond" w:hAnsi="Garamond" w:cstheme="minorHAnsi"/>
          <w:sz w:val="24"/>
          <w:szCs w:val="24"/>
        </w:rPr>
        <w:lastRenderedPageBreak/>
        <w:t xml:space="preserve">It is </w:t>
      </w:r>
      <w:r w:rsidRPr="003A30F8">
        <w:rPr>
          <w:rFonts w:ascii="Garamond" w:hAnsi="Garamond" w:cstheme="minorHAnsi"/>
          <w:sz w:val="24"/>
          <w:szCs w:val="24"/>
        </w:rPr>
        <w:t>recommended</w:t>
      </w:r>
      <w:r w:rsidRPr="00DC34EF">
        <w:rPr>
          <w:rFonts w:ascii="Garamond" w:hAnsi="Garamond" w:cstheme="minorHAnsi"/>
          <w:sz w:val="24"/>
          <w:szCs w:val="24"/>
        </w:rPr>
        <w:t xml:space="preserve"> to make it compulsory for investors to provide their following demographic details,</w:t>
      </w:r>
      <w:bookmarkEnd w:id="5"/>
      <w:r w:rsidRPr="00DC34EF">
        <w:rPr>
          <w:rFonts w:ascii="Garamond" w:hAnsi="Garamond" w:cstheme="minorHAnsi"/>
          <w:sz w:val="24"/>
          <w:szCs w:val="24"/>
        </w:rPr>
        <w:t xml:space="preserve"> </w:t>
      </w:r>
    </w:p>
    <w:p w:rsidR="00DC34EF" w:rsidRPr="00DC34EF" w:rsidRDefault="00DC34EF" w:rsidP="00456F4D">
      <w:pPr>
        <w:pStyle w:val="ListParagraph"/>
        <w:numPr>
          <w:ilvl w:val="0"/>
          <w:numId w:val="26"/>
        </w:numPr>
        <w:spacing w:before="100" w:beforeAutospacing="1" w:after="100" w:afterAutospacing="1" w:line="240" w:lineRule="auto"/>
        <w:ind w:left="1582" w:hanging="357"/>
        <w:jc w:val="both"/>
        <w:rPr>
          <w:rFonts w:ascii="Garamond" w:hAnsi="Garamond" w:cstheme="minorHAnsi"/>
          <w:sz w:val="24"/>
          <w:szCs w:val="24"/>
        </w:rPr>
      </w:pPr>
      <w:r w:rsidRPr="00DC34EF">
        <w:rPr>
          <w:rFonts w:ascii="Garamond" w:hAnsi="Garamond" w:cstheme="minorHAnsi"/>
          <w:sz w:val="24"/>
          <w:szCs w:val="24"/>
        </w:rPr>
        <w:t>Present and Permanent full postal address with PIN</w:t>
      </w:r>
    </w:p>
    <w:p w:rsidR="00DC34EF" w:rsidRPr="00DC34EF" w:rsidRDefault="00DC34EF" w:rsidP="00456F4D">
      <w:pPr>
        <w:pStyle w:val="ListParagraph"/>
        <w:numPr>
          <w:ilvl w:val="0"/>
          <w:numId w:val="26"/>
        </w:numPr>
        <w:spacing w:before="100" w:beforeAutospacing="1" w:after="100" w:afterAutospacing="1" w:line="240" w:lineRule="auto"/>
        <w:ind w:left="1582" w:hanging="357"/>
        <w:jc w:val="both"/>
        <w:rPr>
          <w:rFonts w:ascii="Garamond" w:hAnsi="Garamond" w:cstheme="minorHAnsi"/>
          <w:sz w:val="24"/>
          <w:szCs w:val="24"/>
        </w:rPr>
      </w:pPr>
      <w:r w:rsidRPr="00DC34EF">
        <w:rPr>
          <w:rFonts w:ascii="Garamond" w:hAnsi="Garamond" w:cstheme="minorHAnsi"/>
          <w:sz w:val="24"/>
          <w:szCs w:val="24"/>
        </w:rPr>
        <w:t>E-mail address</w:t>
      </w:r>
    </w:p>
    <w:p w:rsidR="00DC34EF" w:rsidRPr="00DC34EF" w:rsidRDefault="00DC34EF" w:rsidP="00456F4D">
      <w:pPr>
        <w:pStyle w:val="ListParagraph"/>
        <w:numPr>
          <w:ilvl w:val="0"/>
          <w:numId w:val="26"/>
        </w:numPr>
        <w:spacing w:before="100" w:beforeAutospacing="1" w:after="100" w:afterAutospacing="1" w:line="240" w:lineRule="auto"/>
        <w:ind w:left="1582" w:hanging="357"/>
        <w:jc w:val="both"/>
        <w:rPr>
          <w:rFonts w:ascii="Garamond" w:hAnsi="Garamond" w:cstheme="minorHAnsi"/>
          <w:sz w:val="24"/>
          <w:szCs w:val="24"/>
        </w:rPr>
      </w:pPr>
      <w:r w:rsidRPr="00DC34EF">
        <w:rPr>
          <w:rFonts w:ascii="Garamond" w:hAnsi="Garamond" w:cstheme="minorHAnsi"/>
          <w:sz w:val="24"/>
          <w:szCs w:val="24"/>
        </w:rPr>
        <w:t>Mobile number</w:t>
      </w:r>
    </w:p>
    <w:p w:rsidR="00DC34EF" w:rsidRPr="00DC34EF" w:rsidRDefault="00DC34EF" w:rsidP="00456F4D">
      <w:pPr>
        <w:pStyle w:val="ListParagraph"/>
        <w:numPr>
          <w:ilvl w:val="0"/>
          <w:numId w:val="26"/>
        </w:numPr>
        <w:spacing w:before="100" w:beforeAutospacing="1" w:after="100" w:afterAutospacing="1" w:line="240" w:lineRule="auto"/>
        <w:ind w:left="1582" w:hanging="357"/>
        <w:jc w:val="both"/>
        <w:rPr>
          <w:rFonts w:ascii="Garamond" w:hAnsi="Garamond" w:cstheme="minorHAnsi"/>
          <w:sz w:val="24"/>
          <w:szCs w:val="24"/>
        </w:rPr>
      </w:pPr>
      <w:r w:rsidRPr="00DC34EF">
        <w:rPr>
          <w:rFonts w:ascii="Garamond" w:hAnsi="Garamond" w:cstheme="minorHAnsi"/>
          <w:sz w:val="24"/>
          <w:szCs w:val="24"/>
        </w:rPr>
        <w:t>PAN</w:t>
      </w:r>
    </w:p>
    <w:p w:rsidR="00DC34EF" w:rsidRPr="00DC34EF" w:rsidRDefault="00DC34EF" w:rsidP="00456F4D">
      <w:pPr>
        <w:pStyle w:val="ListParagraph"/>
        <w:numPr>
          <w:ilvl w:val="0"/>
          <w:numId w:val="26"/>
        </w:numPr>
        <w:spacing w:before="100" w:beforeAutospacing="1" w:after="100" w:afterAutospacing="1" w:line="240" w:lineRule="auto"/>
        <w:ind w:left="1582" w:hanging="357"/>
        <w:jc w:val="both"/>
        <w:rPr>
          <w:rFonts w:ascii="Garamond" w:hAnsi="Garamond" w:cstheme="minorHAnsi"/>
          <w:sz w:val="24"/>
          <w:szCs w:val="24"/>
        </w:rPr>
      </w:pPr>
      <w:r w:rsidRPr="00DC34EF">
        <w:rPr>
          <w:rFonts w:ascii="Garamond" w:hAnsi="Garamond" w:cstheme="minorHAnsi"/>
          <w:sz w:val="24"/>
          <w:szCs w:val="24"/>
        </w:rPr>
        <w:t>Bank account details (Bank Name and Branch, Bank Account Number, IFS Code or UPI number)</w:t>
      </w:r>
    </w:p>
    <w:p w:rsidR="00DC34EF" w:rsidRPr="004A0C2B" w:rsidRDefault="00DC34EF" w:rsidP="00456F4D">
      <w:pPr>
        <w:pStyle w:val="ListParagraph"/>
        <w:numPr>
          <w:ilvl w:val="0"/>
          <w:numId w:val="26"/>
        </w:numPr>
        <w:spacing w:before="100" w:beforeAutospacing="1" w:after="100" w:afterAutospacing="1" w:line="240" w:lineRule="auto"/>
        <w:ind w:left="1582" w:hanging="357"/>
        <w:jc w:val="both"/>
        <w:rPr>
          <w:rFonts w:ascii="Garamond" w:hAnsi="Garamond" w:cstheme="minorHAnsi"/>
          <w:b/>
          <w:bCs/>
          <w:sz w:val="24"/>
          <w:szCs w:val="24"/>
        </w:rPr>
      </w:pPr>
      <w:r w:rsidRPr="00DC34EF">
        <w:rPr>
          <w:rFonts w:ascii="Garamond" w:hAnsi="Garamond" w:cstheme="minorHAnsi"/>
          <w:b/>
          <w:bCs/>
          <w:sz w:val="24"/>
          <w:szCs w:val="24"/>
        </w:rPr>
        <w:t xml:space="preserve">Nomination </w:t>
      </w:r>
    </w:p>
    <w:p w:rsidR="00DC34EF" w:rsidRPr="00DC34EF" w:rsidRDefault="00DC34EF" w:rsidP="003A30F8">
      <w:pPr>
        <w:ind w:left="360"/>
        <w:jc w:val="both"/>
        <w:rPr>
          <w:rFonts w:ascii="Garamond" w:hAnsi="Garamond" w:cstheme="minorHAnsi"/>
          <w:lang w:val="en-US"/>
        </w:rPr>
      </w:pPr>
      <w:r w:rsidRPr="00DC34EF">
        <w:rPr>
          <w:rFonts w:ascii="Garamond" w:hAnsi="Garamond" w:cstheme="minorHAnsi"/>
          <w:lang w:val="en-US"/>
        </w:rPr>
        <w:t xml:space="preserve">As primary market issuance is only through demat mode, the forgoing would be applicable to demat accounts and is elaborated in the chapter, ‘Holding of Securities’ </w:t>
      </w:r>
      <w:r w:rsidRPr="003A273B">
        <w:rPr>
          <w:rFonts w:ascii="Garamond" w:hAnsi="Garamond" w:cstheme="minorHAnsi"/>
          <w:lang w:val="en-US"/>
        </w:rPr>
        <w:t xml:space="preserve">(paragraph </w:t>
      </w:r>
      <w:r w:rsidRPr="003A273B">
        <w:rPr>
          <w:rFonts w:ascii="Garamond" w:hAnsi="Garamond" w:cstheme="minorHAnsi"/>
          <w:lang w:val="en-US"/>
        </w:rPr>
        <w:fldChar w:fldCharType="begin"/>
      </w:r>
      <w:r w:rsidRPr="003A273B">
        <w:rPr>
          <w:rFonts w:ascii="Garamond" w:hAnsi="Garamond" w:cstheme="minorHAnsi"/>
          <w:lang w:val="en-US"/>
        </w:rPr>
        <w:instrText xml:space="preserve"> REF _Ref64382294 \r \h  \* MERGEFORMAT </w:instrText>
      </w:r>
      <w:r w:rsidRPr="003A273B">
        <w:rPr>
          <w:rFonts w:ascii="Garamond" w:hAnsi="Garamond" w:cstheme="minorHAnsi"/>
          <w:lang w:val="en-US"/>
        </w:rPr>
      </w:r>
      <w:r w:rsidRPr="003A273B">
        <w:rPr>
          <w:rFonts w:ascii="Garamond" w:hAnsi="Garamond" w:cstheme="minorHAnsi"/>
          <w:lang w:val="en-US"/>
        </w:rPr>
        <w:fldChar w:fldCharType="separate"/>
      </w:r>
      <w:r w:rsidRPr="003A273B">
        <w:rPr>
          <w:rFonts w:ascii="Garamond" w:hAnsi="Garamond" w:cstheme="minorHAnsi"/>
          <w:lang w:val="en-US"/>
        </w:rPr>
        <w:t>III.3.1</w:t>
      </w:r>
      <w:r w:rsidRPr="003A273B">
        <w:rPr>
          <w:rFonts w:ascii="Garamond" w:hAnsi="Garamond" w:cstheme="minorHAnsi"/>
          <w:lang w:val="en-US"/>
        </w:rPr>
        <w:fldChar w:fldCharType="end"/>
      </w:r>
      <w:r w:rsidR="003A30F8" w:rsidRPr="003A273B">
        <w:rPr>
          <w:rFonts w:ascii="Garamond" w:hAnsi="Garamond" w:cstheme="minorHAnsi"/>
          <w:lang w:val="en-US"/>
        </w:rPr>
        <w:t>)</w:t>
      </w:r>
      <w:r w:rsidRPr="00DC34EF">
        <w:rPr>
          <w:rFonts w:ascii="Garamond" w:hAnsi="Garamond" w:cstheme="minorHAnsi"/>
          <w:lang w:val="en-US"/>
        </w:rPr>
        <w:t xml:space="preserve">  </w:t>
      </w:r>
    </w:p>
    <w:p w:rsidR="00DC34EF" w:rsidRPr="00DC34EF" w:rsidRDefault="00DC34EF" w:rsidP="00DC34EF">
      <w:pPr>
        <w:ind w:left="1224"/>
        <w:jc w:val="both"/>
        <w:rPr>
          <w:rFonts w:ascii="Garamond" w:hAnsi="Garamond" w:cstheme="minorHAnsi"/>
          <w:lang w:val="en-US"/>
        </w:rPr>
      </w:pPr>
    </w:p>
    <w:p w:rsidR="00DC34EF" w:rsidRPr="00DC34EF" w:rsidRDefault="00DC34EF" w:rsidP="00456F4D">
      <w:pPr>
        <w:pStyle w:val="ListParagraph"/>
        <w:numPr>
          <w:ilvl w:val="1"/>
          <w:numId w:val="17"/>
        </w:numPr>
        <w:spacing w:after="0" w:line="240" w:lineRule="auto"/>
        <w:ind w:left="426"/>
        <w:jc w:val="both"/>
        <w:rPr>
          <w:rFonts w:ascii="Garamond" w:hAnsi="Garamond" w:cstheme="minorHAnsi"/>
          <w:sz w:val="24"/>
          <w:szCs w:val="24"/>
        </w:rPr>
      </w:pPr>
      <w:r w:rsidRPr="00DC34EF">
        <w:rPr>
          <w:rFonts w:ascii="Garamond" w:hAnsi="Garamond" w:cstheme="minorHAnsi"/>
          <w:sz w:val="24"/>
          <w:szCs w:val="24"/>
        </w:rPr>
        <w:t>Application money to be refunded is required to be transferred to IEPF</w:t>
      </w:r>
      <w:r w:rsidRPr="00161BEF">
        <w:rPr>
          <w:rFonts w:ascii="Garamond" w:hAnsi="Garamond"/>
          <w:vertAlign w:val="superscript"/>
        </w:rPr>
        <w:footnoteReference w:id="3"/>
      </w:r>
      <w:r w:rsidRPr="00161BEF">
        <w:rPr>
          <w:rFonts w:ascii="Garamond" w:hAnsi="Garamond" w:cstheme="minorHAnsi"/>
        </w:rPr>
        <w:t>,</w:t>
      </w:r>
      <w:r w:rsidRPr="00DC34EF">
        <w:rPr>
          <w:rFonts w:ascii="Garamond" w:hAnsi="Garamond" w:cstheme="minorHAnsi"/>
          <w:sz w:val="24"/>
          <w:szCs w:val="24"/>
        </w:rPr>
        <w:t xml:space="preserve"> if it is unclaimed for seven years. In other words, unclaimed assets generated in the year of transaction, ‘T’ is required to be transferred to IEPF in T + 7. It is </w:t>
      </w:r>
      <w:r w:rsidRPr="003A30F8">
        <w:rPr>
          <w:rFonts w:ascii="Garamond" w:hAnsi="Garamond" w:cstheme="minorHAnsi"/>
          <w:sz w:val="24"/>
          <w:szCs w:val="24"/>
        </w:rPr>
        <w:t xml:space="preserve">recommended </w:t>
      </w:r>
      <w:r w:rsidRPr="00DC34EF">
        <w:rPr>
          <w:rFonts w:ascii="Garamond" w:hAnsi="Garamond" w:cstheme="minorHAnsi"/>
          <w:sz w:val="24"/>
          <w:szCs w:val="24"/>
        </w:rPr>
        <w:t xml:space="preserve">that the unclaimed assets generated in the year T, if any, should be monitored through a structured mechanism so that remedial measures can be drafted forthwith to address any underlying issue as and when it arises.  </w:t>
      </w:r>
    </w:p>
    <w:p w:rsidR="00DC34EF" w:rsidRPr="00DC34EF" w:rsidRDefault="00DC34EF" w:rsidP="00DC34EF">
      <w:pPr>
        <w:ind w:left="216"/>
        <w:jc w:val="both"/>
        <w:rPr>
          <w:rFonts w:ascii="Garamond" w:hAnsi="Garamond" w:cstheme="minorHAnsi"/>
          <w:lang w:val="en-US"/>
        </w:rPr>
      </w:pPr>
    </w:p>
    <w:p w:rsidR="00DC34EF" w:rsidRDefault="00DC34EF" w:rsidP="00456F4D">
      <w:pPr>
        <w:pStyle w:val="ListParagraph"/>
        <w:numPr>
          <w:ilvl w:val="1"/>
          <w:numId w:val="17"/>
        </w:numPr>
        <w:spacing w:after="0" w:line="240" w:lineRule="auto"/>
        <w:ind w:left="426"/>
        <w:jc w:val="both"/>
        <w:rPr>
          <w:rFonts w:ascii="Garamond" w:hAnsi="Garamond" w:cstheme="minorHAnsi"/>
          <w:sz w:val="24"/>
          <w:szCs w:val="24"/>
        </w:rPr>
      </w:pPr>
      <w:bookmarkStart w:id="6" w:name="_Ref64450078"/>
      <w:bookmarkStart w:id="7" w:name="_Ref64730171"/>
      <w:r w:rsidRPr="00DC34EF">
        <w:rPr>
          <w:rFonts w:ascii="Garamond" w:hAnsi="Garamond" w:cstheme="minorHAnsi"/>
          <w:sz w:val="24"/>
          <w:szCs w:val="24"/>
        </w:rPr>
        <w:t>Listed companies are required to credit the unclaimed shares in public issues into Suspense Accounts</w:t>
      </w:r>
      <w:r w:rsidRPr="003A30F8">
        <w:footnoteReference w:id="4"/>
      </w:r>
      <w:r w:rsidRPr="00DC34EF">
        <w:rPr>
          <w:rFonts w:ascii="Garamond" w:hAnsi="Garamond" w:cstheme="minorHAnsi"/>
          <w:sz w:val="24"/>
          <w:szCs w:val="24"/>
        </w:rPr>
        <w:t xml:space="preserve">. It is </w:t>
      </w:r>
      <w:r w:rsidRPr="003A30F8">
        <w:rPr>
          <w:rFonts w:ascii="Garamond" w:hAnsi="Garamond" w:cstheme="minorHAnsi"/>
          <w:sz w:val="24"/>
          <w:szCs w:val="24"/>
        </w:rPr>
        <w:t xml:space="preserve">recommended </w:t>
      </w:r>
      <w:r w:rsidRPr="00DC34EF">
        <w:rPr>
          <w:rFonts w:ascii="Garamond" w:hAnsi="Garamond" w:cstheme="minorHAnsi"/>
          <w:sz w:val="24"/>
          <w:szCs w:val="24"/>
        </w:rPr>
        <w:t xml:space="preserve">that the shares credited to these accounts in the year </w:t>
      </w:r>
      <w:bookmarkEnd w:id="6"/>
      <w:r w:rsidRPr="00DC34EF">
        <w:rPr>
          <w:rFonts w:ascii="Garamond" w:hAnsi="Garamond" w:cstheme="minorHAnsi"/>
          <w:sz w:val="24"/>
          <w:szCs w:val="24"/>
        </w:rPr>
        <w:t xml:space="preserve">‘T’ </w:t>
      </w:r>
      <w:bookmarkEnd w:id="7"/>
      <w:r w:rsidRPr="00DC34EF">
        <w:rPr>
          <w:rFonts w:ascii="Garamond" w:hAnsi="Garamond" w:cstheme="minorHAnsi"/>
          <w:sz w:val="24"/>
          <w:szCs w:val="24"/>
        </w:rPr>
        <w:t>should be monitored through a structured mechanism so that remedial measures can be drafted forthwith to address any underlying issue as and when it arises.</w:t>
      </w:r>
    </w:p>
    <w:p w:rsidR="00161BEF" w:rsidRPr="00161BEF" w:rsidRDefault="00161BEF" w:rsidP="00161BEF">
      <w:pPr>
        <w:jc w:val="both"/>
        <w:rPr>
          <w:rFonts w:ascii="Garamond" w:hAnsi="Garamond" w:cstheme="minorHAnsi"/>
        </w:rPr>
      </w:pPr>
    </w:p>
    <w:p w:rsidR="00DC34EF" w:rsidRPr="00DC34EF" w:rsidRDefault="00DC34EF" w:rsidP="00161BEF">
      <w:pPr>
        <w:ind w:left="360"/>
        <w:jc w:val="both"/>
        <w:rPr>
          <w:rFonts w:ascii="Garamond" w:hAnsi="Garamond" w:cstheme="minorHAnsi"/>
          <w:lang w:val="en-US"/>
        </w:rPr>
      </w:pPr>
      <w:r w:rsidRPr="00DC34EF">
        <w:rPr>
          <w:rFonts w:ascii="Garamond" w:hAnsi="Garamond" w:cstheme="minorHAnsi"/>
          <w:lang w:val="en-US"/>
        </w:rPr>
        <w:t xml:space="preserve">The details and the chronology of the evolution of the aforesaid regulatory measures are documented in Annexure – I and the legal and regulatory provisions pertaining to the foregoing are elaborated therein. </w:t>
      </w:r>
    </w:p>
    <w:p w:rsidR="00DC34EF" w:rsidRPr="00DC34EF" w:rsidRDefault="00DC34EF" w:rsidP="00161BEF">
      <w:pPr>
        <w:ind w:left="360"/>
        <w:jc w:val="both"/>
        <w:rPr>
          <w:rFonts w:ascii="Garamond" w:hAnsi="Garamond" w:cstheme="minorHAnsi"/>
          <w:lang w:val="en-US"/>
        </w:rPr>
      </w:pPr>
    </w:p>
    <w:p w:rsidR="00DC34EF" w:rsidRPr="00DC34EF" w:rsidRDefault="00DC34EF" w:rsidP="00456F4D">
      <w:pPr>
        <w:pStyle w:val="ListParagraph"/>
        <w:numPr>
          <w:ilvl w:val="1"/>
          <w:numId w:val="17"/>
        </w:numPr>
        <w:spacing w:after="0" w:line="240" w:lineRule="auto"/>
        <w:ind w:left="426"/>
        <w:jc w:val="both"/>
        <w:rPr>
          <w:rFonts w:ascii="Garamond" w:hAnsi="Garamond" w:cstheme="minorHAnsi"/>
          <w:sz w:val="24"/>
          <w:szCs w:val="24"/>
        </w:rPr>
      </w:pPr>
      <w:r w:rsidRPr="00DC34EF">
        <w:rPr>
          <w:rFonts w:ascii="Garamond" w:hAnsi="Garamond" w:cstheme="minorHAnsi"/>
          <w:sz w:val="24"/>
          <w:szCs w:val="24"/>
        </w:rPr>
        <w:t>In Corporate Restructuring it is noted that 331 of the 341 CR offers in the last three years, were through stock exchange mechanism (</w:t>
      </w:r>
      <w:r w:rsidRPr="00DC34EF">
        <w:rPr>
          <w:rFonts w:ascii="Garamond" w:hAnsi="Garamond" w:cstheme="minorHAnsi"/>
          <w:sz w:val="24"/>
          <w:szCs w:val="24"/>
        </w:rPr>
        <w:fldChar w:fldCharType="begin"/>
      </w:r>
      <w:r w:rsidRPr="00DC34EF">
        <w:rPr>
          <w:rFonts w:ascii="Garamond" w:hAnsi="Garamond" w:cstheme="minorHAnsi"/>
          <w:sz w:val="24"/>
          <w:szCs w:val="24"/>
        </w:rPr>
        <w:instrText xml:space="preserve"> REF _Ref64455698 \h  \* MERGEFORMAT </w:instrText>
      </w:r>
      <w:r w:rsidRPr="00DC34EF">
        <w:rPr>
          <w:rFonts w:ascii="Garamond" w:hAnsi="Garamond" w:cstheme="minorHAnsi"/>
          <w:sz w:val="24"/>
          <w:szCs w:val="24"/>
        </w:rPr>
      </w:r>
      <w:r w:rsidRPr="00DC34EF">
        <w:rPr>
          <w:rFonts w:ascii="Garamond" w:hAnsi="Garamond" w:cstheme="minorHAnsi"/>
          <w:sz w:val="24"/>
          <w:szCs w:val="24"/>
        </w:rPr>
        <w:fldChar w:fldCharType="separate"/>
      </w:r>
      <w:r w:rsidRPr="00DC34EF">
        <w:rPr>
          <w:rFonts w:ascii="Garamond" w:hAnsi="Garamond" w:cstheme="minorHAnsi"/>
          <w:sz w:val="24"/>
          <w:szCs w:val="24"/>
        </w:rPr>
        <w:t>Table 11</w:t>
      </w:r>
      <w:r w:rsidRPr="00DC34EF">
        <w:rPr>
          <w:rFonts w:ascii="Garamond" w:hAnsi="Garamond" w:cstheme="minorHAnsi"/>
          <w:sz w:val="24"/>
          <w:szCs w:val="24"/>
        </w:rPr>
        <w:fldChar w:fldCharType="end"/>
      </w:r>
      <w:r w:rsidRPr="00DC34EF">
        <w:rPr>
          <w:rFonts w:ascii="Garamond" w:hAnsi="Garamond" w:cstheme="minorHAnsi"/>
          <w:sz w:val="24"/>
          <w:szCs w:val="24"/>
        </w:rPr>
        <w:t>). This mechanism virtually eliminates the scope for creation of unclaimed assets in CR. Hence the same is not included in the report. The incidental recommendation</w:t>
      </w:r>
      <w:r w:rsidR="00161BEF">
        <w:rPr>
          <w:rFonts w:ascii="Garamond" w:hAnsi="Garamond" w:cstheme="minorHAnsi"/>
          <w:sz w:val="24"/>
          <w:szCs w:val="24"/>
        </w:rPr>
        <w:t>s pertaining to CR are as under:</w:t>
      </w:r>
    </w:p>
    <w:p w:rsidR="00DC34EF" w:rsidRPr="00DC34EF" w:rsidRDefault="00DC34EF" w:rsidP="00DC34EF">
      <w:pPr>
        <w:pStyle w:val="ListParagraph"/>
        <w:rPr>
          <w:rFonts w:ascii="Garamond" w:hAnsi="Garamond" w:cstheme="minorHAnsi"/>
          <w:sz w:val="24"/>
          <w:szCs w:val="24"/>
        </w:rPr>
      </w:pPr>
    </w:p>
    <w:p w:rsidR="00DC34EF" w:rsidRPr="00DC34EF" w:rsidRDefault="00DC34EF" w:rsidP="00456F4D">
      <w:pPr>
        <w:pStyle w:val="ListParagraph"/>
        <w:numPr>
          <w:ilvl w:val="2"/>
          <w:numId w:val="24"/>
        </w:numPr>
        <w:spacing w:after="0"/>
        <w:jc w:val="both"/>
        <w:rPr>
          <w:rFonts w:ascii="Garamond" w:hAnsi="Garamond" w:cstheme="minorHAnsi"/>
          <w:bCs/>
          <w:sz w:val="24"/>
          <w:szCs w:val="24"/>
        </w:rPr>
      </w:pPr>
      <w:r w:rsidRPr="00DC34EF">
        <w:rPr>
          <w:rFonts w:ascii="Garamond" w:hAnsi="Garamond" w:cstheme="minorHAnsi"/>
          <w:sz w:val="24"/>
          <w:szCs w:val="24"/>
        </w:rPr>
        <w:t xml:space="preserve"> </w:t>
      </w:r>
      <w:bookmarkStart w:id="8" w:name="_Ref60133939"/>
      <w:r w:rsidRPr="00DC34EF">
        <w:rPr>
          <w:rFonts w:ascii="Garamond" w:hAnsi="Garamond" w:cstheme="minorHAnsi"/>
          <w:bCs/>
          <w:sz w:val="24"/>
          <w:szCs w:val="24"/>
        </w:rPr>
        <w:t>Tendering of Shares only in Demat mode</w:t>
      </w:r>
      <w:bookmarkEnd w:id="8"/>
    </w:p>
    <w:p w:rsidR="00DC34EF" w:rsidRPr="00DC34EF" w:rsidRDefault="00DC34EF" w:rsidP="00DC34EF">
      <w:pPr>
        <w:ind w:left="720"/>
        <w:jc w:val="both"/>
        <w:rPr>
          <w:rFonts w:ascii="Garamond" w:hAnsi="Garamond" w:cstheme="minorHAnsi"/>
          <w:lang w:val="en-US"/>
        </w:rPr>
      </w:pPr>
      <w:r w:rsidRPr="00DC34EF">
        <w:rPr>
          <w:rFonts w:ascii="Garamond" w:hAnsi="Garamond" w:cstheme="minorHAnsi"/>
          <w:lang w:val="en-US"/>
        </w:rPr>
        <w:t>Regulation 40 (1) of LODR, 2015 stipulates that, excluding transposition and transmission, transfer of shares can be only in demat mode w.e.f. April 01, 2019. Whereas, the same is permitted in CR under the respective regulations; i.e. physical shares tendered by investors are acquired by and are transferred to the company, promoter, and the acquirer, respectively. In the FAQs</w:t>
      </w:r>
      <w:r w:rsidRPr="00DC34EF">
        <w:rPr>
          <w:rStyle w:val="FootnoteReference"/>
          <w:rFonts w:ascii="Garamond" w:hAnsi="Garamond" w:cstheme="minorHAnsi"/>
          <w:lang w:val="en-US"/>
        </w:rPr>
        <w:footnoteReference w:id="5"/>
      </w:r>
      <w:r w:rsidRPr="00DC34EF">
        <w:rPr>
          <w:rFonts w:ascii="Garamond" w:hAnsi="Garamond" w:cstheme="minorHAnsi"/>
          <w:lang w:val="en-US"/>
        </w:rPr>
        <w:t xml:space="preserve"> and thereafter vide circular dated July 31, 2020</w:t>
      </w:r>
      <w:r w:rsidRPr="00DC34EF">
        <w:rPr>
          <w:rStyle w:val="FootnoteReference"/>
          <w:rFonts w:ascii="Garamond" w:hAnsi="Garamond" w:cstheme="minorHAnsi"/>
          <w:lang w:val="en-US"/>
        </w:rPr>
        <w:footnoteReference w:id="6"/>
      </w:r>
      <w:r w:rsidRPr="00DC34EF">
        <w:rPr>
          <w:rFonts w:ascii="Garamond" w:hAnsi="Garamond" w:cstheme="minorHAnsi"/>
          <w:lang w:val="en-US"/>
        </w:rPr>
        <w:t xml:space="preserve">, it has been clarified that physical shares can continue to be tendered in CRs. The aforesaid dissonance in the regulatory framework, wherein the FAQ and circular override the provision of the Regulation, is undesirable.   </w:t>
      </w:r>
    </w:p>
    <w:p w:rsidR="00DC34EF" w:rsidRPr="00DC34EF" w:rsidRDefault="00DC34EF" w:rsidP="00DC34EF">
      <w:pPr>
        <w:ind w:left="720"/>
        <w:jc w:val="both"/>
        <w:rPr>
          <w:rFonts w:ascii="Garamond" w:hAnsi="Garamond" w:cstheme="minorHAnsi"/>
          <w:lang w:val="en-US"/>
        </w:rPr>
      </w:pPr>
    </w:p>
    <w:p w:rsidR="00DC34EF" w:rsidRPr="00DC34EF" w:rsidRDefault="00DC34EF" w:rsidP="00DC34EF">
      <w:pPr>
        <w:ind w:left="720"/>
        <w:jc w:val="both"/>
        <w:rPr>
          <w:rFonts w:ascii="Garamond" w:hAnsi="Garamond" w:cstheme="minorHAnsi"/>
          <w:lang w:val="en-US"/>
        </w:rPr>
      </w:pPr>
      <w:r w:rsidRPr="00DC34EF">
        <w:rPr>
          <w:rFonts w:ascii="Garamond" w:hAnsi="Garamond" w:cstheme="minorHAnsi"/>
          <w:lang w:val="en-US"/>
        </w:rPr>
        <w:t>It may be stated that in a buy back offer, the company acquiring its own shares is required to extinguish it</w:t>
      </w:r>
      <w:r w:rsidRPr="00DC34EF">
        <w:rPr>
          <w:rStyle w:val="FootnoteReference"/>
          <w:rFonts w:ascii="Garamond" w:hAnsi="Garamond" w:cstheme="minorHAnsi"/>
          <w:lang w:val="en-US"/>
        </w:rPr>
        <w:footnoteReference w:id="7"/>
      </w:r>
      <w:r w:rsidRPr="00DC34EF">
        <w:rPr>
          <w:rFonts w:ascii="Garamond" w:hAnsi="Garamond" w:cstheme="minorHAnsi"/>
          <w:lang w:val="en-US"/>
        </w:rPr>
        <w:t>. Hence, tendering of physical shares is not a matter of concern. Promoters of listed companies are required to always hold their shares only in demat mode</w:t>
      </w:r>
      <w:r w:rsidRPr="00DC34EF">
        <w:rPr>
          <w:rStyle w:val="FootnoteReference"/>
          <w:rFonts w:ascii="Garamond" w:hAnsi="Garamond" w:cstheme="minorHAnsi"/>
          <w:lang w:val="en-US"/>
        </w:rPr>
        <w:footnoteReference w:id="8"/>
      </w:r>
      <w:r w:rsidRPr="00DC34EF">
        <w:rPr>
          <w:rFonts w:ascii="Garamond" w:hAnsi="Garamond" w:cstheme="minorHAnsi"/>
          <w:lang w:val="en-US"/>
        </w:rPr>
        <w:t xml:space="preserve">. Hence, acquisition of physical shares in delisting or takeover offer by promoters is also not a matter of regulatory concern as they will have to demat it forthwith. </w:t>
      </w:r>
    </w:p>
    <w:p w:rsidR="00DC34EF" w:rsidRPr="00DC34EF" w:rsidRDefault="00DC34EF" w:rsidP="00DC34EF">
      <w:pPr>
        <w:ind w:left="720"/>
        <w:jc w:val="both"/>
        <w:rPr>
          <w:rFonts w:ascii="Garamond" w:hAnsi="Garamond" w:cstheme="minorHAnsi"/>
          <w:lang w:val="en-US"/>
        </w:rPr>
      </w:pPr>
    </w:p>
    <w:p w:rsidR="00DC34EF" w:rsidRPr="00DC34EF" w:rsidRDefault="00DC34EF" w:rsidP="00DC34EF">
      <w:pPr>
        <w:ind w:left="720"/>
        <w:jc w:val="both"/>
        <w:rPr>
          <w:rFonts w:ascii="Garamond" w:hAnsi="Garamond" w:cstheme="minorHAnsi"/>
          <w:lang w:val="en-US"/>
        </w:rPr>
      </w:pPr>
      <w:r w:rsidRPr="00DC34EF">
        <w:rPr>
          <w:rFonts w:ascii="Garamond" w:hAnsi="Garamond" w:cstheme="minorHAnsi"/>
          <w:lang w:val="en-US"/>
        </w:rPr>
        <w:t>In this regard, it is noted that only 0.002% of the shares tendered in CR are in physical mode (</w:t>
      </w:r>
      <w:r w:rsidRPr="00DC34EF">
        <w:rPr>
          <w:rFonts w:ascii="Garamond" w:hAnsi="Garamond" w:cstheme="minorHAnsi"/>
          <w:lang w:val="en-US"/>
        </w:rPr>
        <w:fldChar w:fldCharType="begin"/>
      </w:r>
      <w:r w:rsidRPr="00DC34EF">
        <w:rPr>
          <w:rFonts w:ascii="Garamond" w:hAnsi="Garamond" w:cstheme="minorHAnsi"/>
          <w:lang w:val="en-US"/>
        </w:rPr>
        <w:instrText xml:space="preserve"> REF _Ref64458050 \h  \* MERGEFORMAT </w:instrText>
      </w:r>
      <w:r w:rsidRPr="00DC34EF">
        <w:rPr>
          <w:rFonts w:ascii="Garamond" w:hAnsi="Garamond" w:cstheme="minorHAnsi"/>
          <w:lang w:val="en-US"/>
        </w:rPr>
      </w:r>
      <w:r w:rsidRPr="00DC34EF">
        <w:rPr>
          <w:rFonts w:ascii="Garamond" w:hAnsi="Garamond" w:cstheme="minorHAnsi"/>
          <w:lang w:val="en-US"/>
        </w:rPr>
        <w:fldChar w:fldCharType="separate"/>
      </w:r>
      <w:r w:rsidRPr="00DC34EF">
        <w:rPr>
          <w:rFonts w:ascii="Garamond" w:hAnsi="Garamond" w:cstheme="minorHAnsi"/>
        </w:rPr>
        <w:t xml:space="preserve">Table </w:t>
      </w:r>
      <w:r w:rsidRPr="00DC34EF">
        <w:rPr>
          <w:rFonts w:ascii="Garamond" w:hAnsi="Garamond" w:cstheme="minorHAnsi"/>
          <w:noProof/>
        </w:rPr>
        <w:t>12</w:t>
      </w:r>
      <w:r w:rsidRPr="00DC34EF">
        <w:rPr>
          <w:rFonts w:ascii="Garamond" w:hAnsi="Garamond" w:cstheme="minorHAnsi"/>
          <w:lang w:val="en-US"/>
        </w:rPr>
        <w:fldChar w:fldCharType="end"/>
      </w:r>
      <w:r w:rsidRPr="00DC34EF">
        <w:rPr>
          <w:rFonts w:ascii="Garamond" w:hAnsi="Garamond" w:cstheme="minorHAnsi"/>
          <w:lang w:val="en-US"/>
        </w:rPr>
        <w:t xml:space="preserve">). Notwithstanding the aforesaid, the acquisition of physical shares by acquirer who is not a promoter is required to be disallowed to eliminate the aforesaid dissonance in the regulatory framework. </w:t>
      </w:r>
    </w:p>
    <w:p w:rsidR="00DC34EF" w:rsidRPr="00DC34EF" w:rsidRDefault="00DC34EF" w:rsidP="00DC34EF">
      <w:pPr>
        <w:ind w:left="720"/>
        <w:jc w:val="both"/>
        <w:rPr>
          <w:rFonts w:ascii="Garamond" w:hAnsi="Garamond" w:cstheme="minorHAnsi"/>
          <w:lang w:val="en-US"/>
        </w:rPr>
      </w:pPr>
    </w:p>
    <w:p w:rsidR="00DC34EF" w:rsidRPr="00DC34EF" w:rsidRDefault="00DC34EF" w:rsidP="00DC34EF">
      <w:pPr>
        <w:ind w:left="720"/>
        <w:jc w:val="both"/>
        <w:rPr>
          <w:rFonts w:ascii="Garamond" w:hAnsi="Garamond" w:cstheme="minorHAnsi"/>
          <w:lang w:val="en-US"/>
        </w:rPr>
      </w:pPr>
      <w:r w:rsidRPr="00DC34EF">
        <w:rPr>
          <w:rFonts w:ascii="Garamond" w:hAnsi="Garamond" w:cstheme="minorHAnsi"/>
          <w:lang w:val="en-US"/>
        </w:rPr>
        <w:t xml:space="preserve">Accordingly, it is </w:t>
      </w:r>
      <w:r w:rsidRPr="00161BEF">
        <w:rPr>
          <w:rFonts w:ascii="Garamond" w:hAnsi="Garamond" w:cstheme="minorHAnsi"/>
          <w:b/>
          <w:bCs/>
          <w:lang w:val="en-US"/>
        </w:rPr>
        <w:t>recommended</w:t>
      </w:r>
      <w:r w:rsidRPr="00161BEF">
        <w:rPr>
          <w:rFonts w:ascii="Garamond" w:hAnsi="Garamond" w:cstheme="minorHAnsi"/>
          <w:lang w:val="en-US"/>
        </w:rPr>
        <w:t xml:space="preserve"> </w:t>
      </w:r>
      <w:r w:rsidRPr="00DC34EF">
        <w:rPr>
          <w:rFonts w:ascii="Garamond" w:hAnsi="Garamond" w:cstheme="minorHAnsi"/>
          <w:lang w:val="en-US"/>
        </w:rPr>
        <w:t xml:space="preserve">that the aforesaid provision of LODR, 2015 be amended so as to also exempt transfer of shares in CR. Parallelly, CR regulations may be amended to cast obligation on the acquirer, who is not a promoter, to forthwith demat the physical shares acquired in </w:t>
      </w:r>
      <w:r w:rsidRPr="00FC7F9B">
        <w:rPr>
          <w:rFonts w:ascii="Garamond" w:hAnsi="Garamond" w:cstheme="minorHAnsi"/>
          <w:lang w:val="en-US"/>
        </w:rPr>
        <w:t>CR</w:t>
      </w:r>
      <w:r w:rsidRPr="00FC7F9B">
        <w:rPr>
          <w:rStyle w:val="FootnoteReference"/>
          <w:rFonts w:ascii="Garamond" w:hAnsi="Garamond" w:cstheme="minorHAnsi"/>
          <w:lang w:val="en-US"/>
        </w:rPr>
        <w:footnoteReference w:id="9"/>
      </w:r>
      <w:r w:rsidRPr="00FC7F9B">
        <w:rPr>
          <w:rFonts w:ascii="Garamond" w:hAnsi="Garamond" w:cstheme="minorHAnsi"/>
          <w:lang w:val="en-US"/>
        </w:rPr>
        <w:t>.</w:t>
      </w:r>
      <w:r w:rsidRPr="00DC34EF">
        <w:rPr>
          <w:rFonts w:ascii="Garamond" w:hAnsi="Garamond" w:cstheme="minorHAnsi"/>
          <w:lang w:val="en-US"/>
        </w:rPr>
        <w:t xml:space="preserve"> </w:t>
      </w:r>
    </w:p>
    <w:p w:rsidR="00DC34EF" w:rsidRPr="00DC34EF" w:rsidRDefault="00DC34EF" w:rsidP="00DC34EF">
      <w:pPr>
        <w:jc w:val="both"/>
        <w:rPr>
          <w:rFonts w:ascii="Garamond" w:hAnsi="Garamond" w:cstheme="minorHAnsi"/>
          <w:lang w:val="en-US"/>
        </w:rPr>
      </w:pPr>
    </w:p>
    <w:p w:rsidR="00DC34EF" w:rsidRPr="00DC34EF" w:rsidRDefault="00DC34EF" w:rsidP="00456F4D">
      <w:pPr>
        <w:pStyle w:val="ListParagraph"/>
        <w:numPr>
          <w:ilvl w:val="2"/>
          <w:numId w:val="24"/>
        </w:numPr>
        <w:spacing w:after="0"/>
        <w:jc w:val="both"/>
        <w:rPr>
          <w:rFonts w:ascii="Garamond" w:hAnsi="Garamond" w:cstheme="minorHAnsi"/>
          <w:bCs/>
          <w:sz w:val="24"/>
          <w:szCs w:val="24"/>
        </w:rPr>
      </w:pPr>
      <w:bookmarkStart w:id="9" w:name="_Ref60133944"/>
      <w:r w:rsidRPr="00DC34EF">
        <w:rPr>
          <w:rFonts w:ascii="Garamond" w:hAnsi="Garamond" w:cstheme="minorHAnsi"/>
          <w:bCs/>
          <w:sz w:val="24"/>
          <w:szCs w:val="24"/>
        </w:rPr>
        <w:t>ASBA mechanism for tendering shares in CR</w:t>
      </w:r>
      <w:bookmarkEnd w:id="9"/>
    </w:p>
    <w:p w:rsidR="00DC34EF" w:rsidRPr="00DC34EF" w:rsidRDefault="00DC34EF" w:rsidP="00DC34EF">
      <w:pPr>
        <w:ind w:left="720"/>
        <w:jc w:val="both"/>
        <w:rPr>
          <w:rFonts w:ascii="Garamond" w:hAnsi="Garamond" w:cstheme="minorHAnsi"/>
          <w:lang w:val="en-US"/>
        </w:rPr>
      </w:pPr>
      <w:r w:rsidRPr="00DC34EF">
        <w:rPr>
          <w:rFonts w:ascii="Garamond" w:hAnsi="Garamond" w:cstheme="minorHAnsi"/>
          <w:lang w:val="en-US"/>
        </w:rPr>
        <w:t xml:space="preserve">It </w:t>
      </w:r>
      <w:r w:rsidRPr="00161BEF">
        <w:rPr>
          <w:rFonts w:ascii="Garamond" w:hAnsi="Garamond" w:cstheme="minorHAnsi"/>
          <w:lang w:val="en-US"/>
        </w:rPr>
        <w:t xml:space="preserve">is </w:t>
      </w:r>
      <w:r w:rsidRPr="00161BEF">
        <w:rPr>
          <w:rFonts w:ascii="Garamond" w:hAnsi="Garamond" w:cstheme="minorHAnsi"/>
          <w:b/>
          <w:bCs/>
          <w:lang w:val="en-US"/>
        </w:rPr>
        <w:t>recommended</w:t>
      </w:r>
      <w:r w:rsidRPr="00161BEF">
        <w:rPr>
          <w:rFonts w:ascii="Garamond" w:hAnsi="Garamond" w:cstheme="minorHAnsi"/>
          <w:lang w:val="en-US"/>
        </w:rPr>
        <w:t xml:space="preserve"> </w:t>
      </w:r>
      <w:r w:rsidRPr="00DC34EF">
        <w:rPr>
          <w:rFonts w:ascii="Garamond" w:hAnsi="Garamond" w:cstheme="minorHAnsi"/>
          <w:lang w:val="en-US"/>
        </w:rPr>
        <w:t>that a mechanism be devised such that the shares tendered in CR would be locked-</w:t>
      </w:r>
      <w:r w:rsidRPr="00DC34EF">
        <w:rPr>
          <w:rFonts w:ascii="Garamond" w:hAnsi="Garamond" w:cstheme="minorHAnsi"/>
          <w:bCs/>
          <w:lang w:val="en-US"/>
        </w:rPr>
        <w:t>in</w:t>
      </w:r>
      <w:r w:rsidRPr="00DC34EF">
        <w:rPr>
          <w:rFonts w:ascii="Garamond" w:hAnsi="Garamond" w:cstheme="minorHAnsi"/>
          <w:lang w:val="en-US"/>
        </w:rPr>
        <w:t xml:space="preserve"> and held in the investor’s demat account and would get debited only upon its acceptance and upon simultaneous receipt of consideration. Over and above the robust investor protection mechanism that is already available to investor, this would enhance ‘ease of doing business’ in CR. </w:t>
      </w:r>
    </w:p>
    <w:p w:rsidR="00DC34EF" w:rsidRPr="00DC34EF" w:rsidRDefault="00DC34EF" w:rsidP="00DC34EF">
      <w:pPr>
        <w:ind w:left="720"/>
        <w:jc w:val="both"/>
        <w:rPr>
          <w:rFonts w:ascii="Garamond" w:hAnsi="Garamond" w:cstheme="minorHAnsi"/>
          <w:highlight w:val="yellow"/>
          <w:lang w:val="en-US"/>
        </w:rPr>
      </w:pPr>
    </w:p>
    <w:p w:rsidR="00DC34EF" w:rsidRPr="00DC34EF" w:rsidRDefault="00DC34EF" w:rsidP="00DC34EF">
      <w:pPr>
        <w:ind w:left="426"/>
        <w:jc w:val="both"/>
        <w:rPr>
          <w:rFonts w:ascii="Garamond" w:hAnsi="Garamond" w:cstheme="minorHAnsi"/>
          <w:lang w:val="en-US"/>
        </w:rPr>
      </w:pPr>
      <w:r w:rsidRPr="00DC34EF">
        <w:rPr>
          <w:rFonts w:ascii="Garamond" w:hAnsi="Garamond" w:cstheme="minorHAnsi"/>
          <w:lang w:val="en-US"/>
        </w:rPr>
        <w:t xml:space="preserve">The details and chronology of regulatory framework, the data on CR through stock exchange and data on physical shares tendered in CR are documented in </w:t>
      </w:r>
      <w:r w:rsidRPr="00DC34EF">
        <w:rPr>
          <w:rFonts w:ascii="Garamond" w:hAnsi="Garamond" w:cstheme="minorHAnsi"/>
          <w:lang w:val="en-US"/>
        </w:rPr>
        <w:fldChar w:fldCharType="begin"/>
      </w:r>
      <w:r w:rsidRPr="00DC34EF">
        <w:rPr>
          <w:rFonts w:ascii="Garamond" w:hAnsi="Garamond" w:cstheme="minorHAnsi"/>
          <w:lang w:val="en-US"/>
        </w:rPr>
        <w:instrText xml:space="preserve"> REF _Ref63676506 \h  \* MERGEFORMAT </w:instrText>
      </w:r>
      <w:r w:rsidRPr="00DC34EF">
        <w:rPr>
          <w:rFonts w:ascii="Garamond" w:hAnsi="Garamond" w:cstheme="minorHAnsi"/>
          <w:lang w:val="en-US"/>
        </w:rPr>
      </w:r>
      <w:r w:rsidRPr="00DC34EF">
        <w:rPr>
          <w:rFonts w:ascii="Garamond" w:hAnsi="Garamond" w:cstheme="minorHAnsi"/>
          <w:lang w:val="en-US"/>
        </w:rPr>
        <w:fldChar w:fldCharType="separate"/>
      </w:r>
      <w:r w:rsidRPr="00DC34EF">
        <w:rPr>
          <w:rFonts w:ascii="Garamond" w:hAnsi="Garamond" w:cstheme="minorHAnsi"/>
          <w:lang w:val="en-US"/>
        </w:rPr>
        <w:t>Annexure – II   Corporate Restructuring</w:t>
      </w:r>
      <w:r w:rsidRPr="00DC34EF">
        <w:rPr>
          <w:rFonts w:ascii="Garamond" w:hAnsi="Garamond" w:cstheme="minorHAnsi"/>
          <w:lang w:val="en-US"/>
        </w:rPr>
        <w:fldChar w:fldCharType="end"/>
      </w:r>
      <w:r w:rsidRPr="00DC34EF">
        <w:rPr>
          <w:rFonts w:ascii="Garamond" w:hAnsi="Garamond" w:cstheme="minorHAnsi"/>
          <w:lang w:val="en-US"/>
        </w:rPr>
        <w:t xml:space="preserve">. </w:t>
      </w:r>
    </w:p>
    <w:p w:rsidR="00DC34EF" w:rsidRPr="00DC34EF" w:rsidRDefault="00DC34EF" w:rsidP="00DC34EF">
      <w:pPr>
        <w:ind w:left="426"/>
        <w:jc w:val="both"/>
        <w:rPr>
          <w:rFonts w:ascii="Garamond" w:hAnsi="Garamond" w:cstheme="minorHAnsi"/>
          <w:highlight w:val="yellow"/>
          <w:lang w:val="en-US"/>
        </w:rPr>
      </w:pPr>
    </w:p>
    <w:p w:rsidR="00DC34EF" w:rsidRPr="00DC34EF" w:rsidRDefault="00DC34EF" w:rsidP="00456F4D">
      <w:pPr>
        <w:pStyle w:val="ListParagraph"/>
        <w:numPr>
          <w:ilvl w:val="1"/>
          <w:numId w:val="17"/>
        </w:numPr>
        <w:spacing w:after="0" w:line="240" w:lineRule="auto"/>
        <w:ind w:left="426"/>
        <w:jc w:val="both"/>
        <w:rPr>
          <w:rFonts w:ascii="Garamond" w:hAnsi="Garamond" w:cstheme="minorHAnsi"/>
          <w:sz w:val="24"/>
          <w:szCs w:val="24"/>
        </w:rPr>
      </w:pPr>
      <w:r w:rsidRPr="00DC34EF">
        <w:rPr>
          <w:rFonts w:ascii="Garamond" w:hAnsi="Garamond" w:cstheme="minorHAnsi"/>
          <w:sz w:val="24"/>
          <w:szCs w:val="24"/>
        </w:rPr>
        <w:t xml:space="preserve">The findings and recommendations on Secondary Market, Holding of Securities and Mutual Funds are presented in the respective chapters, incorporating the relevant data tables. The chapter on ‘Data’ gives details on its sources, methodology and limitations. </w:t>
      </w:r>
    </w:p>
    <w:p w:rsidR="00DC34EF" w:rsidRPr="00DC34EF" w:rsidRDefault="00DC34EF" w:rsidP="00DC34EF">
      <w:pPr>
        <w:ind w:left="-6"/>
        <w:jc w:val="both"/>
        <w:rPr>
          <w:rFonts w:ascii="Garamond" w:hAnsi="Garamond" w:cstheme="minorHAnsi"/>
          <w:lang w:val="en-US"/>
        </w:rPr>
      </w:pPr>
    </w:p>
    <w:p w:rsidR="00DC34EF" w:rsidRPr="003A273B" w:rsidRDefault="00DC34EF" w:rsidP="00456F4D">
      <w:pPr>
        <w:pStyle w:val="ListParagraph"/>
        <w:numPr>
          <w:ilvl w:val="1"/>
          <w:numId w:val="17"/>
        </w:numPr>
        <w:spacing w:after="0" w:line="240" w:lineRule="auto"/>
        <w:ind w:left="426"/>
        <w:jc w:val="both"/>
        <w:rPr>
          <w:rFonts w:ascii="Garamond" w:hAnsi="Garamond" w:cstheme="minorHAnsi"/>
          <w:sz w:val="24"/>
          <w:szCs w:val="24"/>
        </w:rPr>
      </w:pPr>
      <w:r w:rsidRPr="00DC34EF">
        <w:rPr>
          <w:rFonts w:ascii="Garamond" w:hAnsi="Garamond" w:cstheme="minorHAnsi"/>
          <w:sz w:val="24"/>
          <w:szCs w:val="24"/>
        </w:rPr>
        <w:t xml:space="preserve">The combined study across all the segments of the market and its comparison, brings out the regulatory best practices in each segment and also helps in identifying the gaps therein. Items of merit identified in each segment have </w:t>
      </w:r>
      <w:r w:rsidR="00A425A6" w:rsidRPr="003A273B">
        <w:rPr>
          <w:rFonts w:ascii="Garamond" w:hAnsi="Garamond" w:cstheme="minorHAnsi"/>
          <w:sz w:val="24"/>
          <w:szCs w:val="24"/>
        </w:rPr>
        <w:t xml:space="preserve">been </w:t>
      </w:r>
      <w:r w:rsidRPr="003A273B">
        <w:rPr>
          <w:rFonts w:ascii="Garamond" w:hAnsi="Garamond" w:cstheme="minorHAnsi"/>
          <w:sz w:val="24"/>
          <w:szCs w:val="24"/>
        </w:rPr>
        <w:t xml:space="preserve">made applicable across the other segments and have been incorporated in the recommendations. Likewise, gaps in the regulatory framework in each segment have been recommended to be remedied, using the same approach. Implementation of these recommendation would, inter-alia, bring uniformity of norms, viz. the investors, across all segments of market. The contents of this report are drafted in a non-repetitive manner. Where there is a need for overlap, the contents </w:t>
      </w:r>
      <w:r w:rsidR="00A425A6" w:rsidRPr="003A273B">
        <w:rPr>
          <w:rFonts w:ascii="Garamond" w:hAnsi="Garamond" w:cstheme="minorHAnsi"/>
          <w:sz w:val="24"/>
          <w:szCs w:val="24"/>
        </w:rPr>
        <w:t>at</w:t>
      </w:r>
      <w:r w:rsidRPr="003A273B">
        <w:rPr>
          <w:rFonts w:ascii="Garamond" w:hAnsi="Garamond" w:cstheme="minorHAnsi"/>
          <w:sz w:val="24"/>
          <w:szCs w:val="24"/>
        </w:rPr>
        <w:t xml:space="preserve"> one place are adequate</w:t>
      </w:r>
      <w:r w:rsidR="00A425A6" w:rsidRPr="003A273B">
        <w:rPr>
          <w:rFonts w:ascii="Garamond" w:hAnsi="Garamond" w:cstheme="minorHAnsi"/>
          <w:sz w:val="24"/>
          <w:szCs w:val="24"/>
        </w:rPr>
        <w:t>ly</w:t>
      </w:r>
      <w:r w:rsidRPr="003A273B">
        <w:rPr>
          <w:rFonts w:ascii="Garamond" w:hAnsi="Garamond" w:cstheme="minorHAnsi"/>
          <w:sz w:val="24"/>
          <w:szCs w:val="24"/>
        </w:rPr>
        <w:t xml:space="preserve"> cross referenced so as to bring out the holistic picture without repetition. </w:t>
      </w:r>
      <w:bookmarkEnd w:id="4"/>
    </w:p>
    <w:p w:rsidR="00DC34EF" w:rsidRPr="00DC34EF" w:rsidRDefault="00DC34EF" w:rsidP="00DC34EF">
      <w:pPr>
        <w:ind w:left="-6"/>
        <w:jc w:val="both"/>
        <w:rPr>
          <w:rFonts w:ascii="Garamond" w:hAnsi="Garamond" w:cstheme="minorHAnsi"/>
          <w:lang w:val="en-US"/>
        </w:rPr>
      </w:pPr>
    </w:p>
    <w:p w:rsidR="00DC34EF" w:rsidRPr="004A0C2B" w:rsidRDefault="00DC34EF" w:rsidP="004A0C2B">
      <w:pPr>
        <w:spacing w:after="160" w:line="259" w:lineRule="auto"/>
        <w:rPr>
          <w:rFonts w:ascii="Garamond" w:eastAsiaTheme="majorEastAsia" w:hAnsi="Garamond" w:cstheme="minorHAnsi"/>
          <w:color w:val="2E74B5" w:themeColor="accent1" w:themeShade="BF"/>
          <w:lang w:val="en-US"/>
        </w:rPr>
      </w:pPr>
      <w:r w:rsidRPr="00DC34EF">
        <w:rPr>
          <w:rFonts w:ascii="Garamond" w:hAnsi="Garamond" w:cstheme="minorHAnsi"/>
          <w:lang w:val="en-US"/>
        </w:rPr>
        <w:br w:type="page"/>
      </w:r>
    </w:p>
    <w:p w:rsidR="00DC34EF" w:rsidRPr="004A0C2B" w:rsidRDefault="00DC34EF" w:rsidP="00456F4D">
      <w:pPr>
        <w:pStyle w:val="ListParagraph"/>
        <w:numPr>
          <w:ilvl w:val="0"/>
          <w:numId w:val="24"/>
        </w:numPr>
        <w:spacing w:after="0"/>
        <w:jc w:val="both"/>
        <w:rPr>
          <w:rFonts w:ascii="Garamond" w:hAnsi="Garamond" w:cstheme="minorHAnsi"/>
          <w:b/>
          <w:bCs/>
          <w:sz w:val="24"/>
          <w:szCs w:val="24"/>
        </w:rPr>
      </w:pPr>
      <w:r w:rsidRPr="004A0C2B">
        <w:rPr>
          <w:rFonts w:ascii="Garamond" w:hAnsi="Garamond" w:cstheme="minorHAnsi"/>
          <w:b/>
          <w:bCs/>
          <w:sz w:val="24"/>
          <w:szCs w:val="24"/>
        </w:rPr>
        <w:lastRenderedPageBreak/>
        <w:t>Secondary market - trading through stock exchange</w:t>
      </w:r>
    </w:p>
    <w:p w:rsidR="00DC34EF" w:rsidRPr="00DC34EF" w:rsidRDefault="00DC34EF" w:rsidP="00DC34EF">
      <w:pPr>
        <w:jc w:val="both"/>
        <w:rPr>
          <w:rFonts w:ascii="Garamond" w:hAnsi="Garamond" w:cstheme="minorHAnsi"/>
          <w:lang w:val="en-US"/>
        </w:rPr>
      </w:pPr>
    </w:p>
    <w:p w:rsidR="00DC34EF" w:rsidRPr="00DC34EF" w:rsidRDefault="00DC34EF" w:rsidP="00456F4D">
      <w:pPr>
        <w:pStyle w:val="ListParagraph"/>
        <w:numPr>
          <w:ilvl w:val="1"/>
          <w:numId w:val="17"/>
        </w:numPr>
        <w:spacing w:after="0" w:line="240" w:lineRule="auto"/>
        <w:ind w:left="426"/>
        <w:jc w:val="both"/>
        <w:rPr>
          <w:rFonts w:ascii="Garamond" w:hAnsi="Garamond" w:cstheme="minorHAnsi"/>
          <w:sz w:val="24"/>
          <w:szCs w:val="24"/>
        </w:rPr>
      </w:pPr>
      <w:r w:rsidRPr="00DC34EF">
        <w:rPr>
          <w:rFonts w:ascii="Garamond" w:hAnsi="Garamond" w:cstheme="minorHAnsi"/>
          <w:sz w:val="24"/>
          <w:szCs w:val="24"/>
        </w:rPr>
        <w:t xml:space="preserve">The money and securities of the investors (clients) are placed with the </w:t>
      </w:r>
      <w:r w:rsidR="004A0C2B" w:rsidRPr="004A0C2B">
        <w:rPr>
          <w:rFonts w:ascii="Garamond" w:hAnsi="Garamond" w:cstheme="minorHAnsi"/>
          <w:sz w:val="24"/>
          <w:szCs w:val="24"/>
        </w:rPr>
        <w:t>trading member</w:t>
      </w:r>
      <w:r w:rsidR="004A0C2B">
        <w:rPr>
          <w:rFonts w:ascii="Garamond" w:hAnsi="Garamond" w:cstheme="minorHAnsi"/>
          <w:sz w:val="24"/>
          <w:szCs w:val="24"/>
        </w:rPr>
        <w:t xml:space="preserve"> (</w:t>
      </w:r>
      <w:r w:rsidRPr="00DC34EF">
        <w:rPr>
          <w:rFonts w:ascii="Garamond" w:hAnsi="Garamond" w:cstheme="minorHAnsi"/>
          <w:sz w:val="24"/>
          <w:szCs w:val="24"/>
        </w:rPr>
        <w:t>TM</w:t>
      </w:r>
      <w:r w:rsidR="004A0C2B">
        <w:rPr>
          <w:rFonts w:ascii="Garamond" w:hAnsi="Garamond" w:cstheme="minorHAnsi"/>
          <w:sz w:val="24"/>
          <w:szCs w:val="24"/>
        </w:rPr>
        <w:t>)</w:t>
      </w:r>
      <w:r w:rsidRPr="00DC34EF">
        <w:rPr>
          <w:rFonts w:ascii="Garamond" w:hAnsi="Garamond" w:cstheme="minorHAnsi"/>
          <w:sz w:val="24"/>
          <w:szCs w:val="24"/>
        </w:rPr>
        <w:t xml:space="preserve"> for execution of trade and the latter is required to settle securities forthwith and money on monthly / quarterly basis as per the former’s choice. However, some trading accounts become dormant, even as the assets of client are still with the TM. Returning these assets to the account of the client is unsuccessful where the latter’s bank / demat account is inactive / frozen, respectively. Further, when the contact details of the client are invalid or upon his / her demise, the client becomes untraceable, </w:t>
      </w:r>
      <w:r w:rsidRPr="004A0C2B">
        <w:rPr>
          <w:rFonts w:ascii="Garamond" w:hAnsi="Garamond" w:cstheme="minorHAnsi"/>
          <w:sz w:val="24"/>
          <w:szCs w:val="24"/>
        </w:rPr>
        <w:t>rend</w:t>
      </w:r>
      <w:r w:rsidR="004A0C2B" w:rsidRPr="004A0C2B">
        <w:rPr>
          <w:rFonts w:ascii="Garamond" w:hAnsi="Garamond" w:cstheme="minorHAnsi"/>
          <w:sz w:val="24"/>
          <w:szCs w:val="24"/>
        </w:rPr>
        <w:t>er</w:t>
      </w:r>
      <w:r w:rsidRPr="004A0C2B">
        <w:rPr>
          <w:rFonts w:ascii="Garamond" w:hAnsi="Garamond" w:cstheme="minorHAnsi"/>
          <w:sz w:val="24"/>
          <w:szCs w:val="24"/>
        </w:rPr>
        <w:t>ing</w:t>
      </w:r>
      <w:r w:rsidRPr="00DC34EF">
        <w:rPr>
          <w:rFonts w:ascii="Garamond" w:hAnsi="Garamond" w:cstheme="minorHAnsi"/>
          <w:sz w:val="24"/>
          <w:szCs w:val="24"/>
        </w:rPr>
        <w:t xml:space="preserve"> his / her assets with the TM, unclaimed. </w:t>
      </w:r>
    </w:p>
    <w:p w:rsidR="00DC34EF" w:rsidRPr="00DC34EF" w:rsidRDefault="00DC34EF" w:rsidP="00DC34EF">
      <w:pPr>
        <w:ind w:left="360"/>
        <w:jc w:val="both"/>
        <w:rPr>
          <w:rFonts w:ascii="Garamond" w:hAnsi="Garamond" w:cstheme="minorHAnsi"/>
          <w:lang w:val="en-US"/>
        </w:rPr>
      </w:pPr>
    </w:p>
    <w:p w:rsidR="00DC34EF" w:rsidRPr="00DC34EF" w:rsidRDefault="00DC34EF" w:rsidP="00456F4D">
      <w:pPr>
        <w:pStyle w:val="ListParagraph"/>
        <w:numPr>
          <w:ilvl w:val="1"/>
          <w:numId w:val="17"/>
        </w:numPr>
        <w:spacing w:after="0" w:line="240" w:lineRule="auto"/>
        <w:ind w:left="426"/>
        <w:jc w:val="both"/>
        <w:rPr>
          <w:rFonts w:ascii="Garamond" w:hAnsi="Garamond" w:cstheme="minorHAnsi"/>
          <w:sz w:val="24"/>
          <w:szCs w:val="24"/>
        </w:rPr>
      </w:pPr>
      <w:r w:rsidRPr="00DC34EF">
        <w:rPr>
          <w:rFonts w:ascii="Garamond" w:hAnsi="Garamond" w:cstheme="minorHAnsi"/>
          <w:sz w:val="24"/>
          <w:szCs w:val="24"/>
        </w:rPr>
        <w:t>The other sources of generation of unclaimed assets with TM include,</w:t>
      </w:r>
    </w:p>
    <w:p w:rsidR="00DC34EF" w:rsidRPr="00DC34EF" w:rsidRDefault="00DC34EF" w:rsidP="00456F4D">
      <w:pPr>
        <w:pStyle w:val="ListParagraph"/>
        <w:numPr>
          <w:ilvl w:val="0"/>
          <w:numId w:val="30"/>
        </w:numPr>
        <w:spacing w:before="100" w:beforeAutospacing="1" w:after="100" w:afterAutospacing="1" w:line="240" w:lineRule="auto"/>
        <w:ind w:left="1077" w:hanging="357"/>
        <w:jc w:val="both"/>
        <w:rPr>
          <w:rFonts w:ascii="Garamond" w:hAnsi="Garamond" w:cstheme="minorHAnsi"/>
          <w:sz w:val="24"/>
          <w:szCs w:val="24"/>
        </w:rPr>
      </w:pPr>
      <w:r w:rsidRPr="00DC34EF">
        <w:rPr>
          <w:rFonts w:ascii="Garamond" w:hAnsi="Garamond" w:cstheme="minorHAnsi"/>
          <w:sz w:val="24"/>
          <w:szCs w:val="24"/>
        </w:rPr>
        <w:t>crediting of money / securities to the TM’s account by the client without intimation</w:t>
      </w:r>
    </w:p>
    <w:p w:rsidR="00DC34EF" w:rsidRPr="00DC34EF" w:rsidRDefault="00DC34EF" w:rsidP="00456F4D">
      <w:pPr>
        <w:pStyle w:val="ListParagraph"/>
        <w:numPr>
          <w:ilvl w:val="0"/>
          <w:numId w:val="30"/>
        </w:numPr>
        <w:spacing w:before="100" w:beforeAutospacing="1" w:after="100" w:afterAutospacing="1" w:line="240" w:lineRule="auto"/>
        <w:ind w:left="1077" w:hanging="357"/>
        <w:jc w:val="both"/>
        <w:rPr>
          <w:rFonts w:ascii="Garamond" w:hAnsi="Garamond" w:cstheme="minorHAnsi"/>
          <w:sz w:val="24"/>
          <w:szCs w:val="24"/>
        </w:rPr>
      </w:pPr>
      <w:r w:rsidRPr="00DC34EF">
        <w:rPr>
          <w:rFonts w:ascii="Garamond" w:hAnsi="Garamond" w:cstheme="minorHAnsi"/>
          <w:sz w:val="24"/>
          <w:szCs w:val="24"/>
        </w:rPr>
        <w:t xml:space="preserve">dividend on unclaimed shares, and </w:t>
      </w:r>
    </w:p>
    <w:p w:rsidR="00DC34EF" w:rsidRPr="00DC34EF" w:rsidRDefault="00DC34EF" w:rsidP="00456F4D">
      <w:pPr>
        <w:pStyle w:val="ListParagraph"/>
        <w:numPr>
          <w:ilvl w:val="0"/>
          <w:numId w:val="30"/>
        </w:numPr>
        <w:spacing w:before="100" w:beforeAutospacing="1" w:after="100" w:afterAutospacing="1" w:line="240" w:lineRule="auto"/>
        <w:ind w:left="1077" w:hanging="357"/>
        <w:jc w:val="both"/>
        <w:rPr>
          <w:rFonts w:ascii="Garamond" w:hAnsi="Garamond" w:cstheme="minorHAnsi"/>
          <w:sz w:val="24"/>
          <w:szCs w:val="24"/>
        </w:rPr>
      </w:pPr>
      <w:r w:rsidRPr="00DC34EF">
        <w:rPr>
          <w:rFonts w:ascii="Garamond" w:hAnsi="Garamond" w:cstheme="minorHAnsi"/>
          <w:sz w:val="24"/>
          <w:szCs w:val="24"/>
        </w:rPr>
        <w:t xml:space="preserve">money paid by prospective client to the TM, whose on-boarding is unsuccessful.  </w:t>
      </w:r>
    </w:p>
    <w:p w:rsidR="00DC34EF" w:rsidRPr="00DC34EF" w:rsidRDefault="00DC34EF" w:rsidP="00DC34EF">
      <w:pPr>
        <w:jc w:val="both"/>
        <w:rPr>
          <w:rFonts w:ascii="Garamond" w:hAnsi="Garamond" w:cstheme="minorHAnsi"/>
          <w:lang w:val="en-US"/>
        </w:rPr>
      </w:pPr>
    </w:p>
    <w:p w:rsidR="00DC34EF" w:rsidRPr="00DC34EF" w:rsidRDefault="00DC34EF" w:rsidP="00456F4D">
      <w:pPr>
        <w:pStyle w:val="ListParagraph"/>
        <w:numPr>
          <w:ilvl w:val="1"/>
          <w:numId w:val="17"/>
        </w:numPr>
        <w:spacing w:after="0" w:line="240" w:lineRule="auto"/>
        <w:ind w:left="426"/>
        <w:jc w:val="both"/>
        <w:rPr>
          <w:rFonts w:ascii="Garamond" w:hAnsi="Garamond" w:cstheme="minorHAnsi"/>
          <w:sz w:val="24"/>
          <w:szCs w:val="24"/>
        </w:rPr>
      </w:pPr>
      <w:r w:rsidRPr="00DC34EF">
        <w:rPr>
          <w:rFonts w:ascii="Garamond" w:hAnsi="Garamond" w:cstheme="minorHAnsi"/>
          <w:sz w:val="24"/>
          <w:szCs w:val="24"/>
        </w:rPr>
        <w:t>SEBI has issued many circulars to safeguard the assets of investors that are in the custody of the TMs. The circular of June 20, 2019</w:t>
      </w:r>
      <w:r w:rsidRPr="004A0C2B">
        <w:rPr>
          <w:vertAlign w:val="superscript"/>
        </w:rPr>
        <w:footnoteReference w:id="10"/>
      </w:r>
      <w:r w:rsidRPr="00DC34EF">
        <w:rPr>
          <w:rFonts w:ascii="Garamond" w:hAnsi="Garamond" w:cstheme="minorHAnsi"/>
          <w:sz w:val="24"/>
          <w:szCs w:val="24"/>
        </w:rPr>
        <w:t xml:space="preserve">, consolidates the existing regulatory framework in this regard and also details further safeguards for client securities. </w:t>
      </w:r>
    </w:p>
    <w:p w:rsidR="00DC34EF" w:rsidRPr="00DC34EF" w:rsidRDefault="00DC34EF" w:rsidP="00DC34EF">
      <w:pPr>
        <w:pStyle w:val="ListParagraph"/>
        <w:rPr>
          <w:rFonts w:ascii="Garamond" w:hAnsi="Garamond" w:cstheme="minorHAnsi"/>
          <w:sz w:val="24"/>
          <w:szCs w:val="24"/>
        </w:rPr>
      </w:pPr>
    </w:p>
    <w:p w:rsidR="00DC34EF" w:rsidRPr="00DC34EF" w:rsidRDefault="00DC34EF" w:rsidP="00456F4D">
      <w:pPr>
        <w:pStyle w:val="ListParagraph"/>
        <w:numPr>
          <w:ilvl w:val="1"/>
          <w:numId w:val="17"/>
        </w:numPr>
        <w:spacing w:after="0" w:line="240" w:lineRule="auto"/>
        <w:ind w:left="426"/>
        <w:jc w:val="both"/>
        <w:rPr>
          <w:rFonts w:ascii="Garamond" w:hAnsi="Garamond" w:cstheme="minorHAnsi"/>
          <w:sz w:val="24"/>
          <w:szCs w:val="24"/>
        </w:rPr>
      </w:pPr>
      <w:r w:rsidRPr="00DC34EF">
        <w:rPr>
          <w:rFonts w:ascii="Garamond" w:hAnsi="Garamond" w:cstheme="minorHAnsi"/>
          <w:sz w:val="24"/>
          <w:szCs w:val="24"/>
        </w:rPr>
        <w:t>Stock exchanges identify unclaimed assets of clients vide verification of trail balance or bank books or securities holding report of the TM in their inspection. Further, BSE</w:t>
      </w:r>
      <w:r w:rsidRPr="004A0C2B">
        <w:rPr>
          <w:vertAlign w:val="superscript"/>
        </w:rPr>
        <w:footnoteReference w:id="11"/>
      </w:r>
      <w:r w:rsidRPr="00DC34EF">
        <w:rPr>
          <w:rFonts w:ascii="Garamond" w:hAnsi="Garamond" w:cstheme="minorHAnsi"/>
          <w:sz w:val="24"/>
          <w:szCs w:val="24"/>
        </w:rPr>
        <w:t xml:space="preserve"> &amp; NSE</w:t>
      </w:r>
      <w:r w:rsidRPr="004A0C2B">
        <w:rPr>
          <w:vertAlign w:val="superscript"/>
        </w:rPr>
        <w:footnoteReference w:id="12"/>
      </w:r>
      <w:r w:rsidRPr="00DC34EF">
        <w:rPr>
          <w:rFonts w:ascii="Garamond" w:hAnsi="Garamond" w:cstheme="minorHAnsi"/>
          <w:sz w:val="24"/>
          <w:szCs w:val="24"/>
        </w:rPr>
        <w:t xml:space="preserve"> vide their notice / circular of February 10, 2020, have mandated their TMs to identity clients who have been inactive for the last 12 months across all exchanges and flag their Unique Client Code as ‘Inactive’. TMs are also required to keep these assets in separate client bank / demat account, respectively, maintain audit trail of inflow and outflow from these accounts and also file detailed report</w:t>
      </w:r>
      <w:r w:rsidRPr="004A0C2B">
        <w:rPr>
          <w:vertAlign w:val="superscript"/>
        </w:rPr>
        <w:footnoteReference w:id="13"/>
      </w:r>
      <w:r w:rsidRPr="00DC34EF">
        <w:rPr>
          <w:rFonts w:ascii="Garamond" w:hAnsi="Garamond" w:cstheme="minorHAnsi"/>
          <w:sz w:val="24"/>
          <w:szCs w:val="24"/>
        </w:rPr>
        <w:t xml:space="preserve"> to stock exchanges on quarterly basis. Claims from these clients are required to be settled immediately to the concerned client only. The existing regulatory framework or the Bye-laws of the stock exchange do not have any specific provision pertaining to the unclaimed assets of clients, when the membership of a TM is terminated voluntarily or otherwise. </w:t>
      </w:r>
    </w:p>
    <w:p w:rsidR="00DC34EF" w:rsidRPr="00DC34EF" w:rsidRDefault="00DC34EF" w:rsidP="00DC34EF">
      <w:pPr>
        <w:jc w:val="both"/>
        <w:rPr>
          <w:rFonts w:ascii="Garamond" w:hAnsi="Garamond" w:cstheme="minorHAnsi"/>
          <w:lang w:val="en-US"/>
        </w:rPr>
      </w:pPr>
    </w:p>
    <w:p w:rsidR="00DC34EF" w:rsidRPr="00DC34EF" w:rsidRDefault="00DC34EF" w:rsidP="00456F4D">
      <w:pPr>
        <w:pStyle w:val="ListParagraph"/>
        <w:numPr>
          <w:ilvl w:val="1"/>
          <w:numId w:val="17"/>
        </w:numPr>
        <w:spacing w:after="0" w:line="240" w:lineRule="auto"/>
        <w:ind w:left="426"/>
        <w:jc w:val="both"/>
        <w:rPr>
          <w:rFonts w:ascii="Garamond" w:hAnsi="Garamond" w:cstheme="minorHAnsi"/>
          <w:sz w:val="24"/>
          <w:szCs w:val="24"/>
        </w:rPr>
      </w:pPr>
      <w:r w:rsidRPr="00DC34EF">
        <w:rPr>
          <w:rFonts w:ascii="Garamond" w:hAnsi="Garamond" w:cstheme="minorHAnsi"/>
          <w:sz w:val="24"/>
          <w:szCs w:val="24"/>
        </w:rPr>
        <w:t>The stock exchanges have stated that they do not have the data on unclaimed assets that are with their TMs. However, it was observed in an inspection</w:t>
      </w:r>
      <w:r w:rsidRPr="004A0C2B">
        <w:rPr>
          <w:vertAlign w:val="superscript"/>
        </w:rPr>
        <w:footnoteReference w:id="14"/>
      </w:r>
      <w:r w:rsidRPr="00DC34EF">
        <w:rPr>
          <w:rFonts w:ascii="Garamond" w:hAnsi="Garamond" w:cstheme="minorHAnsi"/>
          <w:sz w:val="24"/>
          <w:szCs w:val="24"/>
        </w:rPr>
        <w:t xml:space="preserve"> that for the quarter of January to March 2017, </w:t>
      </w:r>
      <w:r w:rsidRPr="004A0C2B">
        <w:rPr>
          <w:rFonts w:ascii="Times New Roman" w:hAnsi="Times New Roman"/>
          <w:sz w:val="24"/>
          <w:szCs w:val="24"/>
        </w:rPr>
        <w:t>₹</w:t>
      </w:r>
      <w:r w:rsidRPr="00DC34EF">
        <w:rPr>
          <w:rFonts w:ascii="Garamond" w:hAnsi="Garamond" w:cstheme="minorHAnsi"/>
          <w:sz w:val="24"/>
          <w:szCs w:val="24"/>
        </w:rPr>
        <w:t xml:space="preserve"> 1.43 crore and </w:t>
      </w:r>
      <w:r w:rsidRPr="004A0C2B">
        <w:rPr>
          <w:rFonts w:ascii="Times New Roman" w:hAnsi="Times New Roman"/>
          <w:sz w:val="24"/>
          <w:szCs w:val="24"/>
        </w:rPr>
        <w:t>₹</w:t>
      </w:r>
      <w:r w:rsidRPr="00DC34EF">
        <w:rPr>
          <w:rFonts w:ascii="Garamond" w:hAnsi="Garamond" w:cstheme="minorHAnsi"/>
          <w:sz w:val="24"/>
          <w:szCs w:val="24"/>
        </w:rPr>
        <w:t xml:space="preserve"> 4.73 crore of money and securities, respectively, pertaining to 4,216 clients were lying unclaimed with a TM, which had very large retail client base</w:t>
      </w:r>
      <w:r w:rsidRPr="004A0C2B">
        <w:rPr>
          <w:vertAlign w:val="superscript"/>
        </w:rPr>
        <w:footnoteReference w:id="15"/>
      </w:r>
      <w:r w:rsidRPr="00DC34EF">
        <w:rPr>
          <w:rFonts w:ascii="Garamond" w:hAnsi="Garamond" w:cstheme="minorHAnsi"/>
          <w:sz w:val="24"/>
          <w:szCs w:val="24"/>
        </w:rPr>
        <w:t xml:space="preserve">. However, this data of this TM as on December 31, 2020, i.e. after implementation of the cited June 2019 circular, has come down to </w:t>
      </w:r>
      <w:r w:rsidRPr="004A0C2B">
        <w:rPr>
          <w:rFonts w:ascii="Times New Roman" w:hAnsi="Times New Roman"/>
          <w:sz w:val="24"/>
          <w:szCs w:val="24"/>
        </w:rPr>
        <w:t>₹</w:t>
      </w:r>
      <w:r w:rsidR="00B00383">
        <w:rPr>
          <w:rFonts w:ascii="Garamond" w:hAnsi="Garamond" w:cstheme="minorHAnsi"/>
          <w:sz w:val="24"/>
          <w:szCs w:val="24"/>
        </w:rPr>
        <w:t xml:space="preserve"> 1.34 crore and Rs. 8.3 lakh</w:t>
      </w:r>
      <w:r w:rsidRPr="00DC34EF">
        <w:rPr>
          <w:rFonts w:ascii="Garamond" w:hAnsi="Garamond" w:cstheme="minorHAnsi"/>
          <w:sz w:val="24"/>
          <w:szCs w:val="24"/>
        </w:rPr>
        <w:t xml:space="preserve"> respectively.  Additionally, in terms of this circula</w:t>
      </w:r>
      <w:r w:rsidR="00B00383">
        <w:rPr>
          <w:rFonts w:ascii="Garamond" w:hAnsi="Garamond" w:cstheme="minorHAnsi"/>
          <w:sz w:val="24"/>
          <w:szCs w:val="24"/>
        </w:rPr>
        <w:t>r, securities worth Rs. 43 lakh</w:t>
      </w:r>
      <w:r w:rsidRPr="00DC34EF">
        <w:rPr>
          <w:rFonts w:ascii="Garamond" w:hAnsi="Garamond" w:cstheme="minorHAnsi"/>
          <w:sz w:val="24"/>
          <w:szCs w:val="24"/>
        </w:rPr>
        <w:t xml:space="preserve"> is sequestered in the Client Unpaid Securities Account (</w:t>
      </w:r>
      <w:r w:rsidRPr="004A0C2B">
        <w:rPr>
          <w:rFonts w:ascii="Garamond" w:hAnsi="Garamond" w:cstheme="minorHAnsi"/>
          <w:sz w:val="24"/>
          <w:szCs w:val="24"/>
        </w:rPr>
        <w:t>CUSA</w:t>
      </w:r>
      <w:r w:rsidRPr="00DC34EF">
        <w:rPr>
          <w:rFonts w:ascii="Garamond" w:hAnsi="Garamond" w:cstheme="minorHAnsi"/>
          <w:sz w:val="24"/>
          <w:szCs w:val="24"/>
        </w:rPr>
        <w:t xml:space="preserve">), as on this date, mitigating the concerns in this regard.  </w:t>
      </w:r>
    </w:p>
    <w:p w:rsidR="00DC34EF" w:rsidRPr="00DC34EF" w:rsidRDefault="00DC34EF" w:rsidP="00DC34EF">
      <w:pPr>
        <w:pStyle w:val="ListParagraph"/>
        <w:rPr>
          <w:rFonts w:ascii="Garamond" w:hAnsi="Garamond" w:cs="Tahoma"/>
          <w:sz w:val="24"/>
          <w:szCs w:val="24"/>
        </w:rPr>
      </w:pPr>
    </w:p>
    <w:p w:rsidR="00DC34EF" w:rsidRPr="00DC34EF" w:rsidRDefault="00DC34EF" w:rsidP="00456F4D">
      <w:pPr>
        <w:pStyle w:val="ListParagraph"/>
        <w:numPr>
          <w:ilvl w:val="1"/>
          <w:numId w:val="24"/>
        </w:numPr>
        <w:spacing w:before="100" w:beforeAutospacing="1" w:after="100" w:afterAutospacing="1" w:line="240" w:lineRule="auto"/>
        <w:jc w:val="both"/>
        <w:rPr>
          <w:rFonts w:ascii="Garamond" w:hAnsi="Garamond" w:cstheme="minorHAnsi"/>
          <w:sz w:val="24"/>
          <w:szCs w:val="24"/>
        </w:rPr>
      </w:pPr>
      <w:bookmarkStart w:id="10" w:name="_Ref60132313"/>
      <w:r w:rsidRPr="00DC34EF">
        <w:rPr>
          <w:rFonts w:ascii="Garamond" w:hAnsi="Garamond" w:cstheme="minorHAnsi"/>
          <w:sz w:val="24"/>
          <w:szCs w:val="24"/>
        </w:rPr>
        <w:lastRenderedPageBreak/>
        <w:t xml:space="preserve">As unclaimed assets of the clients lying in the custody of TMs is not desirable, it is </w:t>
      </w:r>
      <w:r w:rsidRPr="00B00383">
        <w:rPr>
          <w:rFonts w:ascii="Garamond" w:hAnsi="Garamond" w:cstheme="minorHAnsi"/>
          <w:b/>
          <w:bCs/>
          <w:sz w:val="24"/>
          <w:szCs w:val="24"/>
        </w:rPr>
        <w:t>recommended</w:t>
      </w:r>
      <w:r w:rsidRPr="00B00383">
        <w:rPr>
          <w:rFonts w:ascii="Garamond" w:hAnsi="Garamond" w:cstheme="minorHAnsi"/>
          <w:sz w:val="24"/>
          <w:szCs w:val="24"/>
        </w:rPr>
        <w:t xml:space="preserve"> </w:t>
      </w:r>
      <w:r w:rsidRPr="00DC34EF">
        <w:rPr>
          <w:rFonts w:ascii="Garamond" w:hAnsi="Garamond" w:cstheme="minorHAnsi"/>
          <w:sz w:val="24"/>
          <w:szCs w:val="24"/>
        </w:rPr>
        <w:t xml:space="preserve">that the regulatory policy framework for the same may be formulated, </w:t>
      </w:r>
      <w:r w:rsidRPr="00DC34EF">
        <w:rPr>
          <w:rFonts w:ascii="Garamond" w:hAnsi="Garamond" w:cstheme="minorHAnsi"/>
          <w:i/>
          <w:iCs/>
          <w:sz w:val="24"/>
          <w:szCs w:val="24"/>
        </w:rPr>
        <w:t>inter-alia</w:t>
      </w:r>
      <w:r w:rsidRPr="00DC34EF">
        <w:rPr>
          <w:rFonts w:ascii="Garamond" w:hAnsi="Garamond" w:cstheme="minorHAnsi"/>
          <w:sz w:val="24"/>
          <w:szCs w:val="24"/>
        </w:rPr>
        <w:t>, spelling out</w:t>
      </w:r>
      <w:bookmarkEnd w:id="10"/>
      <w:r w:rsidRPr="00DC34EF">
        <w:rPr>
          <w:rFonts w:ascii="Garamond" w:hAnsi="Garamond" w:cstheme="minorHAnsi"/>
          <w:sz w:val="24"/>
          <w:szCs w:val="24"/>
        </w:rPr>
        <w:t xml:space="preserve"> </w:t>
      </w:r>
    </w:p>
    <w:p w:rsidR="00DC34EF" w:rsidRPr="00DC34EF" w:rsidRDefault="00DC34EF" w:rsidP="00456F4D">
      <w:pPr>
        <w:pStyle w:val="ListParagraph"/>
        <w:numPr>
          <w:ilvl w:val="0"/>
          <w:numId w:val="22"/>
        </w:numPr>
        <w:spacing w:before="100" w:beforeAutospacing="1" w:after="100" w:afterAutospacing="1" w:line="240" w:lineRule="auto"/>
        <w:jc w:val="both"/>
        <w:rPr>
          <w:rFonts w:ascii="Garamond" w:hAnsi="Garamond" w:cstheme="minorHAnsi"/>
          <w:sz w:val="24"/>
          <w:szCs w:val="24"/>
        </w:rPr>
      </w:pPr>
      <w:r w:rsidRPr="00DC34EF">
        <w:rPr>
          <w:rFonts w:ascii="Garamond" w:hAnsi="Garamond" w:cstheme="minorHAnsi"/>
          <w:sz w:val="24"/>
          <w:szCs w:val="24"/>
        </w:rPr>
        <w:t xml:space="preserve">definition and identification of unclaimed assets with TM and norms for book keeping and reconciliation </w:t>
      </w:r>
    </w:p>
    <w:p w:rsidR="00DC34EF" w:rsidRPr="00DC34EF" w:rsidRDefault="00DC34EF" w:rsidP="00456F4D">
      <w:pPr>
        <w:pStyle w:val="ListParagraph"/>
        <w:numPr>
          <w:ilvl w:val="0"/>
          <w:numId w:val="22"/>
        </w:numPr>
        <w:spacing w:before="100" w:beforeAutospacing="1" w:after="100" w:afterAutospacing="1" w:line="240" w:lineRule="auto"/>
        <w:jc w:val="both"/>
        <w:rPr>
          <w:rFonts w:ascii="Garamond" w:hAnsi="Garamond" w:cstheme="minorHAnsi"/>
          <w:sz w:val="24"/>
          <w:szCs w:val="24"/>
        </w:rPr>
      </w:pPr>
      <w:r w:rsidRPr="00DC34EF">
        <w:rPr>
          <w:rFonts w:ascii="Garamond" w:hAnsi="Garamond" w:cstheme="minorHAnsi"/>
          <w:sz w:val="24"/>
          <w:szCs w:val="24"/>
        </w:rPr>
        <w:t xml:space="preserve">transfer of such money to an escrow account of the stock exchange and its investment similar to that of unclaimed money in MFs. </w:t>
      </w:r>
    </w:p>
    <w:p w:rsidR="00DC34EF" w:rsidRPr="00DC34EF" w:rsidRDefault="00DC34EF" w:rsidP="00456F4D">
      <w:pPr>
        <w:pStyle w:val="ListParagraph"/>
        <w:numPr>
          <w:ilvl w:val="0"/>
          <w:numId w:val="22"/>
        </w:numPr>
        <w:spacing w:before="100" w:beforeAutospacing="1" w:after="100" w:afterAutospacing="1" w:line="240" w:lineRule="auto"/>
        <w:jc w:val="both"/>
        <w:rPr>
          <w:rFonts w:ascii="Garamond" w:hAnsi="Garamond" w:cstheme="minorHAnsi"/>
          <w:sz w:val="24"/>
          <w:szCs w:val="24"/>
        </w:rPr>
      </w:pPr>
      <w:r w:rsidRPr="00DC34EF">
        <w:rPr>
          <w:rFonts w:ascii="Garamond" w:hAnsi="Garamond" w:cstheme="minorHAnsi"/>
          <w:sz w:val="24"/>
          <w:szCs w:val="24"/>
        </w:rPr>
        <w:t>Transfer of such securities to an escrow account of the stock exchange</w:t>
      </w:r>
    </w:p>
    <w:p w:rsidR="00DC34EF" w:rsidRPr="00DC34EF" w:rsidRDefault="00DC34EF" w:rsidP="00456F4D">
      <w:pPr>
        <w:pStyle w:val="ListParagraph"/>
        <w:numPr>
          <w:ilvl w:val="0"/>
          <w:numId w:val="22"/>
        </w:numPr>
        <w:spacing w:before="100" w:beforeAutospacing="1" w:after="100" w:afterAutospacing="1" w:line="240" w:lineRule="auto"/>
        <w:jc w:val="both"/>
        <w:rPr>
          <w:rFonts w:ascii="Garamond" w:hAnsi="Garamond" w:cstheme="minorHAnsi"/>
          <w:sz w:val="24"/>
          <w:szCs w:val="24"/>
        </w:rPr>
      </w:pPr>
      <w:r w:rsidRPr="00DC34EF">
        <w:rPr>
          <w:rFonts w:ascii="Garamond" w:hAnsi="Garamond" w:cstheme="minorHAnsi"/>
          <w:sz w:val="24"/>
          <w:szCs w:val="24"/>
        </w:rPr>
        <w:t>The aforesaid transfer of client’s assets to escrow account would be applicable to TMs on on-going basis and also upon termination of membership.</w:t>
      </w:r>
    </w:p>
    <w:p w:rsidR="00DC34EF" w:rsidRPr="00DC34EF" w:rsidRDefault="00DC34EF" w:rsidP="00456F4D">
      <w:pPr>
        <w:pStyle w:val="ListParagraph"/>
        <w:numPr>
          <w:ilvl w:val="0"/>
          <w:numId w:val="22"/>
        </w:numPr>
        <w:spacing w:before="100" w:beforeAutospacing="1" w:after="100" w:afterAutospacing="1" w:line="240" w:lineRule="auto"/>
        <w:jc w:val="both"/>
        <w:rPr>
          <w:rFonts w:ascii="Garamond" w:hAnsi="Garamond" w:cstheme="minorHAnsi"/>
          <w:sz w:val="24"/>
          <w:szCs w:val="24"/>
        </w:rPr>
      </w:pPr>
      <w:r w:rsidRPr="00DC34EF">
        <w:rPr>
          <w:rFonts w:ascii="Garamond" w:hAnsi="Garamond" w:cstheme="minorHAnsi"/>
          <w:sz w:val="24"/>
          <w:szCs w:val="24"/>
        </w:rPr>
        <w:t xml:space="preserve">compulsory providing of demographic details including nomination to be provided in the KYC during account opening (as detailed in chapter, ‘Holding of Securities’, paragraphs  </w:t>
      </w:r>
      <w:r w:rsidRPr="00DC34EF">
        <w:rPr>
          <w:rFonts w:ascii="Garamond" w:hAnsi="Garamond" w:cstheme="minorHAnsi"/>
          <w:sz w:val="24"/>
          <w:szCs w:val="24"/>
        </w:rPr>
        <w:fldChar w:fldCharType="begin"/>
      </w:r>
      <w:r w:rsidRPr="00DC34EF">
        <w:rPr>
          <w:rFonts w:ascii="Garamond" w:hAnsi="Garamond" w:cstheme="minorHAnsi"/>
          <w:sz w:val="24"/>
          <w:szCs w:val="24"/>
        </w:rPr>
        <w:instrText xml:space="preserve"> REF _Ref60133616 \r \h  \* MERGEFORMAT </w:instrText>
      </w:r>
      <w:r w:rsidRPr="00DC34EF">
        <w:rPr>
          <w:rFonts w:ascii="Garamond" w:hAnsi="Garamond" w:cstheme="minorHAnsi"/>
          <w:sz w:val="24"/>
          <w:szCs w:val="24"/>
        </w:rPr>
      </w:r>
      <w:r w:rsidRPr="00DC34EF">
        <w:rPr>
          <w:rFonts w:ascii="Garamond" w:hAnsi="Garamond" w:cstheme="minorHAnsi"/>
          <w:sz w:val="24"/>
          <w:szCs w:val="24"/>
        </w:rPr>
        <w:fldChar w:fldCharType="separate"/>
      </w:r>
      <w:r w:rsidRPr="00DC34EF">
        <w:rPr>
          <w:rFonts w:ascii="Garamond" w:hAnsi="Garamond" w:cstheme="minorHAnsi"/>
          <w:sz w:val="24"/>
          <w:szCs w:val="24"/>
        </w:rPr>
        <w:t>III.3.1.1</w:t>
      </w:r>
      <w:r w:rsidRPr="00DC34EF">
        <w:rPr>
          <w:rFonts w:ascii="Garamond" w:hAnsi="Garamond" w:cstheme="minorHAnsi"/>
          <w:sz w:val="24"/>
          <w:szCs w:val="24"/>
        </w:rPr>
        <w:fldChar w:fldCharType="end"/>
      </w:r>
      <w:r w:rsidRPr="00DC34EF">
        <w:rPr>
          <w:rFonts w:ascii="Garamond" w:hAnsi="Garamond" w:cstheme="minorHAnsi"/>
          <w:sz w:val="24"/>
          <w:szCs w:val="24"/>
        </w:rPr>
        <w:t xml:space="preserve">)   </w:t>
      </w:r>
    </w:p>
    <w:p w:rsidR="003B166C" w:rsidRDefault="00DC34EF" w:rsidP="00456F4D">
      <w:pPr>
        <w:pStyle w:val="ListParagraph"/>
        <w:numPr>
          <w:ilvl w:val="0"/>
          <w:numId w:val="22"/>
        </w:numPr>
        <w:spacing w:before="100" w:beforeAutospacing="1" w:after="100" w:afterAutospacing="1" w:line="240" w:lineRule="auto"/>
        <w:jc w:val="both"/>
        <w:rPr>
          <w:rFonts w:ascii="Garamond" w:hAnsi="Garamond" w:cstheme="minorHAnsi"/>
          <w:sz w:val="24"/>
          <w:szCs w:val="24"/>
        </w:rPr>
      </w:pPr>
      <w:r w:rsidRPr="00DC34EF">
        <w:rPr>
          <w:rFonts w:ascii="Garamond" w:hAnsi="Garamond" w:cstheme="minorHAnsi"/>
          <w:sz w:val="24"/>
          <w:szCs w:val="24"/>
        </w:rPr>
        <w:t xml:space="preserve">norms for nominee / legal heir to claim assets of the deceased client (investors)   </w:t>
      </w:r>
      <w:bookmarkStart w:id="11" w:name="_Toc66185871"/>
    </w:p>
    <w:p w:rsidR="003B166C" w:rsidRDefault="003B166C" w:rsidP="003B166C">
      <w:pPr>
        <w:spacing w:before="100" w:beforeAutospacing="1" w:after="100" w:afterAutospacing="1"/>
        <w:jc w:val="both"/>
        <w:rPr>
          <w:rFonts w:cstheme="minorHAnsi"/>
          <w:b/>
          <w:bCs/>
        </w:rPr>
      </w:pPr>
    </w:p>
    <w:p w:rsidR="00DC34EF" w:rsidRPr="003B166C" w:rsidRDefault="00DC34EF" w:rsidP="00456F4D">
      <w:pPr>
        <w:pStyle w:val="ListParagraph"/>
        <w:numPr>
          <w:ilvl w:val="0"/>
          <w:numId w:val="24"/>
        </w:numPr>
        <w:spacing w:before="100" w:beforeAutospacing="1" w:after="100" w:afterAutospacing="1"/>
        <w:jc w:val="both"/>
        <w:rPr>
          <w:rFonts w:ascii="Garamond" w:hAnsi="Garamond" w:cstheme="minorHAnsi"/>
          <w:sz w:val="24"/>
          <w:szCs w:val="24"/>
        </w:rPr>
      </w:pPr>
      <w:r w:rsidRPr="003B166C">
        <w:rPr>
          <w:rFonts w:ascii="Garamond" w:hAnsi="Garamond" w:cstheme="minorHAnsi"/>
          <w:b/>
          <w:bCs/>
          <w:sz w:val="24"/>
          <w:szCs w:val="24"/>
        </w:rPr>
        <w:t>Holding of Securities</w:t>
      </w:r>
      <w:bookmarkEnd w:id="11"/>
    </w:p>
    <w:p w:rsidR="00DC34EF" w:rsidRPr="00DC34EF" w:rsidRDefault="00DC34EF" w:rsidP="00DC34EF">
      <w:pPr>
        <w:jc w:val="both"/>
        <w:rPr>
          <w:rFonts w:ascii="Garamond" w:hAnsi="Garamond" w:cstheme="minorHAnsi"/>
          <w:lang w:val="en-US"/>
        </w:rPr>
      </w:pPr>
    </w:p>
    <w:p w:rsidR="00DC34EF" w:rsidRPr="00FC7F9B" w:rsidRDefault="00DC34EF" w:rsidP="00FC7F9B">
      <w:pPr>
        <w:jc w:val="both"/>
        <w:rPr>
          <w:rFonts w:ascii="Garamond" w:hAnsi="Garamond" w:cstheme="minorHAnsi"/>
        </w:rPr>
      </w:pPr>
      <w:r w:rsidRPr="00FC7F9B">
        <w:rPr>
          <w:rFonts w:ascii="Garamond" w:hAnsi="Garamond" w:cstheme="minorHAnsi"/>
        </w:rPr>
        <w:t>Between the purchase and sale / maturity of securities, the investor is ‘holder of securities’ and the unclaimed assets pertaining to this phase, is examined herein.</w:t>
      </w:r>
    </w:p>
    <w:p w:rsidR="00DC34EF" w:rsidRPr="00DC34EF" w:rsidRDefault="00DC34EF" w:rsidP="00DC34EF">
      <w:pPr>
        <w:jc w:val="both"/>
        <w:rPr>
          <w:rFonts w:ascii="Garamond" w:hAnsi="Garamond" w:cstheme="minorHAnsi"/>
          <w:lang w:val="en-US"/>
        </w:rPr>
      </w:pPr>
    </w:p>
    <w:p w:rsidR="00DC34EF" w:rsidRPr="00DC34EF" w:rsidRDefault="00DC34EF" w:rsidP="00456F4D">
      <w:pPr>
        <w:pStyle w:val="ListParagraph"/>
        <w:numPr>
          <w:ilvl w:val="1"/>
          <w:numId w:val="24"/>
        </w:numPr>
        <w:spacing w:after="0"/>
        <w:jc w:val="both"/>
        <w:rPr>
          <w:rFonts w:ascii="Garamond" w:hAnsi="Garamond" w:cstheme="minorHAnsi"/>
          <w:sz w:val="24"/>
          <w:szCs w:val="24"/>
        </w:rPr>
      </w:pPr>
      <w:bookmarkStart w:id="12" w:name="_Ref64732570"/>
      <w:r w:rsidRPr="00DC34EF">
        <w:rPr>
          <w:rFonts w:ascii="Garamond" w:hAnsi="Garamond" w:cstheme="minorHAnsi"/>
          <w:sz w:val="24"/>
          <w:szCs w:val="24"/>
        </w:rPr>
        <w:t>Money</w:t>
      </w:r>
      <w:bookmarkEnd w:id="12"/>
    </w:p>
    <w:p w:rsidR="00DC34EF" w:rsidRPr="00DC34EF" w:rsidRDefault="00DC34EF" w:rsidP="00B00383">
      <w:pPr>
        <w:ind w:left="360"/>
        <w:jc w:val="both"/>
        <w:rPr>
          <w:rFonts w:ascii="Garamond" w:hAnsi="Garamond" w:cstheme="minorHAnsi"/>
          <w:lang w:val="en-US"/>
        </w:rPr>
      </w:pPr>
      <w:r w:rsidRPr="00DC34EF">
        <w:rPr>
          <w:rFonts w:ascii="Garamond" w:hAnsi="Garamond" w:cstheme="minorHAnsi"/>
          <w:lang w:val="en-US"/>
        </w:rPr>
        <w:t>Dividend on shares and preference shares, interest on debt instruments, redemption of debt and preference shares are the avenues for cash payment by companies to its investors. These payments can be unsuccessful and thereaft</w:t>
      </w:r>
      <w:r w:rsidR="00B00383">
        <w:rPr>
          <w:rFonts w:ascii="Garamond" w:hAnsi="Garamond" w:cstheme="minorHAnsi"/>
          <w:lang w:val="en-US"/>
        </w:rPr>
        <w:t>er remain unclaimed, as follows:</w:t>
      </w:r>
    </w:p>
    <w:p w:rsidR="00DC34EF" w:rsidRPr="00DC34EF" w:rsidRDefault="00DC34EF" w:rsidP="00B00383">
      <w:pPr>
        <w:jc w:val="both"/>
        <w:rPr>
          <w:rFonts w:ascii="Garamond" w:hAnsi="Garamond" w:cstheme="minorHAnsi"/>
          <w:lang w:val="en-US"/>
        </w:rPr>
      </w:pPr>
    </w:p>
    <w:p w:rsidR="00DC34EF" w:rsidRPr="00DC34EF" w:rsidRDefault="00DC34EF" w:rsidP="00456F4D">
      <w:pPr>
        <w:pStyle w:val="ListParagraph"/>
        <w:numPr>
          <w:ilvl w:val="2"/>
          <w:numId w:val="24"/>
        </w:numPr>
        <w:spacing w:after="0"/>
        <w:jc w:val="both"/>
        <w:rPr>
          <w:rFonts w:ascii="Garamond" w:hAnsi="Garamond" w:cstheme="minorHAnsi"/>
          <w:sz w:val="24"/>
          <w:szCs w:val="24"/>
        </w:rPr>
      </w:pPr>
      <w:r w:rsidRPr="00DC34EF">
        <w:rPr>
          <w:rFonts w:ascii="Garamond" w:hAnsi="Garamond" w:cstheme="minorHAnsi"/>
          <w:sz w:val="24"/>
          <w:szCs w:val="24"/>
        </w:rPr>
        <w:t xml:space="preserve">Payment though Electronic Mode: </w:t>
      </w:r>
    </w:p>
    <w:p w:rsidR="00DC34EF" w:rsidRPr="00DC34EF" w:rsidRDefault="00DC34EF" w:rsidP="00B00383">
      <w:pPr>
        <w:ind w:left="720"/>
        <w:jc w:val="both"/>
        <w:rPr>
          <w:rFonts w:ascii="Garamond" w:hAnsi="Garamond" w:cstheme="minorHAnsi"/>
          <w:lang w:val="en-US"/>
        </w:rPr>
      </w:pPr>
      <w:r w:rsidRPr="00DC34EF">
        <w:rPr>
          <w:rFonts w:ascii="Garamond" w:hAnsi="Garamond" w:cstheme="minorHAnsi"/>
          <w:lang w:val="en-US"/>
        </w:rPr>
        <w:t>In terms of Regulation 12 of LODR, 2015, all aforesaid payments by listed companies to their securities holders are required to be made through electronic mode. Such payments are unsuccessful, including, when;</w:t>
      </w:r>
    </w:p>
    <w:p w:rsidR="00DC34EF" w:rsidRPr="00DC34EF" w:rsidRDefault="00DC34EF" w:rsidP="00456F4D">
      <w:pPr>
        <w:pStyle w:val="ListParagraph"/>
        <w:numPr>
          <w:ilvl w:val="0"/>
          <w:numId w:val="18"/>
        </w:numPr>
        <w:spacing w:after="0" w:line="240" w:lineRule="auto"/>
        <w:ind w:left="1077" w:hanging="357"/>
        <w:jc w:val="both"/>
        <w:rPr>
          <w:rFonts w:ascii="Garamond" w:hAnsi="Garamond" w:cstheme="minorHAnsi"/>
          <w:sz w:val="24"/>
          <w:szCs w:val="24"/>
        </w:rPr>
      </w:pPr>
      <w:r w:rsidRPr="00DC34EF">
        <w:rPr>
          <w:rFonts w:ascii="Garamond" w:hAnsi="Garamond" w:cstheme="minorHAnsi"/>
          <w:sz w:val="24"/>
          <w:szCs w:val="24"/>
        </w:rPr>
        <w:t>When there is change in bank account number from, say, 4 digits to 12 / 16 digits by the bank</w:t>
      </w:r>
    </w:p>
    <w:p w:rsidR="00DC34EF" w:rsidRPr="00DC34EF" w:rsidRDefault="00DC34EF" w:rsidP="00456F4D">
      <w:pPr>
        <w:pStyle w:val="ListParagraph"/>
        <w:numPr>
          <w:ilvl w:val="0"/>
          <w:numId w:val="18"/>
        </w:numPr>
        <w:spacing w:after="0" w:line="240" w:lineRule="auto"/>
        <w:ind w:left="1077" w:hanging="357"/>
        <w:jc w:val="both"/>
        <w:rPr>
          <w:rFonts w:ascii="Garamond" w:hAnsi="Garamond" w:cstheme="minorHAnsi"/>
          <w:sz w:val="24"/>
          <w:szCs w:val="24"/>
        </w:rPr>
      </w:pPr>
      <w:r w:rsidRPr="00DC34EF">
        <w:rPr>
          <w:rFonts w:ascii="Garamond" w:hAnsi="Garamond" w:cstheme="minorHAnsi"/>
          <w:sz w:val="24"/>
          <w:szCs w:val="24"/>
        </w:rPr>
        <w:t>change in IFS Code due to merger of banks / rationalization of branches</w:t>
      </w:r>
    </w:p>
    <w:p w:rsidR="00DC34EF" w:rsidRPr="00DC34EF" w:rsidRDefault="00DC34EF" w:rsidP="00456F4D">
      <w:pPr>
        <w:pStyle w:val="ListParagraph"/>
        <w:numPr>
          <w:ilvl w:val="0"/>
          <w:numId w:val="18"/>
        </w:numPr>
        <w:spacing w:after="0" w:line="240" w:lineRule="auto"/>
        <w:ind w:left="1077" w:hanging="357"/>
        <w:jc w:val="both"/>
        <w:rPr>
          <w:rFonts w:ascii="Garamond" w:hAnsi="Garamond" w:cstheme="minorHAnsi"/>
          <w:sz w:val="24"/>
          <w:szCs w:val="24"/>
        </w:rPr>
      </w:pPr>
      <w:r w:rsidRPr="00DC34EF">
        <w:rPr>
          <w:rFonts w:ascii="Garamond" w:hAnsi="Garamond" w:cstheme="minorHAnsi"/>
          <w:sz w:val="24"/>
          <w:szCs w:val="24"/>
        </w:rPr>
        <w:t xml:space="preserve">the investor has closed his bank account and has not intimated the new bank account details to the RTA or DP for physical or demat securities, respectively. </w:t>
      </w:r>
    </w:p>
    <w:p w:rsidR="00DC34EF" w:rsidRPr="00DC34EF" w:rsidRDefault="00DC34EF" w:rsidP="00DC34EF">
      <w:pPr>
        <w:ind w:left="720"/>
        <w:jc w:val="both"/>
        <w:rPr>
          <w:rFonts w:ascii="Garamond" w:hAnsi="Garamond" w:cstheme="minorHAnsi"/>
          <w:lang w:val="en-US"/>
        </w:rPr>
      </w:pPr>
      <w:r w:rsidRPr="00DC34EF">
        <w:rPr>
          <w:rFonts w:ascii="Garamond" w:hAnsi="Garamond" w:cstheme="minorHAnsi"/>
          <w:lang w:val="en-US"/>
        </w:rPr>
        <w:t xml:space="preserve">Thereafter, these unsuccessful payments may remain unclaimed.   </w:t>
      </w:r>
    </w:p>
    <w:p w:rsidR="00DC34EF" w:rsidRPr="00DC34EF" w:rsidRDefault="00DC34EF" w:rsidP="00DC34EF">
      <w:pPr>
        <w:jc w:val="both"/>
        <w:rPr>
          <w:rFonts w:ascii="Garamond" w:hAnsi="Garamond" w:cstheme="minorHAnsi"/>
          <w:lang w:val="en-US"/>
        </w:rPr>
      </w:pPr>
    </w:p>
    <w:p w:rsidR="00DC34EF" w:rsidRPr="00DC34EF" w:rsidRDefault="00DC34EF" w:rsidP="00456F4D">
      <w:pPr>
        <w:pStyle w:val="ListParagraph"/>
        <w:numPr>
          <w:ilvl w:val="2"/>
          <w:numId w:val="24"/>
        </w:numPr>
        <w:spacing w:after="0"/>
        <w:jc w:val="both"/>
        <w:rPr>
          <w:rFonts w:ascii="Garamond" w:hAnsi="Garamond" w:cstheme="minorHAnsi"/>
          <w:sz w:val="24"/>
          <w:szCs w:val="24"/>
        </w:rPr>
      </w:pPr>
      <w:r w:rsidRPr="00DC34EF">
        <w:rPr>
          <w:rFonts w:ascii="Garamond" w:hAnsi="Garamond" w:cstheme="minorHAnsi"/>
          <w:sz w:val="24"/>
          <w:szCs w:val="24"/>
        </w:rPr>
        <w:t>Payments through physical instruments:</w:t>
      </w:r>
    </w:p>
    <w:p w:rsidR="00DC34EF" w:rsidRPr="00DC34EF" w:rsidRDefault="00DC34EF" w:rsidP="00DC34EF">
      <w:pPr>
        <w:ind w:left="720"/>
        <w:jc w:val="both"/>
        <w:rPr>
          <w:rFonts w:ascii="Garamond" w:hAnsi="Garamond" w:cstheme="minorHAnsi"/>
          <w:lang w:val="en-US"/>
        </w:rPr>
      </w:pPr>
      <w:r w:rsidRPr="00DC34EF">
        <w:rPr>
          <w:rFonts w:ascii="Garamond" w:hAnsi="Garamond" w:cstheme="minorHAnsi"/>
          <w:lang w:val="en-US"/>
        </w:rPr>
        <w:t>Such payments are permitted when electronic payment is unsuccessful or when there is insufficient information to make electronic payment</w:t>
      </w:r>
      <w:r w:rsidRPr="00DC34EF">
        <w:rPr>
          <w:rFonts w:ascii="Garamond" w:hAnsi="Garamond" w:cstheme="minorHAnsi"/>
          <w:vertAlign w:val="superscript"/>
          <w:lang w:val="en-US"/>
        </w:rPr>
        <w:footnoteReference w:id="16"/>
      </w:r>
      <w:r w:rsidRPr="00DC34EF">
        <w:rPr>
          <w:rFonts w:ascii="Garamond" w:hAnsi="Garamond" w:cstheme="minorHAnsi"/>
          <w:lang w:val="en-US"/>
        </w:rPr>
        <w:t>. In case where the investor has changed residence and has not informed the RTA or DP for physical or demat securities, respectively, the physical instrument returns undelivered and may thereafter remain unclaimed.</w:t>
      </w:r>
    </w:p>
    <w:p w:rsidR="00DC34EF" w:rsidRPr="00DC34EF" w:rsidRDefault="00DC34EF" w:rsidP="00DC34EF">
      <w:pPr>
        <w:ind w:left="720"/>
        <w:jc w:val="both"/>
        <w:rPr>
          <w:rFonts w:ascii="Garamond" w:hAnsi="Garamond" w:cstheme="minorHAnsi"/>
          <w:lang w:val="en-US"/>
        </w:rPr>
      </w:pPr>
    </w:p>
    <w:p w:rsidR="00DC34EF" w:rsidRPr="00DC34EF" w:rsidRDefault="00DC34EF" w:rsidP="00456F4D">
      <w:pPr>
        <w:pStyle w:val="ListParagraph"/>
        <w:numPr>
          <w:ilvl w:val="2"/>
          <w:numId w:val="24"/>
        </w:numPr>
        <w:spacing w:after="0"/>
        <w:jc w:val="both"/>
        <w:rPr>
          <w:rFonts w:ascii="Garamond" w:hAnsi="Garamond" w:cstheme="minorHAnsi"/>
          <w:sz w:val="24"/>
          <w:szCs w:val="24"/>
        </w:rPr>
      </w:pPr>
      <w:bookmarkStart w:id="13" w:name="_Ref60307510"/>
      <w:r w:rsidRPr="00DC34EF">
        <w:rPr>
          <w:rFonts w:ascii="Garamond" w:hAnsi="Garamond" w:cstheme="minorHAnsi"/>
          <w:sz w:val="24"/>
          <w:szCs w:val="24"/>
        </w:rPr>
        <w:t>Availability of Bank details in Folios</w:t>
      </w:r>
      <w:bookmarkEnd w:id="13"/>
      <w:r w:rsidRPr="00DC34EF">
        <w:rPr>
          <w:rFonts w:ascii="Garamond" w:hAnsi="Garamond" w:cstheme="minorHAnsi"/>
          <w:sz w:val="24"/>
          <w:szCs w:val="24"/>
        </w:rPr>
        <w:t xml:space="preserve"> </w:t>
      </w:r>
    </w:p>
    <w:p w:rsidR="00DC34EF" w:rsidRPr="00DC34EF" w:rsidRDefault="00DC34EF" w:rsidP="00DC34EF">
      <w:pPr>
        <w:ind w:left="720"/>
        <w:jc w:val="both"/>
        <w:rPr>
          <w:rFonts w:ascii="Garamond" w:hAnsi="Garamond" w:cstheme="minorHAnsi"/>
          <w:lang w:val="en-US"/>
        </w:rPr>
      </w:pPr>
      <w:r w:rsidRPr="00DC34EF">
        <w:rPr>
          <w:rFonts w:ascii="Garamond" w:hAnsi="Garamond" w:cstheme="minorHAnsi"/>
          <w:lang w:val="en-US"/>
        </w:rPr>
        <w:lastRenderedPageBreak/>
        <w:t>The availability of complete bank details of the investors is a basis prerequisite for successful payments. To enhance the availability of such demographic details, listed companies were directed</w:t>
      </w:r>
      <w:r w:rsidRPr="00DC34EF">
        <w:rPr>
          <w:rStyle w:val="FootnoteReference"/>
          <w:rFonts w:ascii="Garamond" w:hAnsi="Garamond" w:cstheme="minorHAnsi"/>
          <w:lang w:val="en-US"/>
        </w:rPr>
        <w:footnoteReference w:id="17"/>
      </w:r>
      <w:r w:rsidRPr="00DC34EF">
        <w:rPr>
          <w:rFonts w:ascii="Garamond" w:hAnsi="Garamond" w:cstheme="minorHAnsi"/>
          <w:lang w:val="en-US"/>
        </w:rPr>
        <w:t xml:space="preserve"> to seek the bank and PAN details from their investors. The outcome of this directive w.r.t. 1.92 crore folios pertaining to 2,635 listed companies, is given in table below.</w:t>
      </w:r>
    </w:p>
    <w:p w:rsidR="003B166C" w:rsidRDefault="003B166C" w:rsidP="003B166C">
      <w:pPr>
        <w:spacing w:after="160" w:line="259" w:lineRule="auto"/>
        <w:rPr>
          <w:rFonts w:ascii="Garamond" w:hAnsi="Garamond" w:cstheme="minorHAnsi"/>
        </w:rPr>
      </w:pPr>
      <w:bookmarkStart w:id="14" w:name="_Ref66181381"/>
      <w:bookmarkStart w:id="15" w:name="_Toc66185876"/>
    </w:p>
    <w:p w:rsidR="00DC34EF" w:rsidRPr="003B166C" w:rsidRDefault="003B166C" w:rsidP="003B166C">
      <w:pPr>
        <w:pStyle w:val="Caption"/>
        <w:keepNext/>
        <w:spacing w:after="0"/>
        <w:jc w:val="center"/>
        <w:rPr>
          <w:rFonts w:ascii="Garamond" w:hAnsi="Garamond" w:cstheme="minorHAnsi"/>
          <w:color w:val="5B9BD5" w:themeColor="accent1"/>
          <w:sz w:val="24"/>
          <w:szCs w:val="24"/>
        </w:rPr>
      </w:pPr>
      <w:r>
        <w:rPr>
          <w:rFonts w:ascii="Garamond" w:hAnsi="Garamond" w:cstheme="minorHAnsi"/>
        </w:rPr>
        <w:t xml:space="preserve">                    </w:t>
      </w:r>
      <w:r w:rsidR="00DC34EF" w:rsidRPr="00DC34EF">
        <w:rPr>
          <w:rFonts w:ascii="Garamond" w:hAnsi="Garamond" w:cstheme="minorHAnsi"/>
          <w:sz w:val="24"/>
          <w:szCs w:val="24"/>
        </w:rPr>
        <w:t xml:space="preserve">Table </w:t>
      </w:r>
      <w:r w:rsidR="00DC34EF" w:rsidRPr="00DC34EF">
        <w:rPr>
          <w:rFonts w:ascii="Garamond" w:hAnsi="Garamond" w:cstheme="minorHAnsi"/>
          <w:sz w:val="24"/>
          <w:szCs w:val="24"/>
        </w:rPr>
        <w:fldChar w:fldCharType="begin"/>
      </w:r>
      <w:r w:rsidR="00DC34EF" w:rsidRPr="00DC34EF">
        <w:rPr>
          <w:rFonts w:ascii="Garamond" w:hAnsi="Garamond" w:cstheme="minorHAnsi"/>
          <w:sz w:val="24"/>
          <w:szCs w:val="24"/>
        </w:rPr>
        <w:instrText xml:space="preserve"> SEQ Table \* ARABIC </w:instrText>
      </w:r>
      <w:r w:rsidR="00DC34EF" w:rsidRPr="00DC34EF">
        <w:rPr>
          <w:rFonts w:ascii="Garamond" w:hAnsi="Garamond" w:cstheme="minorHAnsi"/>
          <w:sz w:val="24"/>
          <w:szCs w:val="24"/>
        </w:rPr>
        <w:fldChar w:fldCharType="separate"/>
      </w:r>
      <w:r w:rsidR="00DC34EF" w:rsidRPr="00DC34EF">
        <w:rPr>
          <w:rFonts w:ascii="Garamond" w:hAnsi="Garamond" w:cstheme="minorHAnsi"/>
          <w:sz w:val="24"/>
          <w:szCs w:val="24"/>
        </w:rPr>
        <w:t>1</w:t>
      </w:r>
      <w:r w:rsidR="00DC34EF" w:rsidRPr="00DC34EF">
        <w:rPr>
          <w:rFonts w:ascii="Garamond" w:hAnsi="Garamond" w:cstheme="minorHAnsi"/>
          <w:sz w:val="24"/>
          <w:szCs w:val="24"/>
        </w:rPr>
        <w:fldChar w:fldCharType="end"/>
      </w:r>
      <w:bookmarkEnd w:id="14"/>
      <w:r w:rsidR="00DC34EF" w:rsidRPr="00DC34EF">
        <w:rPr>
          <w:rFonts w:ascii="Garamond" w:hAnsi="Garamond" w:cstheme="minorHAnsi"/>
          <w:sz w:val="24"/>
          <w:szCs w:val="24"/>
        </w:rPr>
        <w:t xml:space="preserve">: </w:t>
      </w:r>
      <w:bookmarkStart w:id="16" w:name="_Ref60143439"/>
      <w:bookmarkStart w:id="17" w:name="_Ref66181314"/>
      <w:r w:rsidR="00DC34EF" w:rsidRPr="00DC34EF">
        <w:rPr>
          <w:rFonts w:ascii="Garamond" w:hAnsi="Garamond" w:cstheme="minorHAnsi"/>
          <w:sz w:val="24"/>
          <w:szCs w:val="24"/>
        </w:rPr>
        <w:t>Availability of Bank and PAN details</w:t>
      </w:r>
      <w:bookmarkEnd w:id="16"/>
      <w:r w:rsidR="00DC34EF" w:rsidRPr="00DC34EF">
        <w:rPr>
          <w:rFonts w:ascii="Garamond" w:hAnsi="Garamond" w:cstheme="minorHAnsi"/>
          <w:sz w:val="24"/>
          <w:szCs w:val="24"/>
        </w:rPr>
        <w:t xml:space="preserve"> in Listed Companies</w:t>
      </w:r>
      <w:bookmarkEnd w:id="15"/>
      <w:bookmarkEnd w:id="17"/>
    </w:p>
    <w:p w:rsidR="00DC34EF" w:rsidRPr="00DC34EF" w:rsidRDefault="00DC34EF" w:rsidP="00DC34EF">
      <w:pPr>
        <w:rPr>
          <w:rFonts w:ascii="Garamond" w:hAnsi="Garamond"/>
        </w:rPr>
      </w:pPr>
    </w:p>
    <w:tbl>
      <w:tblPr>
        <w:tblStyle w:val="TableGrid"/>
        <w:tblW w:w="0" w:type="auto"/>
        <w:jc w:val="center"/>
        <w:tblLook w:val="04A0" w:firstRow="1" w:lastRow="0" w:firstColumn="1" w:lastColumn="0" w:noHBand="0" w:noVBand="1"/>
      </w:tblPr>
      <w:tblGrid>
        <w:gridCol w:w="2375"/>
        <w:gridCol w:w="2032"/>
        <w:gridCol w:w="2093"/>
      </w:tblGrid>
      <w:tr w:rsidR="00DC34EF" w:rsidRPr="00B00383" w:rsidTr="00DC34EF">
        <w:trPr>
          <w:jc w:val="center"/>
        </w:trPr>
        <w:tc>
          <w:tcPr>
            <w:tcW w:w="0" w:type="auto"/>
          </w:tcPr>
          <w:p w:rsidR="00DC34EF" w:rsidRPr="00B00383" w:rsidRDefault="00DC34EF" w:rsidP="00DC34EF">
            <w:pPr>
              <w:jc w:val="center"/>
              <w:rPr>
                <w:rFonts w:ascii="Garamond" w:hAnsi="Garamond" w:cstheme="minorHAnsi"/>
                <w:b/>
                <w:sz w:val="22"/>
                <w:szCs w:val="22"/>
              </w:rPr>
            </w:pPr>
            <w:r w:rsidRPr="00B00383">
              <w:rPr>
                <w:rFonts w:ascii="Garamond" w:hAnsi="Garamond" w:cstheme="minorHAnsi"/>
                <w:b/>
                <w:sz w:val="22"/>
                <w:szCs w:val="22"/>
              </w:rPr>
              <w:t>Folios</w:t>
            </w:r>
          </w:p>
        </w:tc>
        <w:tc>
          <w:tcPr>
            <w:tcW w:w="0" w:type="auto"/>
          </w:tcPr>
          <w:p w:rsidR="00DC34EF" w:rsidRPr="003A273B" w:rsidRDefault="00DC34EF" w:rsidP="00DC34EF">
            <w:pPr>
              <w:jc w:val="center"/>
              <w:rPr>
                <w:rFonts w:ascii="Garamond" w:hAnsi="Garamond" w:cstheme="minorHAnsi"/>
                <w:b/>
                <w:sz w:val="22"/>
                <w:szCs w:val="22"/>
              </w:rPr>
            </w:pPr>
            <w:r w:rsidRPr="003A273B">
              <w:rPr>
                <w:rFonts w:ascii="Garamond" w:hAnsi="Garamond" w:cstheme="minorHAnsi"/>
                <w:b/>
                <w:sz w:val="22"/>
                <w:szCs w:val="22"/>
              </w:rPr>
              <w:t xml:space="preserve">Before the </w:t>
            </w:r>
            <w:r w:rsidR="00B00383" w:rsidRPr="003A273B">
              <w:rPr>
                <w:rFonts w:ascii="Garamond" w:hAnsi="Garamond" w:cstheme="minorHAnsi"/>
                <w:b/>
                <w:sz w:val="22"/>
                <w:szCs w:val="22"/>
              </w:rPr>
              <w:t>directive</w:t>
            </w:r>
          </w:p>
          <w:p w:rsidR="00DC34EF" w:rsidRPr="003A273B" w:rsidRDefault="00DC34EF" w:rsidP="00DC34EF">
            <w:pPr>
              <w:jc w:val="center"/>
              <w:rPr>
                <w:rFonts w:ascii="Garamond" w:hAnsi="Garamond" w:cstheme="minorHAnsi"/>
                <w:b/>
                <w:sz w:val="22"/>
                <w:szCs w:val="22"/>
              </w:rPr>
            </w:pPr>
            <w:r w:rsidRPr="003A273B">
              <w:rPr>
                <w:rFonts w:ascii="Garamond" w:hAnsi="Garamond" w:cstheme="minorHAnsi"/>
                <w:b/>
                <w:sz w:val="22"/>
                <w:szCs w:val="22"/>
              </w:rPr>
              <w:t>(April 20, 2018)</w:t>
            </w:r>
          </w:p>
        </w:tc>
        <w:tc>
          <w:tcPr>
            <w:tcW w:w="0" w:type="auto"/>
          </w:tcPr>
          <w:p w:rsidR="00DC34EF" w:rsidRPr="003A273B" w:rsidRDefault="00DC34EF" w:rsidP="00DC34EF">
            <w:pPr>
              <w:jc w:val="center"/>
              <w:rPr>
                <w:rFonts w:ascii="Garamond" w:hAnsi="Garamond" w:cstheme="minorHAnsi"/>
                <w:b/>
                <w:sz w:val="22"/>
                <w:szCs w:val="22"/>
              </w:rPr>
            </w:pPr>
            <w:r w:rsidRPr="003A273B">
              <w:rPr>
                <w:rFonts w:ascii="Garamond" w:hAnsi="Garamond" w:cstheme="minorHAnsi"/>
                <w:b/>
                <w:sz w:val="22"/>
                <w:szCs w:val="22"/>
              </w:rPr>
              <w:t xml:space="preserve">After the </w:t>
            </w:r>
            <w:r w:rsidR="00B00383" w:rsidRPr="003A273B">
              <w:rPr>
                <w:rFonts w:ascii="Garamond" w:hAnsi="Garamond" w:cstheme="minorHAnsi"/>
                <w:b/>
                <w:sz w:val="22"/>
                <w:szCs w:val="22"/>
              </w:rPr>
              <w:t>directive</w:t>
            </w:r>
          </w:p>
          <w:p w:rsidR="00DC34EF" w:rsidRPr="003A273B" w:rsidRDefault="00DC34EF" w:rsidP="00DC34EF">
            <w:pPr>
              <w:jc w:val="center"/>
              <w:rPr>
                <w:rFonts w:ascii="Garamond" w:hAnsi="Garamond" w:cstheme="minorHAnsi"/>
                <w:b/>
                <w:sz w:val="22"/>
                <w:szCs w:val="22"/>
              </w:rPr>
            </w:pPr>
            <w:r w:rsidRPr="003A273B">
              <w:rPr>
                <w:rFonts w:ascii="Garamond" w:hAnsi="Garamond" w:cstheme="minorHAnsi"/>
                <w:b/>
                <w:sz w:val="22"/>
                <w:szCs w:val="22"/>
              </w:rPr>
              <w:t>(December 31, 2018)</w:t>
            </w:r>
          </w:p>
        </w:tc>
      </w:tr>
      <w:tr w:rsidR="00DC34EF" w:rsidRPr="00B00383" w:rsidTr="00DC34EF">
        <w:trPr>
          <w:jc w:val="center"/>
        </w:trPr>
        <w:tc>
          <w:tcPr>
            <w:tcW w:w="0" w:type="auto"/>
          </w:tcPr>
          <w:p w:rsidR="00DC34EF" w:rsidRPr="00B00383" w:rsidRDefault="00DC34EF" w:rsidP="00DC34EF">
            <w:pPr>
              <w:jc w:val="both"/>
              <w:rPr>
                <w:rFonts w:ascii="Garamond" w:hAnsi="Garamond" w:cstheme="minorHAnsi"/>
                <w:sz w:val="22"/>
                <w:szCs w:val="22"/>
              </w:rPr>
            </w:pPr>
            <w:r w:rsidRPr="00B00383">
              <w:rPr>
                <w:rFonts w:ascii="Garamond" w:hAnsi="Garamond" w:cstheme="minorHAnsi"/>
                <w:sz w:val="22"/>
                <w:szCs w:val="22"/>
              </w:rPr>
              <w:t>Bank details available</w:t>
            </w:r>
          </w:p>
        </w:tc>
        <w:tc>
          <w:tcPr>
            <w:tcW w:w="0" w:type="auto"/>
          </w:tcPr>
          <w:p w:rsidR="00DC34EF" w:rsidRPr="00B00383" w:rsidRDefault="00DC34EF" w:rsidP="00DC34EF">
            <w:pPr>
              <w:jc w:val="right"/>
              <w:rPr>
                <w:rFonts w:ascii="Garamond" w:hAnsi="Garamond" w:cstheme="minorHAnsi"/>
                <w:sz w:val="22"/>
                <w:szCs w:val="22"/>
              </w:rPr>
            </w:pPr>
            <w:r w:rsidRPr="00B00383">
              <w:rPr>
                <w:rFonts w:ascii="Garamond" w:hAnsi="Garamond" w:cstheme="minorHAnsi"/>
                <w:sz w:val="22"/>
                <w:szCs w:val="22"/>
              </w:rPr>
              <w:t>15,55,144</w:t>
            </w:r>
          </w:p>
        </w:tc>
        <w:tc>
          <w:tcPr>
            <w:tcW w:w="0" w:type="auto"/>
          </w:tcPr>
          <w:p w:rsidR="00DC34EF" w:rsidRPr="00B00383" w:rsidRDefault="00DC34EF" w:rsidP="00DC34EF">
            <w:pPr>
              <w:jc w:val="right"/>
              <w:rPr>
                <w:rFonts w:ascii="Garamond" w:hAnsi="Garamond" w:cstheme="minorHAnsi"/>
                <w:sz w:val="22"/>
                <w:szCs w:val="22"/>
              </w:rPr>
            </w:pPr>
            <w:r w:rsidRPr="00B00383">
              <w:rPr>
                <w:rFonts w:ascii="Garamond" w:hAnsi="Garamond" w:cstheme="minorHAnsi"/>
                <w:sz w:val="22"/>
                <w:szCs w:val="22"/>
              </w:rPr>
              <w:t>20,02,474</w:t>
            </w:r>
          </w:p>
        </w:tc>
      </w:tr>
      <w:tr w:rsidR="00DC34EF" w:rsidRPr="00B00383" w:rsidTr="00DC34EF">
        <w:trPr>
          <w:jc w:val="center"/>
        </w:trPr>
        <w:tc>
          <w:tcPr>
            <w:tcW w:w="0" w:type="auto"/>
          </w:tcPr>
          <w:p w:rsidR="00DC34EF" w:rsidRPr="00B00383" w:rsidRDefault="00DC34EF" w:rsidP="00DC34EF">
            <w:pPr>
              <w:jc w:val="both"/>
              <w:rPr>
                <w:rFonts w:ascii="Garamond" w:hAnsi="Garamond" w:cstheme="minorHAnsi"/>
                <w:sz w:val="22"/>
                <w:szCs w:val="22"/>
              </w:rPr>
            </w:pPr>
            <w:r w:rsidRPr="00B00383">
              <w:rPr>
                <w:rFonts w:ascii="Garamond" w:hAnsi="Garamond" w:cstheme="minorHAnsi"/>
                <w:sz w:val="22"/>
                <w:szCs w:val="22"/>
              </w:rPr>
              <w:t>Bank details not available</w:t>
            </w:r>
          </w:p>
        </w:tc>
        <w:tc>
          <w:tcPr>
            <w:tcW w:w="0" w:type="auto"/>
          </w:tcPr>
          <w:p w:rsidR="00DC34EF" w:rsidRPr="00B00383" w:rsidRDefault="00DC34EF" w:rsidP="00DC34EF">
            <w:pPr>
              <w:jc w:val="right"/>
              <w:rPr>
                <w:rFonts w:ascii="Garamond" w:hAnsi="Garamond" w:cstheme="minorHAnsi"/>
                <w:sz w:val="22"/>
                <w:szCs w:val="22"/>
              </w:rPr>
            </w:pPr>
            <w:r w:rsidRPr="00B00383">
              <w:rPr>
                <w:rFonts w:ascii="Garamond" w:hAnsi="Garamond" w:cstheme="minorHAnsi"/>
                <w:sz w:val="22"/>
                <w:szCs w:val="22"/>
              </w:rPr>
              <w:t>1,26,17,831</w:t>
            </w:r>
          </w:p>
        </w:tc>
        <w:tc>
          <w:tcPr>
            <w:tcW w:w="0" w:type="auto"/>
          </w:tcPr>
          <w:p w:rsidR="00DC34EF" w:rsidRPr="00B00383" w:rsidRDefault="00DC34EF" w:rsidP="00DC34EF">
            <w:pPr>
              <w:jc w:val="right"/>
              <w:rPr>
                <w:rFonts w:ascii="Garamond" w:hAnsi="Garamond" w:cstheme="minorHAnsi"/>
                <w:sz w:val="22"/>
                <w:szCs w:val="22"/>
              </w:rPr>
            </w:pPr>
            <w:r w:rsidRPr="00B00383">
              <w:rPr>
                <w:rFonts w:ascii="Garamond" w:hAnsi="Garamond" w:cstheme="minorHAnsi"/>
                <w:sz w:val="22"/>
                <w:szCs w:val="22"/>
              </w:rPr>
              <w:t>1,17,93,160</w:t>
            </w:r>
          </w:p>
        </w:tc>
      </w:tr>
      <w:tr w:rsidR="00DC34EF" w:rsidRPr="00B00383" w:rsidTr="00DC34EF">
        <w:trPr>
          <w:jc w:val="center"/>
        </w:trPr>
        <w:tc>
          <w:tcPr>
            <w:tcW w:w="0" w:type="auto"/>
          </w:tcPr>
          <w:p w:rsidR="00DC34EF" w:rsidRPr="00B00383" w:rsidRDefault="00DC34EF" w:rsidP="00DC34EF">
            <w:pPr>
              <w:rPr>
                <w:rFonts w:ascii="Garamond" w:hAnsi="Garamond" w:cstheme="minorHAnsi"/>
                <w:sz w:val="22"/>
                <w:szCs w:val="22"/>
              </w:rPr>
            </w:pPr>
            <w:r w:rsidRPr="00B00383">
              <w:rPr>
                <w:rFonts w:ascii="Garamond" w:hAnsi="Garamond" w:cstheme="minorHAnsi"/>
                <w:sz w:val="22"/>
                <w:szCs w:val="22"/>
              </w:rPr>
              <w:t>PAN available</w:t>
            </w:r>
          </w:p>
        </w:tc>
        <w:tc>
          <w:tcPr>
            <w:tcW w:w="0" w:type="auto"/>
          </w:tcPr>
          <w:p w:rsidR="00DC34EF" w:rsidRPr="00B00383" w:rsidRDefault="00DC34EF" w:rsidP="00DC34EF">
            <w:pPr>
              <w:jc w:val="right"/>
              <w:rPr>
                <w:rFonts w:ascii="Garamond" w:hAnsi="Garamond" w:cstheme="minorHAnsi"/>
                <w:sz w:val="22"/>
                <w:szCs w:val="22"/>
              </w:rPr>
            </w:pPr>
            <w:r w:rsidRPr="00B00383">
              <w:rPr>
                <w:rFonts w:ascii="Garamond" w:hAnsi="Garamond" w:cstheme="minorHAnsi"/>
                <w:sz w:val="22"/>
                <w:szCs w:val="22"/>
              </w:rPr>
              <w:t>11,39,498</w:t>
            </w:r>
          </w:p>
        </w:tc>
        <w:tc>
          <w:tcPr>
            <w:tcW w:w="0" w:type="auto"/>
          </w:tcPr>
          <w:p w:rsidR="00DC34EF" w:rsidRPr="00B00383" w:rsidRDefault="00DC34EF" w:rsidP="00DC34EF">
            <w:pPr>
              <w:jc w:val="right"/>
              <w:rPr>
                <w:rFonts w:ascii="Garamond" w:hAnsi="Garamond" w:cstheme="minorHAnsi"/>
                <w:sz w:val="22"/>
                <w:szCs w:val="22"/>
              </w:rPr>
            </w:pPr>
            <w:r w:rsidRPr="00B00383">
              <w:rPr>
                <w:rFonts w:ascii="Garamond" w:hAnsi="Garamond" w:cstheme="minorHAnsi"/>
                <w:sz w:val="22"/>
                <w:szCs w:val="22"/>
              </w:rPr>
              <w:t>15,10,918</w:t>
            </w:r>
          </w:p>
        </w:tc>
      </w:tr>
      <w:tr w:rsidR="00DC34EF" w:rsidRPr="00B00383" w:rsidTr="00DC34EF">
        <w:trPr>
          <w:jc w:val="center"/>
        </w:trPr>
        <w:tc>
          <w:tcPr>
            <w:tcW w:w="0" w:type="auto"/>
          </w:tcPr>
          <w:p w:rsidR="00DC34EF" w:rsidRPr="00B00383" w:rsidRDefault="00DC34EF" w:rsidP="00DC34EF">
            <w:pPr>
              <w:rPr>
                <w:rFonts w:ascii="Garamond" w:hAnsi="Garamond" w:cstheme="minorHAnsi"/>
                <w:sz w:val="22"/>
                <w:szCs w:val="22"/>
              </w:rPr>
            </w:pPr>
            <w:r w:rsidRPr="00B00383">
              <w:rPr>
                <w:rFonts w:ascii="Garamond" w:hAnsi="Garamond" w:cstheme="minorHAnsi"/>
                <w:sz w:val="22"/>
                <w:szCs w:val="22"/>
              </w:rPr>
              <w:t>PAN details not available</w:t>
            </w:r>
          </w:p>
        </w:tc>
        <w:tc>
          <w:tcPr>
            <w:tcW w:w="0" w:type="auto"/>
          </w:tcPr>
          <w:p w:rsidR="00DC34EF" w:rsidRPr="00B00383" w:rsidRDefault="00DC34EF" w:rsidP="00DC34EF">
            <w:pPr>
              <w:jc w:val="right"/>
              <w:rPr>
                <w:rFonts w:ascii="Garamond" w:hAnsi="Garamond" w:cstheme="minorHAnsi"/>
                <w:sz w:val="22"/>
                <w:szCs w:val="22"/>
              </w:rPr>
            </w:pPr>
            <w:r w:rsidRPr="00B00383">
              <w:rPr>
                <w:rFonts w:ascii="Garamond" w:hAnsi="Garamond" w:cstheme="minorHAnsi"/>
                <w:sz w:val="22"/>
                <w:szCs w:val="22"/>
              </w:rPr>
              <w:t>1,30,32,731</w:t>
            </w:r>
          </w:p>
        </w:tc>
        <w:tc>
          <w:tcPr>
            <w:tcW w:w="0" w:type="auto"/>
          </w:tcPr>
          <w:p w:rsidR="00DC34EF" w:rsidRPr="00B00383" w:rsidRDefault="00DC34EF" w:rsidP="00DC34EF">
            <w:pPr>
              <w:jc w:val="right"/>
              <w:rPr>
                <w:rFonts w:ascii="Garamond" w:hAnsi="Garamond" w:cstheme="minorHAnsi"/>
                <w:sz w:val="22"/>
                <w:szCs w:val="22"/>
              </w:rPr>
            </w:pPr>
            <w:r w:rsidRPr="00B00383">
              <w:rPr>
                <w:rFonts w:ascii="Garamond" w:hAnsi="Garamond" w:cstheme="minorHAnsi"/>
                <w:sz w:val="22"/>
                <w:szCs w:val="22"/>
              </w:rPr>
              <w:t>1,23,16,659</w:t>
            </w:r>
          </w:p>
        </w:tc>
      </w:tr>
    </w:tbl>
    <w:p w:rsidR="00DC34EF" w:rsidRPr="00DC34EF" w:rsidRDefault="00DC34EF" w:rsidP="00DC34EF">
      <w:pPr>
        <w:ind w:left="1080"/>
        <w:jc w:val="both"/>
        <w:rPr>
          <w:rFonts w:ascii="Garamond" w:hAnsi="Garamond" w:cstheme="minorHAnsi"/>
          <w:lang w:val="en-US"/>
        </w:rPr>
      </w:pPr>
    </w:p>
    <w:p w:rsidR="00DC34EF" w:rsidRPr="00DC34EF" w:rsidRDefault="00DC34EF" w:rsidP="00DC34EF">
      <w:pPr>
        <w:ind w:left="720"/>
        <w:jc w:val="both"/>
        <w:rPr>
          <w:rFonts w:ascii="Garamond" w:hAnsi="Garamond" w:cstheme="minorHAnsi"/>
          <w:lang w:val="en-US"/>
        </w:rPr>
      </w:pPr>
      <w:r w:rsidRPr="00DC34EF">
        <w:rPr>
          <w:rFonts w:ascii="Garamond" w:hAnsi="Garamond" w:cstheme="minorHAnsi"/>
          <w:lang w:val="en-US"/>
        </w:rPr>
        <w:t xml:space="preserve">While the aforesaid regulatory measure has increased the number of folios in which bank and PAN details are available, there are still sizable number of folios in which these details are not available. </w:t>
      </w:r>
    </w:p>
    <w:p w:rsidR="00DC34EF" w:rsidRPr="00DC34EF" w:rsidRDefault="00DC34EF" w:rsidP="00DC34EF">
      <w:pPr>
        <w:ind w:left="1080"/>
        <w:jc w:val="both"/>
        <w:rPr>
          <w:rFonts w:ascii="Garamond" w:hAnsi="Garamond" w:cstheme="minorHAnsi"/>
          <w:lang w:val="en-US"/>
        </w:rPr>
      </w:pPr>
      <w:r w:rsidRPr="00DC34EF">
        <w:rPr>
          <w:rFonts w:ascii="Garamond" w:hAnsi="Garamond" w:cstheme="minorHAnsi"/>
          <w:lang w:val="en-US"/>
        </w:rPr>
        <w:t xml:space="preserve"> </w:t>
      </w:r>
    </w:p>
    <w:p w:rsidR="00DC34EF" w:rsidRPr="00DC34EF" w:rsidRDefault="00DC34EF" w:rsidP="00456F4D">
      <w:pPr>
        <w:pStyle w:val="ListParagraph"/>
        <w:numPr>
          <w:ilvl w:val="2"/>
          <w:numId w:val="24"/>
        </w:numPr>
        <w:spacing w:after="0"/>
        <w:jc w:val="both"/>
        <w:rPr>
          <w:rFonts w:ascii="Garamond" w:hAnsi="Garamond" w:cstheme="minorHAnsi"/>
          <w:sz w:val="24"/>
          <w:szCs w:val="24"/>
        </w:rPr>
      </w:pPr>
      <w:bookmarkStart w:id="18" w:name="_Ref60307607"/>
      <w:r w:rsidRPr="00DC34EF">
        <w:rPr>
          <w:rFonts w:ascii="Garamond" w:hAnsi="Garamond" w:cstheme="minorHAnsi"/>
          <w:sz w:val="24"/>
          <w:szCs w:val="24"/>
        </w:rPr>
        <w:t>Dividend payment by listed companies – Mode and Outcome</w:t>
      </w:r>
      <w:bookmarkEnd w:id="18"/>
      <w:r w:rsidRPr="00DC34EF">
        <w:rPr>
          <w:rFonts w:ascii="Garamond" w:hAnsi="Garamond" w:cstheme="minorHAnsi"/>
          <w:sz w:val="24"/>
          <w:szCs w:val="24"/>
        </w:rPr>
        <w:t xml:space="preserve"> </w:t>
      </w:r>
    </w:p>
    <w:p w:rsidR="00DC34EF" w:rsidRPr="00DC34EF" w:rsidRDefault="00DC34EF" w:rsidP="00DC34EF">
      <w:pPr>
        <w:ind w:left="720"/>
        <w:jc w:val="both"/>
        <w:rPr>
          <w:rFonts w:ascii="Garamond" w:hAnsi="Garamond" w:cstheme="minorHAnsi"/>
          <w:lang w:val="en-US"/>
        </w:rPr>
      </w:pPr>
      <w:r w:rsidRPr="00DC34EF">
        <w:rPr>
          <w:rFonts w:ascii="Garamond" w:hAnsi="Garamond" w:cstheme="minorHAnsi"/>
          <w:lang w:val="en-US"/>
        </w:rPr>
        <w:t xml:space="preserve">About 3% of the dividend payments for 2019-20 is pertaining to shares held in physical mode and the remaining 97% is for demat holdings, mirroring the pattern shared held in these respective modes. The details of dividend paid through electronic mode and instruments to physical and demat holders and its outcome are given in table below.   </w:t>
      </w:r>
    </w:p>
    <w:p w:rsidR="00DC34EF" w:rsidRPr="00DC34EF" w:rsidRDefault="00DC34EF" w:rsidP="00DC34EF">
      <w:pPr>
        <w:jc w:val="both"/>
        <w:rPr>
          <w:rFonts w:ascii="Garamond" w:hAnsi="Garamond" w:cstheme="minorHAnsi"/>
          <w:lang w:val="en-US"/>
        </w:rPr>
      </w:pPr>
    </w:p>
    <w:p w:rsidR="00DC34EF" w:rsidRPr="00DC34EF" w:rsidRDefault="00DC34EF" w:rsidP="00DC34EF">
      <w:pPr>
        <w:pStyle w:val="Caption"/>
        <w:keepNext/>
        <w:spacing w:after="0"/>
        <w:jc w:val="center"/>
        <w:rPr>
          <w:rFonts w:ascii="Garamond" w:hAnsi="Garamond" w:cstheme="minorHAnsi"/>
          <w:sz w:val="24"/>
          <w:szCs w:val="24"/>
        </w:rPr>
      </w:pPr>
      <w:bookmarkStart w:id="19" w:name="_Ref66181398"/>
      <w:bookmarkStart w:id="20" w:name="_Toc66185877"/>
      <w:r w:rsidRPr="00DC34EF">
        <w:rPr>
          <w:rFonts w:ascii="Garamond" w:hAnsi="Garamond" w:cstheme="minorHAnsi"/>
          <w:sz w:val="24"/>
          <w:szCs w:val="24"/>
        </w:rPr>
        <w:t xml:space="preserve">Table </w:t>
      </w:r>
      <w:r w:rsidRPr="00DC34EF">
        <w:rPr>
          <w:rFonts w:ascii="Garamond" w:hAnsi="Garamond" w:cstheme="minorHAnsi"/>
          <w:sz w:val="24"/>
          <w:szCs w:val="24"/>
        </w:rPr>
        <w:fldChar w:fldCharType="begin"/>
      </w:r>
      <w:r w:rsidRPr="00DC34EF">
        <w:rPr>
          <w:rFonts w:ascii="Garamond" w:hAnsi="Garamond" w:cstheme="minorHAnsi"/>
          <w:sz w:val="24"/>
          <w:szCs w:val="24"/>
        </w:rPr>
        <w:instrText xml:space="preserve"> SEQ Table \* ARABIC </w:instrText>
      </w:r>
      <w:r w:rsidRPr="00DC34EF">
        <w:rPr>
          <w:rFonts w:ascii="Garamond" w:hAnsi="Garamond" w:cstheme="minorHAnsi"/>
          <w:sz w:val="24"/>
          <w:szCs w:val="24"/>
        </w:rPr>
        <w:fldChar w:fldCharType="separate"/>
      </w:r>
      <w:r w:rsidRPr="00DC34EF">
        <w:rPr>
          <w:rFonts w:ascii="Garamond" w:hAnsi="Garamond" w:cstheme="minorHAnsi"/>
          <w:noProof/>
          <w:sz w:val="24"/>
          <w:szCs w:val="24"/>
        </w:rPr>
        <w:t>2</w:t>
      </w:r>
      <w:r w:rsidRPr="00DC34EF">
        <w:rPr>
          <w:rFonts w:ascii="Garamond" w:hAnsi="Garamond" w:cstheme="minorHAnsi"/>
          <w:sz w:val="24"/>
          <w:szCs w:val="24"/>
        </w:rPr>
        <w:fldChar w:fldCharType="end"/>
      </w:r>
      <w:bookmarkEnd w:id="19"/>
      <w:r w:rsidRPr="00DC34EF">
        <w:rPr>
          <w:rFonts w:ascii="Garamond" w:hAnsi="Garamond" w:cstheme="minorHAnsi"/>
          <w:sz w:val="24"/>
          <w:szCs w:val="24"/>
        </w:rPr>
        <w:t xml:space="preserve">: </w:t>
      </w:r>
      <w:bookmarkStart w:id="21" w:name="_Ref60143449"/>
      <w:r w:rsidRPr="00DC34EF">
        <w:rPr>
          <w:rFonts w:ascii="Garamond" w:hAnsi="Garamond" w:cstheme="minorHAnsi"/>
          <w:sz w:val="24"/>
          <w:szCs w:val="24"/>
        </w:rPr>
        <w:t>Dividend Payment by Listed Companies – Mode and Outcome</w:t>
      </w:r>
      <w:bookmarkEnd w:id="20"/>
      <w:bookmarkEnd w:id="21"/>
    </w:p>
    <w:p w:rsidR="00DC34EF" w:rsidRPr="00DC34EF" w:rsidRDefault="00DC34EF" w:rsidP="00DC34EF">
      <w:pPr>
        <w:rPr>
          <w:rFonts w:ascii="Garamond" w:hAnsi="Garamond"/>
        </w:rPr>
      </w:pPr>
    </w:p>
    <w:tbl>
      <w:tblPr>
        <w:tblStyle w:val="TableGrid"/>
        <w:tblW w:w="0" w:type="auto"/>
        <w:jc w:val="center"/>
        <w:tblLook w:val="04A0" w:firstRow="1" w:lastRow="0" w:firstColumn="1" w:lastColumn="0" w:noHBand="0" w:noVBand="1"/>
      </w:tblPr>
      <w:tblGrid>
        <w:gridCol w:w="3368"/>
        <w:gridCol w:w="1876"/>
        <w:gridCol w:w="1892"/>
        <w:gridCol w:w="1440"/>
      </w:tblGrid>
      <w:tr w:rsidR="00DC34EF" w:rsidRPr="00B00383" w:rsidTr="00DC34EF">
        <w:trPr>
          <w:jc w:val="center"/>
        </w:trPr>
        <w:tc>
          <w:tcPr>
            <w:tcW w:w="0" w:type="auto"/>
            <w:gridSpan w:val="3"/>
          </w:tcPr>
          <w:p w:rsidR="00DC34EF" w:rsidRPr="00B00383" w:rsidRDefault="00DC34EF" w:rsidP="00DC34EF">
            <w:pPr>
              <w:jc w:val="both"/>
              <w:rPr>
                <w:rFonts w:ascii="Garamond" w:hAnsi="Garamond" w:cstheme="minorHAnsi"/>
                <w:sz w:val="22"/>
                <w:szCs w:val="22"/>
              </w:rPr>
            </w:pPr>
            <w:r w:rsidRPr="00B00383">
              <w:rPr>
                <w:rFonts w:ascii="Garamond" w:hAnsi="Garamond" w:cstheme="minorHAnsi"/>
                <w:sz w:val="22"/>
                <w:szCs w:val="22"/>
              </w:rPr>
              <w:t>Number of Listed Companies</w:t>
            </w:r>
            <w:r w:rsidRPr="00B00383">
              <w:rPr>
                <w:rStyle w:val="FootnoteReference"/>
                <w:rFonts w:ascii="Garamond" w:hAnsi="Garamond" w:cstheme="minorHAnsi"/>
                <w:sz w:val="22"/>
                <w:szCs w:val="22"/>
              </w:rPr>
              <w:footnoteReference w:id="18"/>
            </w:r>
          </w:p>
        </w:tc>
        <w:tc>
          <w:tcPr>
            <w:tcW w:w="0" w:type="auto"/>
          </w:tcPr>
          <w:p w:rsidR="00DC34EF" w:rsidRPr="00B00383" w:rsidRDefault="00DC34EF" w:rsidP="00DC34EF">
            <w:pPr>
              <w:jc w:val="right"/>
              <w:rPr>
                <w:rFonts w:ascii="Garamond" w:hAnsi="Garamond" w:cstheme="minorHAnsi"/>
                <w:sz w:val="22"/>
                <w:szCs w:val="22"/>
              </w:rPr>
            </w:pPr>
            <w:r w:rsidRPr="00B00383">
              <w:rPr>
                <w:rFonts w:ascii="Garamond" w:hAnsi="Garamond" w:cstheme="minorHAnsi"/>
                <w:sz w:val="22"/>
                <w:szCs w:val="22"/>
              </w:rPr>
              <w:t>1,095</w:t>
            </w:r>
          </w:p>
        </w:tc>
      </w:tr>
      <w:tr w:rsidR="00DC34EF" w:rsidRPr="00B00383" w:rsidTr="00DC34EF">
        <w:trPr>
          <w:jc w:val="center"/>
        </w:trPr>
        <w:tc>
          <w:tcPr>
            <w:tcW w:w="0" w:type="auto"/>
            <w:vMerge w:val="restart"/>
          </w:tcPr>
          <w:p w:rsidR="00DC34EF" w:rsidRPr="00B00383" w:rsidRDefault="00DC34EF" w:rsidP="00DC34EF">
            <w:pPr>
              <w:jc w:val="both"/>
              <w:rPr>
                <w:rFonts w:ascii="Garamond" w:hAnsi="Garamond" w:cstheme="minorHAnsi"/>
                <w:sz w:val="22"/>
                <w:szCs w:val="22"/>
              </w:rPr>
            </w:pPr>
            <w:r w:rsidRPr="00B00383">
              <w:rPr>
                <w:rFonts w:ascii="Garamond" w:hAnsi="Garamond" w:cstheme="minorHAnsi"/>
                <w:sz w:val="22"/>
                <w:szCs w:val="22"/>
              </w:rPr>
              <w:t>Dividend paid in 2019-20 (</w:t>
            </w:r>
            <w:r w:rsidRPr="00B00383">
              <w:rPr>
                <w:sz w:val="22"/>
                <w:szCs w:val="22"/>
              </w:rPr>
              <w:t>₹</w:t>
            </w:r>
            <w:r w:rsidRPr="00B00383">
              <w:rPr>
                <w:rFonts w:ascii="Garamond" w:hAnsi="Garamond" w:cstheme="minorHAnsi"/>
                <w:sz w:val="22"/>
                <w:szCs w:val="22"/>
              </w:rPr>
              <w:t xml:space="preserve"> crore) </w:t>
            </w:r>
            <w:r w:rsidRPr="00B00383">
              <w:rPr>
                <w:rStyle w:val="FootnoteReference"/>
                <w:rFonts w:ascii="Garamond" w:hAnsi="Garamond" w:cstheme="minorHAnsi"/>
                <w:sz w:val="22"/>
                <w:szCs w:val="22"/>
              </w:rPr>
              <w:footnoteReference w:id="19"/>
            </w:r>
            <w:r w:rsidRPr="00B00383">
              <w:rPr>
                <w:rFonts w:ascii="Garamond" w:hAnsi="Garamond" w:cstheme="minorHAnsi"/>
                <w:sz w:val="22"/>
                <w:szCs w:val="22"/>
              </w:rPr>
              <w:t xml:space="preserve"> </w:t>
            </w:r>
          </w:p>
        </w:tc>
        <w:tc>
          <w:tcPr>
            <w:tcW w:w="0" w:type="auto"/>
          </w:tcPr>
          <w:p w:rsidR="00DC34EF" w:rsidRPr="00B00383" w:rsidRDefault="00DC34EF" w:rsidP="00DC34EF">
            <w:pPr>
              <w:jc w:val="center"/>
              <w:rPr>
                <w:rFonts w:ascii="Garamond" w:hAnsi="Garamond" w:cstheme="minorHAnsi"/>
                <w:b/>
                <w:sz w:val="22"/>
                <w:szCs w:val="22"/>
              </w:rPr>
            </w:pPr>
            <w:r w:rsidRPr="00B00383">
              <w:rPr>
                <w:rFonts w:ascii="Garamond" w:hAnsi="Garamond" w:cstheme="minorHAnsi"/>
                <w:b/>
                <w:sz w:val="22"/>
                <w:szCs w:val="22"/>
              </w:rPr>
              <w:t>Physical Holding</w:t>
            </w:r>
          </w:p>
        </w:tc>
        <w:tc>
          <w:tcPr>
            <w:tcW w:w="0" w:type="auto"/>
          </w:tcPr>
          <w:p w:rsidR="00DC34EF" w:rsidRPr="00B00383" w:rsidRDefault="00DC34EF" w:rsidP="00DC34EF">
            <w:pPr>
              <w:jc w:val="center"/>
              <w:rPr>
                <w:rFonts w:ascii="Garamond" w:hAnsi="Garamond" w:cstheme="minorHAnsi"/>
                <w:b/>
                <w:sz w:val="22"/>
                <w:szCs w:val="22"/>
              </w:rPr>
            </w:pPr>
            <w:r w:rsidRPr="00B00383">
              <w:rPr>
                <w:rFonts w:ascii="Garamond" w:hAnsi="Garamond" w:cstheme="minorHAnsi"/>
                <w:b/>
                <w:sz w:val="22"/>
                <w:szCs w:val="22"/>
              </w:rPr>
              <w:t>Demat Holding</w:t>
            </w:r>
          </w:p>
        </w:tc>
        <w:tc>
          <w:tcPr>
            <w:tcW w:w="0" w:type="auto"/>
          </w:tcPr>
          <w:p w:rsidR="00DC34EF" w:rsidRPr="00B00383" w:rsidRDefault="00DC34EF" w:rsidP="00DC34EF">
            <w:pPr>
              <w:jc w:val="center"/>
              <w:rPr>
                <w:rFonts w:ascii="Garamond" w:hAnsi="Garamond" w:cstheme="minorHAnsi"/>
                <w:b/>
                <w:sz w:val="22"/>
                <w:szCs w:val="22"/>
              </w:rPr>
            </w:pPr>
            <w:r w:rsidRPr="00B00383">
              <w:rPr>
                <w:rFonts w:ascii="Garamond" w:hAnsi="Garamond" w:cstheme="minorHAnsi"/>
                <w:b/>
                <w:sz w:val="22"/>
                <w:szCs w:val="22"/>
              </w:rPr>
              <w:t>Total</w:t>
            </w:r>
          </w:p>
        </w:tc>
      </w:tr>
      <w:tr w:rsidR="00DC34EF" w:rsidRPr="00B00383" w:rsidTr="00DC34EF">
        <w:trPr>
          <w:jc w:val="center"/>
        </w:trPr>
        <w:tc>
          <w:tcPr>
            <w:tcW w:w="0" w:type="auto"/>
            <w:vMerge/>
          </w:tcPr>
          <w:p w:rsidR="00DC34EF" w:rsidRPr="00B00383" w:rsidRDefault="00DC34EF" w:rsidP="00DC34EF">
            <w:pPr>
              <w:jc w:val="center"/>
              <w:rPr>
                <w:rFonts w:ascii="Garamond" w:hAnsi="Garamond" w:cstheme="minorHAnsi"/>
                <w:sz w:val="22"/>
                <w:szCs w:val="22"/>
              </w:rPr>
            </w:pPr>
          </w:p>
        </w:tc>
        <w:tc>
          <w:tcPr>
            <w:tcW w:w="0" w:type="auto"/>
          </w:tcPr>
          <w:p w:rsidR="00DC34EF" w:rsidRPr="00B00383" w:rsidRDefault="00DC34EF" w:rsidP="00DC34EF">
            <w:pPr>
              <w:jc w:val="right"/>
              <w:rPr>
                <w:rFonts w:ascii="Garamond" w:hAnsi="Garamond" w:cstheme="minorHAnsi"/>
                <w:sz w:val="22"/>
                <w:szCs w:val="22"/>
              </w:rPr>
            </w:pPr>
            <w:r w:rsidRPr="00B00383">
              <w:rPr>
                <w:rFonts w:ascii="Garamond" w:hAnsi="Garamond" w:cstheme="minorHAnsi"/>
                <w:sz w:val="22"/>
                <w:szCs w:val="22"/>
              </w:rPr>
              <w:t>3,060</w:t>
            </w:r>
          </w:p>
        </w:tc>
        <w:tc>
          <w:tcPr>
            <w:tcW w:w="0" w:type="auto"/>
          </w:tcPr>
          <w:p w:rsidR="00DC34EF" w:rsidRPr="00B00383" w:rsidRDefault="00DC34EF" w:rsidP="00DC34EF">
            <w:pPr>
              <w:jc w:val="right"/>
              <w:rPr>
                <w:rFonts w:ascii="Garamond" w:hAnsi="Garamond" w:cstheme="minorHAnsi"/>
                <w:sz w:val="22"/>
                <w:szCs w:val="22"/>
              </w:rPr>
            </w:pPr>
            <w:r w:rsidRPr="00B00383">
              <w:rPr>
                <w:rFonts w:ascii="Garamond" w:hAnsi="Garamond" w:cstheme="minorHAnsi"/>
                <w:sz w:val="22"/>
                <w:szCs w:val="22"/>
              </w:rPr>
              <w:t>1,03,340</w:t>
            </w:r>
          </w:p>
        </w:tc>
        <w:tc>
          <w:tcPr>
            <w:tcW w:w="0" w:type="auto"/>
          </w:tcPr>
          <w:p w:rsidR="00DC34EF" w:rsidRPr="00B00383" w:rsidRDefault="00DC34EF" w:rsidP="00DC34EF">
            <w:pPr>
              <w:jc w:val="right"/>
              <w:rPr>
                <w:rFonts w:ascii="Garamond" w:hAnsi="Garamond" w:cstheme="minorHAnsi"/>
                <w:sz w:val="22"/>
                <w:szCs w:val="22"/>
              </w:rPr>
            </w:pPr>
            <w:r w:rsidRPr="00B00383">
              <w:rPr>
                <w:rFonts w:ascii="Garamond" w:hAnsi="Garamond" w:cstheme="minorHAnsi"/>
                <w:sz w:val="22"/>
                <w:szCs w:val="22"/>
              </w:rPr>
              <w:t>1,06,400</w:t>
            </w:r>
          </w:p>
        </w:tc>
      </w:tr>
      <w:tr w:rsidR="00DC34EF" w:rsidRPr="00B00383" w:rsidTr="00DC34EF">
        <w:trPr>
          <w:jc w:val="center"/>
        </w:trPr>
        <w:tc>
          <w:tcPr>
            <w:tcW w:w="0" w:type="auto"/>
            <w:gridSpan w:val="4"/>
          </w:tcPr>
          <w:p w:rsidR="00DC34EF" w:rsidRPr="00B00383" w:rsidRDefault="00DC34EF" w:rsidP="00DC34EF">
            <w:pPr>
              <w:jc w:val="center"/>
              <w:rPr>
                <w:rFonts w:ascii="Garamond" w:hAnsi="Garamond" w:cstheme="minorHAnsi"/>
                <w:sz w:val="22"/>
                <w:szCs w:val="22"/>
              </w:rPr>
            </w:pPr>
            <w:r w:rsidRPr="00B00383">
              <w:rPr>
                <w:rFonts w:ascii="Garamond" w:hAnsi="Garamond" w:cstheme="minorHAnsi"/>
                <w:sz w:val="22"/>
                <w:szCs w:val="22"/>
              </w:rPr>
              <w:t xml:space="preserve">Payment mode and Outcome </w:t>
            </w:r>
          </w:p>
        </w:tc>
      </w:tr>
      <w:tr w:rsidR="00DC34EF" w:rsidRPr="00B00383" w:rsidTr="00DC34EF">
        <w:trPr>
          <w:jc w:val="center"/>
        </w:trPr>
        <w:tc>
          <w:tcPr>
            <w:tcW w:w="0" w:type="auto"/>
            <w:gridSpan w:val="4"/>
          </w:tcPr>
          <w:p w:rsidR="00DC34EF" w:rsidRPr="00B00383" w:rsidRDefault="00DC34EF" w:rsidP="00DC34EF">
            <w:pPr>
              <w:jc w:val="center"/>
              <w:rPr>
                <w:rFonts w:ascii="Garamond" w:hAnsi="Garamond" w:cstheme="minorHAnsi"/>
                <w:sz w:val="22"/>
                <w:szCs w:val="22"/>
              </w:rPr>
            </w:pPr>
            <w:r w:rsidRPr="00B00383">
              <w:rPr>
                <w:rFonts w:ascii="Garamond" w:hAnsi="Garamond" w:cstheme="minorHAnsi"/>
                <w:sz w:val="22"/>
                <w:szCs w:val="22"/>
              </w:rPr>
              <w:t>Amount Rs. crore</w:t>
            </w:r>
          </w:p>
        </w:tc>
      </w:tr>
      <w:tr w:rsidR="00DC34EF" w:rsidRPr="00B00383" w:rsidTr="00DC34EF">
        <w:trPr>
          <w:jc w:val="center"/>
        </w:trPr>
        <w:tc>
          <w:tcPr>
            <w:tcW w:w="0" w:type="auto"/>
          </w:tcPr>
          <w:p w:rsidR="00DC34EF" w:rsidRPr="00B00383" w:rsidRDefault="00DC34EF" w:rsidP="00DC34EF">
            <w:pPr>
              <w:jc w:val="both"/>
              <w:rPr>
                <w:rFonts w:ascii="Garamond" w:hAnsi="Garamond" w:cstheme="minorHAnsi"/>
                <w:sz w:val="22"/>
                <w:szCs w:val="22"/>
              </w:rPr>
            </w:pPr>
            <w:r w:rsidRPr="00B00383">
              <w:rPr>
                <w:rFonts w:ascii="Garamond" w:hAnsi="Garamond" w:cstheme="minorHAnsi"/>
                <w:sz w:val="22"/>
                <w:szCs w:val="22"/>
              </w:rPr>
              <w:t>Electronic mode</w:t>
            </w:r>
          </w:p>
        </w:tc>
        <w:tc>
          <w:tcPr>
            <w:tcW w:w="0" w:type="auto"/>
          </w:tcPr>
          <w:p w:rsidR="00DC34EF" w:rsidRPr="00B00383" w:rsidRDefault="00DC34EF" w:rsidP="00DC34EF">
            <w:pPr>
              <w:jc w:val="right"/>
              <w:rPr>
                <w:rFonts w:ascii="Garamond" w:hAnsi="Garamond" w:cstheme="minorHAnsi"/>
                <w:sz w:val="22"/>
                <w:szCs w:val="22"/>
              </w:rPr>
            </w:pPr>
            <w:r w:rsidRPr="00B00383">
              <w:rPr>
                <w:rFonts w:ascii="Garamond" w:hAnsi="Garamond" w:cstheme="minorHAnsi"/>
                <w:sz w:val="22"/>
                <w:szCs w:val="22"/>
              </w:rPr>
              <w:t>2,482</w:t>
            </w:r>
          </w:p>
        </w:tc>
        <w:tc>
          <w:tcPr>
            <w:tcW w:w="0" w:type="auto"/>
          </w:tcPr>
          <w:p w:rsidR="00DC34EF" w:rsidRPr="00B00383" w:rsidRDefault="00DC34EF" w:rsidP="00DC34EF">
            <w:pPr>
              <w:jc w:val="right"/>
              <w:rPr>
                <w:rFonts w:ascii="Garamond" w:hAnsi="Garamond" w:cstheme="minorHAnsi"/>
                <w:sz w:val="22"/>
                <w:szCs w:val="22"/>
              </w:rPr>
            </w:pPr>
            <w:r w:rsidRPr="00B00383">
              <w:rPr>
                <w:rFonts w:ascii="Garamond" w:hAnsi="Garamond" w:cstheme="minorHAnsi"/>
                <w:sz w:val="22"/>
                <w:szCs w:val="22"/>
              </w:rPr>
              <w:t>1,01,458</w:t>
            </w:r>
          </w:p>
        </w:tc>
        <w:tc>
          <w:tcPr>
            <w:tcW w:w="0" w:type="auto"/>
          </w:tcPr>
          <w:p w:rsidR="00DC34EF" w:rsidRPr="00B00383" w:rsidRDefault="00DC34EF" w:rsidP="00DC34EF">
            <w:pPr>
              <w:jc w:val="right"/>
              <w:rPr>
                <w:rFonts w:ascii="Garamond" w:hAnsi="Garamond" w:cstheme="minorHAnsi"/>
                <w:sz w:val="22"/>
                <w:szCs w:val="22"/>
              </w:rPr>
            </w:pPr>
            <w:r w:rsidRPr="00B00383">
              <w:rPr>
                <w:rFonts w:ascii="Garamond" w:hAnsi="Garamond" w:cstheme="minorHAnsi"/>
                <w:sz w:val="22"/>
                <w:szCs w:val="22"/>
              </w:rPr>
              <w:t>1,03,941</w:t>
            </w:r>
          </w:p>
        </w:tc>
      </w:tr>
      <w:tr w:rsidR="00DC34EF" w:rsidRPr="00B00383" w:rsidTr="00DC34EF">
        <w:trPr>
          <w:jc w:val="center"/>
        </w:trPr>
        <w:tc>
          <w:tcPr>
            <w:tcW w:w="0" w:type="auto"/>
          </w:tcPr>
          <w:p w:rsidR="00DC34EF" w:rsidRPr="00B00383" w:rsidRDefault="00DC34EF" w:rsidP="00DC34EF">
            <w:pPr>
              <w:ind w:left="720"/>
              <w:jc w:val="both"/>
              <w:rPr>
                <w:rFonts w:ascii="Garamond" w:hAnsi="Garamond" w:cstheme="minorHAnsi"/>
                <w:sz w:val="22"/>
                <w:szCs w:val="22"/>
              </w:rPr>
            </w:pPr>
            <w:r w:rsidRPr="00B00383">
              <w:rPr>
                <w:rFonts w:ascii="Garamond" w:hAnsi="Garamond" w:cstheme="minorHAnsi"/>
                <w:sz w:val="22"/>
                <w:szCs w:val="22"/>
              </w:rPr>
              <w:t>O/w Unsuccessful</w:t>
            </w:r>
          </w:p>
        </w:tc>
        <w:tc>
          <w:tcPr>
            <w:tcW w:w="0" w:type="auto"/>
          </w:tcPr>
          <w:p w:rsidR="00DC34EF" w:rsidRPr="00B00383" w:rsidRDefault="00DC34EF" w:rsidP="00DC34EF">
            <w:pPr>
              <w:jc w:val="right"/>
              <w:rPr>
                <w:rFonts w:ascii="Garamond" w:hAnsi="Garamond" w:cstheme="minorHAnsi"/>
                <w:sz w:val="22"/>
                <w:szCs w:val="22"/>
              </w:rPr>
            </w:pPr>
            <w:r w:rsidRPr="00B00383">
              <w:rPr>
                <w:rFonts w:ascii="Garamond" w:hAnsi="Garamond" w:cstheme="minorHAnsi"/>
                <w:sz w:val="22"/>
                <w:szCs w:val="22"/>
              </w:rPr>
              <w:t>14</w:t>
            </w:r>
          </w:p>
        </w:tc>
        <w:tc>
          <w:tcPr>
            <w:tcW w:w="0" w:type="auto"/>
          </w:tcPr>
          <w:p w:rsidR="00DC34EF" w:rsidRPr="00B00383" w:rsidRDefault="00DC34EF" w:rsidP="00DC34EF">
            <w:pPr>
              <w:jc w:val="right"/>
              <w:rPr>
                <w:rFonts w:ascii="Garamond" w:hAnsi="Garamond" w:cstheme="minorHAnsi"/>
                <w:sz w:val="22"/>
                <w:szCs w:val="22"/>
              </w:rPr>
            </w:pPr>
            <w:r w:rsidRPr="00B00383">
              <w:rPr>
                <w:rFonts w:ascii="Garamond" w:hAnsi="Garamond" w:cstheme="minorHAnsi"/>
                <w:sz w:val="22"/>
                <w:szCs w:val="22"/>
              </w:rPr>
              <w:t>168</w:t>
            </w:r>
          </w:p>
        </w:tc>
        <w:tc>
          <w:tcPr>
            <w:tcW w:w="0" w:type="auto"/>
          </w:tcPr>
          <w:p w:rsidR="00DC34EF" w:rsidRPr="00B00383" w:rsidRDefault="00DC34EF" w:rsidP="00DC34EF">
            <w:pPr>
              <w:jc w:val="right"/>
              <w:rPr>
                <w:rFonts w:ascii="Garamond" w:hAnsi="Garamond" w:cstheme="minorHAnsi"/>
                <w:sz w:val="22"/>
                <w:szCs w:val="22"/>
              </w:rPr>
            </w:pPr>
            <w:r w:rsidRPr="00B00383">
              <w:rPr>
                <w:rFonts w:ascii="Garamond" w:hAnsi="Garamond" w:cstheme="minorHAnsi"/>
                <w:sz w:val="22"/>
                <w:szCs w:val="22"/>
              </w:rPr>
              <w:t>182</w:t>
            </w:r>
          </w:p>
        </w:tc>
      </w:tr>
      <w:tr w:rsidR="00DC34EF" w:rsidRPr="00B00383" w:rsidTr="00DC34EF">
        <w:trPr>
          <w:jc w:val="center"/>
        </w:trPr>
        <w:tc>
          <w:tcPr>
            <w:tcW w:w="0" w:type="auto"/>
          </w:tcPr>
          <w:p w:rsidR="00DC34EF" w:rsidRPr="00B00383" w:rsidRDefault="00DC34EF" w:rsidP="00DC34EF">
            <w:pPr>
              <w:jc w:val="both"/>
              <w:rPr>
                <w:rFonts w:ascii="Garamond" w:hAnsi="Garamond" w:cstheme="minorHAnsi"/>
                <w:sz w:val="22"/>
                <w:szCs w:val="22"/>
              </w:rPr>
            </w:pPr>
            <w:r w:rsidRPr="00B00383">
              <w:rPr>
                <w:rFonts w:ascii="Garamond" w:hAnsi="Garamond" w:cstheme="minorHAnsi"/>
                <w:sz w:val="22"/>
                <w:szCs w:val="22"/>
              </w:rPr>
              <w:t>Physical Instruments</w:t>
            </w:r>
          </w:p>
        </w:tc>
        <w:tc>
          <w:tcPr>
            <w:tcW w:w="0" w:type="auto"/>
          </w:tcPr>
          <w:p w:rsidR="00DC34EF" w:rsidRPr="00B00383" w:rsidRDefault="00DC34EF" w:rsidP="00DC34EF">
            <w:pPr>
              <w:tabs>
                <w:tab w:val="left" w:pos="1350"/>
              </w:tabs>
              <w:rPr>
                <w:rFonts w:ascii="Garamond" w:hAnsi="Garamond" w:cstheme="minorHAnsi"/>
                <w:sz w:val="22"/>
                <w:szCs w:val="22"/>
              </w:rPr>
            </w:pPr>
            <w:r w:rsidRPr="00B00383">
              <w:rPr>
                <w:rFonts w:ascii="Garamond" w:hAnsi="Garamond" w:cstheme="minorHAnsi"/>
                <w:sz w:val="22"/>
                <w:szCs w:val="22"/>
              </w:rPr>
              <w:tab/>
              <w:t>578</w:t>
            </w:r>
          </w:p>
        </w:tc>
        <w:tc>
          <w:tcPr>
            <w:tcW w:w="0" w:type="auto"/>
          </w:tcPr>
          <w:p w:rsidR="00DC34EF" w:rsidRPr="00B00383" w:rsidRDefault="00DC34EF" w:rsidP="00DC34EF">
            <w:pPr>
              <w:tabs>
                <w:tab w:val="left" w:pos="1215"/>
              </w:tabs>
              <w:rPr>
                <w:rFonts w:ascii="Garamond" w:hAnsi="Garamond" w:cstheme="minorHAnsi"/>
                <w:sz w:val="22"/>
                <w:szCs w:val="22"/>
              </w:rPr>
            </w:pPr>
            <w:r w:rsidRPr="00B00383">
              <w:rPr>
                <w:rFonts w:ascii="Garamond" w:hAnsi="Garamond" w:cstheme="minorHAnsi"/>
                <w:sz w:val="22"/>
                <w:szCs w:val="22"/>
              </w:rPr>
              <w:tab/>
              <w:t>1,881</w:t>
            </w:r>
          </w:p>
        </w:tc>
        <w:tc>
          <w:tcPr>
            <w:tcW w:w="0" w:type="auto"/>
          </w:tcPr>
          <w:p w:rsidR="00DC34EF" w:rsidRPr="00B00383" w:rsidRDefault="00DC34EF" w:rsidP="00DC34EF">
            <w:pPr>
              <w:jc w:val="right"/>
              <w:rPr>
                <w:rFonts w:ascii="Garamond" w:hAnsi="Garamond" w:cstheme="minorHAnsi"/>
                <w:sz w:val="22"/>
                <w:szCs w:val="22"/>
              </w:rPr>
            </w:pPr>
            <w:r w:rsidRPr="00B00383">
              <w:rPr>
                <w:rFonts w:ascii="Garamond" w:hAnsi="Garamond" w:cstheme="minorHAnsi"/>
                <w:sz w:val="22"/>
                <w:szCs w:val="22"/>
              </w:rPr>
              <w:t>2,459</w:t>
            </w:r>
          </w:p>
        </w:tc>
      </w:tr>
      <w:tr w:rsidR="00DC34EF" w:rsidRPr="00B00383" w:rsidTr="00DC34EF">
        <w:trPr>
          <w:jc w:val="center"/>
        </w:trPr>
        <w:tc>
          <w:tcPr>
            <w:tcW w:w="0" w:type="auto"/>
          </w:tcPr>
          <w:p w:rsidR="00DC34EF" w:rsidRPr="00B00383" w:rsidRDefault="00DC34EF" w:rsidP="00DC34EF">
            <w:pPr>
              <w:ind w:left="720"/>
              <w:jc w:val="both"/>
              <w:rPr>
                <w:rFonts w:ascii="Garamond" w:hAnsi="Garamond" w:cstheme="minorHAnsi"/>
                <w:sz w:val="22"/>
                <w:szCs w:val="22"/>
              </w:rPr>
            </w:pPr>
            <w:r w:rsidRPr="00B00383">
              <w:rPr>
                <w:rFonts w:ascii="Garamond" w:hAnsi="Garamond" w:cstheme="minorHAnsi"/>
                <w:sz w:val="22"/>
                <w:szCs w:val="22"/>
              </w:rPr>
              <w:t>O/w Unsuccessful</w:t>
            </w:r>
          </w:p>
        </w:tc>
        <w:tc>
          <w:tcPr>
            <w:tcW w:w="0" w:type="auto"/>
          </w:tcPr>
          <w:p w:rsidR="00DC34EF" w:rsidRPr="00B00383" w:rsidRDefault="00DC34EF" w:rsidP="00DC34EF">
            <w:pPr>
              <w:jc w:val="right"/>
              <w:rPr>
                <w:rFonts w:ascii="Garamond" w:hAnsi="Garamond" w:cstheme="minorHAnsi"/>
                <w:sz w:val="22"/>
                <w:szCs w:val="22"/>
              </w:rPr>
            </w:pPr>
            <w:r w:rsidRPr="00B00383">
              <w:rPr>
                <w:rFonts w:ascii="Garamond" w:hAnsi="Garamond" w:cstheme="minorHAnsi"/>
                <w:sz w:val="22"/>
                <w:szCs w:val="22"/>
              </w:rPr>
              <w:t>258</w:t>
            </w:r>
          </w:p>
        </w:tc>
        <w:tc>
          <w:tcPr>
            <w:tcW w:w="0" w:type="auto"/>
          </w:tcPr>
          <w:p w:rsidR="00DC34EF" w:rsidRPr="00B00383" w:rsidRDefault="00DC34EF" w:rsidP="00DC34EF">
            <w:pPr>
              <w:jc w:val="right"/>
              <w:rPr>
                <w:rFonts w:ascii="Garamond" w:hAnsi="Garamond" w:cstheme="minorHAnsi"/>
                <w:sz w:val="22"/>
                <w:szCs w:val="22"/>
              </w:rPr>
            </w:pPr>
            <w:r w:rsidRPr="00B00383">
              <w:rPr>
                <w:rFonts w:ascii="Garamond" w:hAnsi="Garamond" w:cstheme="minorHAnsi"/>
                <w:sz w:val="22"/>
                <w:szCs w:val="22"/>
              </w:rPr>
              <w:t>310</w:t>
            </w:r>
          </w:p>
        </w:tc>
        <w:tc>
          <w:tcPr>
            <w:tcW w:w="0" w:type="auto"/>
          </w:tcPr>
          <w:p w:rsidR="00DC34EF" w:rsidRPr="00B00383" w:rsidRDefault="00DC34EF" w:rsidP="00DC34EF">
            <w:pPr>
              <w:jc w:val="right"/>
              <w:rPr>
                <w:rFonts w:ascii="Garamond" w:hAnsi="Garamond" w:cstheme="minorHAnsi"/>
                <w:sz w:val="22"/>
                <w:szCs w:val="22"/>
              </w:rPr>
            </w:pPr>
            <w:r w:rsidRPr="00B00383">
              <w:rPr>
                <w:rFonts w:ascii="Garamond" w:hAnsi="Garamond" w:cstheme="minorHAnsi"/>
                <w:sz w:val="22"/>
                <w:szCs w:val="22"/>
              </w:rPr>
              <w:t>568</w:t>
            </w:r>
          </w:p>
        </w:tc>
      </w:tr>
      <w:tr w:rsidR="00DC34EF" w:rsidRPr="00B00383" w:rsidTr="00DC34EF">
        <w:trPr>
          <w:jc w:val="center"/>
        </w:trPr>
        <w:tc>
          <w:tcPr>
            <w:tcW w:w="0" w:type="auto"/>
            <w:gridSpan w:val="4"/>
          </w:tcPr>
          <w:p w:rsidR="00DC34EF" w:rsidRPr="00B00383" w:rsidRDefault="00DC34EF" w:rsidP="00DC34EF">
            <w:pPr>
              <w:jc w:val="center"/>
              <w:rPr>
                <w:rFonts w:ascii="Garamond" w:hAnsi="Garamond" w:cstheme="minorHAnsi"/>
                <w:sz w:val="22"/>
                <w:szCs w:val="22"/>
              </w:rPr>
            </w:pPr>
            <w:r w:rsidRPr="00B00383">
              <w:rPr>
                <w:rFonts w:ascii="Garamond" w:hAnsi="Garamond" w:cstheme="minorHAnsi"/>
                <w:sz w:val="22"/>
                <w:szCs w:val="22"/>
              </w:rPr>
              <w:t>Number of Payments</w:t>
            </w:r>
            <w:r w:rsidRPr="00B00383">
              <w:rPr>
                <w:rStyle w:val="FootnoteReference"/>
                <w:rFonts w:ascii="Garamond" w:hAnsi="Garamond" w:cstheme="minorHAnsi"/>
                <w:sz w:val="22"/>
                <w:szCs w:val="22"/>
              </w:rPr>
              <w:footnoteReference w:id="20"/>
            </w:r>
          </w:p>
        </w:tc>
      </w:tr>
      <w:tr w:rsidR="00DC34EF" w:rsidRPr="00B00383" w:rsidTr="00DC34EF">
        <w:trPr>
          <w:jc w:val="center"/>
        </w:trPr>
        <w:tc>
          <w:tcPr>
            <w:tcW w:w="0" w:type="auto"/>
          </w:tcPr>
          <w:p w:rsidR="00DC34EF" w:rsidRPr="00B00383" w:rsidRDefault="00DC34EF" w:rsidP="00DC34EF">
            <w:pPr>
              <w:rPr>
                <w:rFonts w:ascii="Garamond" w:hAnsi="Garamond" w:cstheme="minorHAnsi"/>
                <w:sz w:val="22"/>
                <w:szCs w:val="22"/>
              </w:rPr>
            </w:pPr>
            <w:r w:rsidRPr="00B00383">
              <w:rPr>
                <w:rFonts w:ascii="Garamond" w:hAnsi="Garamond" w:cstheme="minorHAnsi"/>
                <w:sz w:val="22"/>
                <w:szCs w:val="22"/>
              </w:rPr>
              <w:t>Electronic mode</w:t>
            </w:r>
          </w:p>
        </w:tc>
        <w:tc>
          <w:tcPr>
            <w:tcW w:w="0" w:type="auto"/>
          </w:tcPr>
          <w:p w:rsidR="00DC34EF" w:rsidRPr="00B00383" w:rsidRDefault="00DC34EF" w:rsidP="00DC34EF">
            <w:pPr>
              <w:jc w:val="right"/>
              <w:rPr>
                <w:rFonts w:ascii="Garamond" w:hAnsi="Garamond" w:cstheme="minorHAnsi"/>
                <w:sz w:val="22"/>
                <w:szCs w:val="22"/>
              </w:rPr>
            </w:pPr>
            <w:r w:rsidRPr="00B00383">
              <w:rPr>
                <w:rFonts w:ascii="Garamond" w:hAnsi="Garamond" w:cstheme="minorHAnsi"/>
                <w:sz w:val="22"/>
                <w:szCs w:val="22"/>
              </w:rPr>
              <w:t>28,04,608</w:t>
            </w:r>
          </w:p>
        </w:tc>
        <w:tc>
          <w:tcPr>
            <w:tcW w:w="0" w:type="auto"/>
          </w:tcPr>
          <w:p w:rsidR="00DC34EF" w:rsidRPr="00B00383" w:rsidRDefault="00DC34EF" w:rsidP="00DC34EF">
            <w:pPr>
              <w:jc w:val="right"/>
              <w:rPr>
                <w:rFonts w:ascii="Garamond" w:hAnsi="Garamond" w:cstheme="minorHAnsi"/>
                <w:sz w:val="22"/>
                <w:szCs w:val="22"/>
              </w:rPr>
            </w:pPr>
            <w:r w:rsidRPr="00B00383">
              <w:rPr>
                <w:rFonts w:ascii="Garamond" w:hAnsi="Garamond" w:cstheme="minorHAnsi"/>
                <w:sz w:val="22"/>
                <w:szCs w:val="22"/>
              </w:rPr>
              <w:t>1,26,54,66,725</w:t>
            </w:r>
          </w:p>
        </w:tc>
        <w:tc>
          <w:tcPr>
            <w:tcW w:w="0" w:type="auto"/>
          </w:tcPr>
          <w:p w:rsidR="00DC34EF" w:rsidRPr="00B00383" w:rsidRDefault="00DC34EF" w:rsidP="00DC34EF">
            <w:pPr>
              <w:jc w:val="right"/>
              <w:rPr>
                <w:rFonts w:ascii="Garamond" w:hAnsi="Garamond" w:cstheme="minorHAnsi"/>
                <w:sz w:val="22"/>
                <w:szCs w:val="22"/>
              </w:rPr>
            </w:pPr>
            <w:r w:rsidRPr="00B00383">
              <w:rPr>
                <w:rFonts w:ascii="Garamond" w:hAnsi="Garamond" w:cstheme="minorHAnsi"/>
                <w:sz w:val="22"/>
                <w:szCs w:val="22"/>
              </w:rPr>
              <w:t>1,26,82,71,333</w:t>
            </w:r>
          </w:p>
        </w:tc>
      </w:tr>
      <w:tr w:rsidR="00DC34EF" w:rsidRPr="00B00383" w:rsidTr="00DC34EF">
        <w:trPr>
          <w:jc w:val="center"/>
        </w:trPr>
        <w:tc>
          <w:tcPr>
            <w:tcW w:w="0" w:type="auto"/>
          </w:tcPr>
          <w:p w:rsidR="00DC34EF" w:rsidRPr="00B00383" w:rsidRDefault="00DC34EF" w:rsidP="00DC34EF">
            <w:pPr>
              <w:ind w:left="720"/>
              <w:rPr>
                <w:rFonts w:ascii="Garamond" w:hAnsi="Garamond" w:cstheme="minorHAnsi"/>
                <w:sz w:val="22"/>
                <w:szCs w:val="22"/>
              </w:rPr>
            </w:pPr>
            <w:r w:rsidRPr="00B00383">
              <w:rPr>
                <w:rFonts w:ascii="Garamond" w:hAnsi="Garamond" w:cstheme="minorHAnsi"/>
                <w:sz w:val="22"/>
                <w:szCs w:val="22"/>
              </w:rPr>
              <w:t>O/w Unsuccessful</w:t>
            </w:r>
          </w:p>
        </w:tc>
        <w:tc>
          <w:tcPr>
            <w:tcW w:w="0" w:type="auto"/>
          </w:tcPr>
          <w:p w:rsidR="00DC34EF" w:rsidRPr="00B00383" w:rsidRDefault="00DC34EF" w:rsidP="00DC34EF">
            <w:pPr>
              <w:jc w:val="right"/>
              <w:rPr>
                <w:rFonts w:ascii="Garamond" w:hAnsi="Garamond" w:cstheme="minorHAnsi"/>
                <w:sz w:val="22"/>
                <w:szCs w:val="22"/>
              </w:rPr>
            </w:pPr>
            <w:r w:rsidRPr="00B00383">
              <w:rPr>
                <w:rFonts w:ascii="Garamond" w:hAnsi="Garamond" w:cstheme="minorHAnsi"/>
                <w:sz w:val="22"/>
                <w:szCs w:val="22"/>
              </w:rPr>
              <w:t>44,649</w:t>
            </w:r>
          </w:p>
        </w:tc>
        <w:tc>
          <w:tcPr>
            <w:tcW w:w="0" w:type="auto"/>
          </w:tcPr>
          <w:p w:rsidR="00DC34EF" w:rsidRPr="00B00383" w:rsidRDefault="00DC34EF" w:rsidP="00DC34EF">
            <w:pPr>
              <w:jc w:val="right"/>
              <w:rPr>
                <w:rFonts w:ascii="Garamond" w:hAnsi="Garamond" w:cstheme="minorHAnsi"/>
                <w:sz w:val="22"/>
                <w:szCs w:val="22"/>
              </w:rPr>
            </w:pPr>
            <w:r w:rsidRPr="00B00383">
              <w:rPr>
                <w:rFonts w:ascii="Garamond" w:hAnsi="Garamond" w:cstheme="minorHAnsi"/>
                <w:sz w:val="22"/>
                <w:szCs w:val="22"/>
              </w:rPr>
              <w:t>9,78,128</w:t>
            </w:r>
          </w:p>
        </w:tc>
        <w:tc>
          <w:tcPr>
            <w:tcW w:w="0" w:type="auto"/>
          </w:tcPr>
          <w:p w:rsidR="00DC34EF" w:rsidRPr="00B00383" w:rsidRDefault="00DC34EF" w:rsidP="00DC34EF">
            <w:pPr>
              <w:jc w:val="right"/>
              <w:rPr>
                <w:rFonts w:ascii="Garamond" w:hAnsi="Garamond" w:cstheme="minorHAnsi"/>
                <w:sz w:val="22"/>
                <w:szCs w:val="22"/>
              </w:rPr>
            </w:pPr>
            <w:r w:rsidRPr="00B00383">
              <w:rPr>
                <w:rFonts w:ascii="Garamond" w:hAnsi="Garamond" w:cstheme="minorHAnsi"/>
                <w:sz w:val="22"/>
                <w:szCs w:val="22"/>
              </w:rPr>
              <w:t>10,22,777</w:t>
            </w:r>
          </w:p>
        </w:tc>
      </w:tr>
      <w:tr w:rsidR="00DC34EF" w:rsidRPr="00B00383" w:rsidTr="00DC34EF">
        <w:trPr>
          <w:jc w:val="center"/>
        </w:trPr>
        <w:tc>
          <w:tcPr>
            <w:tcW w:w="0" w:type="auto"/>
          </w:tcPr>
          <w:p w:rsidR="00DC34EF" w:rsidRPr="00B00383" w:rsidRDefault="00DC34EF" w:rsidP="00DC34EF">
            <w:pPr>
              <w:rPr>
                <w:rFonts w:ascii="Garamond" w:hAnsi="Garamond" w:cstheme="minorHAnsi"/>
                <w:sz w:val="22"/>
                <w:szCs w:val="22"/>
              </w:rPr>
            </w:pPr>
            <w:r w:rsidRPr="00B00383">
              <w:rPr>
                <w:rFonts w:ascii="Garamond" w:hAnsi="Garamond" w:cstheme="minorHAnsi"/>
                <w:sz w:val="22"/>
                <w:szCs w:val="22"/>
              </w:rPr>
              <w:t>Physical Instruments</w:t>
            </w:r>
          </w:p>
        </w:tc>
        <w:tc>
          <w:tcPr>
            <w:tcW w:w="0" w:type="auto"/>
          </w:tcPr>
          <w:p w:rsidR="00DC34EF" w:rsidRPr="00B00383" w:rsidRDefault="00DC34EF" w:rsidP="00DC34EF">
            <w:pPr>
              <w:jc w:val="right"/>
              <w:rPr>
                <w:rFonts w:ascii="Garamond" w:hAnsi="Garamond" w:cstheme="minorHAnsi"/>
                <w:sz w:val="22"/>
                <w:szCs w:val="22"/>
              </w:rPr>
            </w:pPr>
            <w:r w:rsidRPr="00B00383">
              <w:rPr>
                <w:rFonts w:ascii="Garamond" w:hAnsi="Garamond" w:cstheme="minorHAnsi"/>
                <w:sz w:val="22"/>
                <w:szCs w:val="22"/>
              </w:rPr>
              <w:t>72,39,788</w:t>
            </w:r>
          </w:p>
        </w:tc>
        <w:tc>
          <w:tcPr>
            <w:tcW w:w="0" w:type="auto"/>
          </w:tcPr>
          <w:p w:rsidR="00DC34EF" w:rsidRPr="00B00383" w:rsidRDefault="00DC34EF" w:rsidP="00DC34EF">
            <w:pPr>
              <w:jc w:val="right"/>
              <w:rPr>
                <w:rFonts w:ascii="Garamond" w:hAnsi="Garamond" w:cstheme="minorHAnsi"/>
                <w:sz w:val="22"/>
                <w:szCs w:val="22"/>
              </w:rPr>
            </w:pPr>
            <w:r w:rsidRPr="00B00383">
              <w:rPr>
                <w:rFonts w:ascii="Garamond" w:hAnsi="Garamond" w:cstheme="minorHAnsi"/>
                <w:sz w:val="22"/>
                <w:szCs w:val="22"/>
              </w:rPr>
              <w:t>34,90,310</w:t>
            </w:r>
          </w:p>
        </w:tc>
        <w:tc>
          <w:tcPr>
            <w:tcW w:w="0" w:type="auto"/>
          </w:tcPr>
          <w:p w:rsidR="00DC34EF" w:rsidRPr="00B00383" w:rsidRDefault="00DC34EF" w:rsidP="00DC34EF">
            <w:pPr>
              <w:jc w:val="right"/>
              <w:rPr>
                <w:rFonts w:ascii="Garamond" w:hAnsi="Garamond" w:cstheme="minorHAnsi"/>
                <w:sz w:val="22"/>
                <w:szCs w:val="22"/>
              </w:rPr>
            </w:pPr>
            <w:r w:rsidRPr="00B00383">
              <w:rPr>
                <w:rFonts w:ascii="Garamond" w:hAnsi="Garamond" w:cstheme="minorHAnsi"/>
                <w:sz w:val="22"/>
                <w:szCs w:val="22"/>
              </w:rPr>
              <w:t>1,07,30,098</w:t>
            </w:r>
          </w:p>
        </w:tc>
      </w:tr>
      <w:tr w:rsidR="00DC34EF" w:rsidRPr="00B00383" w:rsidTr="00DC34EF">
        <w:trPr>
          <w:jc w:val="center"/>
        </w:trPr>
        <w:tc>
          <w:tcPr>
            <w:tcW w:w="0" w:type="auto"/>
          </w:tcPr>
          <w:p w:rsidR="00DC34EF" w:rsidRPr="00B00383" w:rsidRDefault="00DC34EF" w:rsidP="00DC34EF">
            <w:pPr>
              <w:ind w:left="720"/>
              <w:rPr>
                <w:rFonts w:ascii="Garamond" w:hAnsi="Garamond" w:cstheme="minorHAnsi"/>
                <w:sz w:val="22"/>
                <w:szCs w:val="22"/>
              </w:rPr>
            </w:pPr>
            <w:r w:rsidRPr="00B00383">
              <w:rPr>
                <w:rFonts w:ascii="Garamond" w:hAnsi="Garamond" w:cstheme="minorHAnsi"/>
                <w:sz w:val="22"/>
                <w:szCs w:val="22"/>
              </w:rPr>
              <w:t>O/w Unsuccessful</w:t>
            </w:r>
          </w:p>
        </w:tc>
        <w:tc>
          <w:tcPr>
            <w:tcW w:w="0" w:type="auto"/>
          </w:tcPr>
          <w:p w:rsidR="00DC34EF" w:rsidRPr="00B00383" w:rsidRDefault="00DC34EF" w:rsidP="00DC34EF">
            <w:pPr>
              <w:jc w:val="right"/>
              <w:rPr>
                <w:rFonts w:ascii="Garamond" w:hAnsi="Garamond" w:cstheme="minorHAnsi"/>
                <w:sz w:val="22"/>
                <w:szCs w:val="22"/>
              </w:rPr>
            </w:pPr>
            <w:r w:rsidRPr="00B00383">
              <w:rPr>
                <w:rFonts w:ascii="Garamond" w:hAnsi="Garamond" w:cstheme="minorHAnsi"/>
                <w:sz w:val="22"/>
                <w:szCs w:val="22"/>
              </w:rPr>
              <w:t>26,89,601</w:t>
            </w:r>
          </w:p>
        </w:tc>
        <w:tc>
          <w:tcPr>
            <w:tcW w:w="0" w:type="auto"/>
          </w:tcPr>
          <w:p w:rsidR="00DC34EF" w:rsidRPr="00B00383" w:rsidRDefault="00DC34EF" w:rsidP="00DC34EF">
            <w:pPr>
              <w:jc w:val="right"/>
              <w:rPr>
                <w:rFonts w:ascii="Garamond" w:hAnsi="Garamond" w:cstheme="minorHAnsi"/>
                <w:sz w:val="22"/>
                <w:szCs w:val="22"/>
              </w:rPr>
            </w:pPr>
            <w:r w:rsidRPr="00B00383">
              <w:rPr>
                <w:rFonts w:ascii="Garamond" w:hAnsi="Garamond" w:cstheme="minorHAnsi"/>
                <w:sz w:val="22"/>
                <w:szCs w:val="22"/>
              </w:rPr>
              <w:t>12,35,013</w:t>
            </w:r>
          </w:p>
        </w:tc>
        <w:tc>
          <w:tcPr>
            <w:tcW w:w="0" w:type="auto"/>
          </w:tcPr>
          <w:p w:rsidR="00DC34EF" w:rsidRPr="00B00383" w:rsidRDefault="00DC34EF" w:rsidP="00DC34EF">
            <w:pPr>
              <w:jc w:val="right"/>
              <w:rPr>
                <w:rFonts w:ascii="Garamond" w:hAnsi="Garamond" w:cstheme="minorHAnsi"/>
                <w:sz w:val="22"/>
                <w:szCs w:val="22"/>
              </w:rPr>
            </w:pPr>
            <w:r w:rsidRPr="00B00383">
              <w:rPr>
                <w:rFonts w:ascii="Garamond" w:hAnsi="Garamond" w:cstheme="minorHAnsi"/>
                <w:sz w:val="22"/>
                <w:szCs w:val="22"/>
              </w:rPr>
              <w:t>39,24,614</w:t>
            </w:r>
          </w:p>
        </w:tc>
      </w:tr>
    </w:tbl>
    <w:p w:rsidR="00DC34EF" w:rsidRPr="00DC34EF" w:rsidRDefault="00DC34EF" w:rsidP="00DC34EF">
      <w:pPr>
        <w:jc w:val="both"/>
        <w:rPr>
          <w:rFonts w:ascii="Garamond" w:hAnsi="Garamond" w:cstheme="minorHAnsi"/>
          <w:lang w:val="en-US"/>
        </w:rPr>
      </w:pPr>
    </w:p>
    <w:p w:rsidR="00DC34EF" w:rsidRPr="00DC34EF" w:rsidRDefault="00DC34EF" w:rsidP="00DC34EF">
      <w:pPr>
        <w:ind w:left="720"/>
        <w:jc w:val="both"/>
        <w:rPr>
          <w:rFonts w:ascii="Garamond" w:hAnsi="Garamond" w:cstheme="minorHAnsi"/>
          <w:lang w:val="en-US"/>
        </w:rPr>
      </w:pPr>
      <w:r w:rsidRPr="00DC34EF">
        <w:rPr>
          <w:rFonts w:ascii="Garamond" w:hAnsi="Garamond" w:cstheme="minorHAnsi"/>
          <w:lang w:val="en-US"/>
        </w:rPr>
        <w:t xml:space="preserve">In terms of value, payments through electronic mode has success rate of over 99.5% for both physical and demat holdings. Whereas, payments through physical instrument has success rate of 55% and 84% for physical and demat holding, respectively. </w:t>
      </w:r>
    </w:p>
    <w:p w:rsidR="00DC34EF" w:rsidRPr="00DC34EF" w:rsidRDefault="00DC34EF" w:rsidP="00DC34EF">
      <w:pPr>
        <w:ind w:left="720"/>
        <w:jc w:val="both"/>
        <w:rPr>
          <w:rFonts w:ascii="Garamond" w:hAnsi="Garamond" w:cstheme="minorHAnsi"/>
          <w:lang w:val="en-US"/>
        </w:rPr>
      </w:pPr>
    </w:p>
    <w:p w:rsidR="00DC34EF" w:rsidRPr="00DC34EF" w:rsidRDefault="00DC34EF" w:rsidP="00DC34EF">
      <w:pPr>
        <w:ind w:left="720"/>
        <w:jc w:val="both"/>
        <w:rPr>
          <w:rFonts w:ascii="Garamond" w:hAnsi="Garamond" w:cstheme="minorHAnsi"/>
          <w:lang w:val="en-US"/>
        </w:rPr>
      </w:pPr>
      <w:r w:rsidRPr="00DC34EF">
        <w:rPr>
          <w:rFonts w:ascii="Garamond" w:hAnsi="Garamond" w:cstheme="minorHAnsi"/>
          <w:lang w:val="en-US"/>
        </w:rPr>
        <w:lastRenderedPageBreak/>
        <w:t>In terms of number of payments, electronic payments to physical and demat holders has success rate of about 98.4% and 99.9%, respectively. Whereas, payments through physical instrument has success rate of 63% and 64% for physical and demat holding, respectively.</w:t>
      </w:r>
    </w:p>
    <w:p w:rsidR="00DC34EF" w:rsidRPr="00DC34EF" w:rsidRDefault="00DC34EF" w:rsidP="00DC34EF">
      <w:pPr>
        <w:ind w:left="720"/>
        <w:jc w:val="both"/>
        <w:rPr>
          <w:rFonts w:ascii="Garamond" w:hAnsi="Garamond" w:cstheme="minorHAnsi"/>
          <w:lang w:val="en-US"/>
        </w:rPr>
      </w:pPr>
    </w:p>
    <w:p w:rsidR="00DC34EF" w:rsidRPr="00DC34EF" w:rsidRDefault="00DC34EF" w:rsidP="00DC34EF">
      <w:pPr>
        <w:ind w:left="720"/>
        <w:jc w:val="both"/>
        <w:rPr>
          <w:rFonts w:ascii="Garamond" w:hAnsi="Garamond" w:cstheme="minorHAnsi"/>
          <w:lang w:val="en-US"/>
        </w:rPr>
      </w:pPr>
      <w:r w:rsidRPr="00DC34EF">
        <w:rPr>
          <w:rFonts w:ascii="Garamond" w:hAnsi="Garamond" w:cstheme="minorHAnsi"/>
          <w:lang w:val="en-US"/>
        </w:rPr>
        <w:t xml:space="preserve">The case to make corporate payments to investors only through electronic mode is self-evident. Availability of complete bank details, is a prerequisite for the same and the recommendation in this regard is included subsequently. </w:t>
      </w:r>
    </w:p>
    <w:p w:rsidR="00DC34EF" w:rsidRPr="00DC34EF" w:rsidRDefault="00DC34EF" w:rsidP="00DC34EF">
      <w:pPr>
        <w:jc w:val="both"/>
        <w:rPr>
          <w:rFonts w:ascii="Garamond" w:hAnsi="Garamond" w:cstheme="minorHAnsi"/>
          <w:lang w:val="en-US"/>
        </w:rPr>
      </w:pPr>
    </w:p>
    <w:p w:rsidR="00DC34EF" w:rsidRPr="00DC34EF" w:rsidRDefault="00DC34EF" w:rsidP="00456F4D">
      <w:pPr>
        <w:pStyle w:val="ListParagraph"/>
        <w:numPr>
          <w:ilvl w:val="2"/>
          <w:numId w:val="24"/>
        </w:numPr>
        <w:spacing w:after="0"/>
        <w:jc w:val="both"/>
        <w:rPr>
          <w:rFonts w:ascii="Garamond" w:hAnsi="Garamond" w:cstheme="minorHAnsi"/>
          <w:sz w:val="24"/>
          <w:szCs w:val="24"/>
        </w:rPr>
      </w:pPr>
      <w:r w:rsidRPr="00DC34EF">
        <w:rPr>
          <w:rFonts w:ascii="Garamond" w:hAnsi="Garamond" w:cstheme="minorHAnsi"/>
          <w:sz w:val="24"/>
          <w:szCs w:val="24"/>
        </w:rPr>
        <w:t>Other corporate payments to investors</w:t>
      </w:r>
    </w:p>
    <w:p w:rsidR="00DC34EF" w:rsidRPr="00DC34EF" w:rsidRDefault="00DC34EF" w:rsidP="00DC34EF">
      <w:pPr>
        <w:ind w:left="720"/>
        <w:jc w:val="both"/>
        <w:rPr>
          <w:rFonts w:ascii="Garamond" w:hAnsi="Garamond" w:cstheme="minorHAnsi"/>
          <w:lang w:val="en-US"/>
        </w:rPr>
      </w:pPr>
      <w:r w:rsidRPr="00DC34EF">
        <w:rPr>
          <w:rFonts w:ascii="Garamond" w:hAnsi="Garamond" w:cstheme="minorHAnsi"/>
          <w:lang w:val="en-US"/>
        </w:rPr>
        <w:t xml:space="preserve">Payment towards sale proceeds from fractional shares arising from bonus issues, merger and amalgamation are the other sources of cash payment and also have the same potential for being unsuccessful and thereafter may remain unclaimed. From the table in paragraph above, it is noted that payment through electronic mode enjoys higher success rate than through physical instruments. Accordingly, it is </w:t>
      </w:r>
      <w:r w:rsidRPr="00B00383">
        <w:rPr>
          <w:rFonts w:ascii="Garamond" w:hAnsi="Garamond" w:cstheme="minorHAnsi"/>
          <w:b/>
          <w:bCs/>
          <w:lang w:val="en-US"/>
        </w:rPr>
        <w:t>recommended</w:t>
      </w:r>
      <w:r w:rsidRPr="00DC34EF">
        <w:rPr>
          <w:rFonts w:ascii="Garamond" w:hAnsi="Garamond" w:cstheme="minorHAnsi"/>
          <w:b/>
          <w:bCs/>
          <w:color w:val="5B9BD5" w:themeColor="accent1"/>
          <w:lang w:val="en-US"/>
        </w:rPr>
        <w:t xml:space="preserve"> </w:t>
      </w:r>
      <w:r w:rsidRPr="00DC34EF">
        <w:rPr>
          <w:rFonts w:ascii="Garamond" w:hAnsi="Garamond" w:cstheme="minorHAnsi"/>
          <w:lang w:val="en-US"/>
        </w:rPr>
        <w:t xml:space="preserve">that these payments also be also included in LODR, 2015, so that all payments by listed companies to investors are done through electronic mode.  </w:t>
      </w:r>
    </w:p>
    <w:p w:rsidR="00DC34EF" w:rsidRPr="00DC34EF" w:rsidRDefault="00DC34EF" w:rsidP="00DC34EF">
      <w:pPr>
        <w:ind w:left="720"/>
        <w:jc w:val="both"/>
        <w:rPr>
          <w:rFonts w:ascii="Garamond" w:hAnsi="Garamond" w:cstheme="minorHAnsi"/>
          <w:lang w:val="en-US"/>
        </w:rPr>
      </w:pPr>
    </w:p>
    <w:p w:rsidR="00DC34EF" w:rsidRPr="00DC34EF" w:rsidRDefault="00DC34EF" w:rsidP="00DC34EF">
      <w:pPr>
        <w:ind w:left="720"/>
        <w:jc w:val="both"/>
        <w:rPr>
          <w:rFonts w:ascii="Garamond" w:hAnsi="Garamond" w:cstheme="minorHAnsi"/>
          <w:lang w:val="en-US"/>
        </w:rPr>
      </w:pPr>
      <w:r w:rsidRPr="00DC34EF">
        <w:rPr>
          <w:rFonts w:ascii="Garamond" w:hAnsi="Garamond" w:cstheme="minorHAnsi"/>
          <w:lang w:val="en-US"/>
        </w:rPr>
        <w:t xml:space="preserve">Payments pertaining to corporate restructuring are covered in </w:t>
      </w:r>
      <w:r w:rsidRPr="00DC34EF">
        <w:rPr>
          <w:rFonts w:ascii="Garamond" w:hAnsi="Garamond" w:cstheme="minorHAnsi"/>
          <w:lang w:val="en-US"/>
        </w:rPr>
        <w:fldChar w:fldCharType="begin"/>
      </w:r>
      <w:r w:rsidRPr="00DC34EF">
        <w:rPr>
          <w:rFonts w:ascii="Garamond" w:hAnsi="Garamond" w:cstheme="minorHAnsi"/>
          <w:lang w:val="en-US"/>
        </w:rPr>
        <w:instrText xml:space="preserve"> REF _Ref63676506 \h  \* MERGEFORMAT </w:instrText>
      </w:r>
      <w:r w:rsidRPr="00DC34EF">
        <w:rPr>
          <w:rFonts w:ascii="Garamond" w:hAnsi="Garamond" w:cstheme="minorHAnsi"/>
          <w:lang w:val="en-US"/>
        </w:rPr>
      </w:r>
      <w:r w:rsidRPr="00DC34EF">
        <w:rPr>
          <w:rFonts w:ascii="Garamond" w:hAnsi="Garamond" w:cstheme="minorHAnsi"/>
          <w:lang w:val="en-US"/>
        </w:rPr>
        <w:fldChar w:fldCharType="separate"/>
      </w:r>
      <w:r w:rsidRPr="00DC34EF">
        <w:rPr>
          <w:rFonts w:ascii="Garamond" w:hAnsi="Garamond" w:cstheme="minorHAnsi"/>
          <w:lang w:val="en-US"/>
        </w:rPr>
        <w:t>Annexure – II   Corporate Restructuring</w:t>
      </w:r>
      <w:r w:rsidRPr="00DC34EF">
        <w:rPr>
          <w:rFonts w:ascii="Garamond" w:hAnsi="Garamond" w:cstheme="minorHAnsi"/>
          <w:lang w:val="en-US"/>
        </w:rPr>
        <w:fldChar w:fldCharType="end"/>
      </w:r>
      <w:r w:rsidRPr="00DC34EF">
        <w:rPr>
          <w:rFonts w:ascii="Garamond" w:hAnsi="Garamond" w:cstheme="minorHAnsi"/>
          <w:lang w:val="en-US"/>
        </w:rPr>
        <w:t xml:space="preserve">   </w:t>
      </w:r>
    </w:p>
    <w:p w:rsidR="00DC34EF" w:rsidRPr="00DC34EF" w:rsidRDefault="00DC34EF" w:rsidP="00DC34EF">
      <w:pPr>
        <w:jc w:val="both"/>
        <w:rPr>
          <w:rFonts w:ascii="Garamond" w:hAnsi="Garamond" w:cstheme="minorHAnsi"/>
          <w:lang w:val="en-US"/>
        </w:rPr>
      </w:pPr>
    </w:p>
    <w:p w:rsidR="00DC34EF" w:rsidRPr="00DC34EF" w:rsidRDefault="00DC34EF" w:rsidP="00456F4D">
      <w:pPr>
        <w:pStyle w:val="ListParagraph"/>
        <w:numPr>
          <w:ilvl w:val="2"/>
          <w:numId w:val="24"/>
        </w:numPr>
        <w:spacing w:after="0"/>
        <w:jc w:val="both"/>
        <w:rPr>
          <w:rFonts w:ascii="Garamond" w:hAnsi="Garamond" w:cstheme="minorHAnsi"/>
          <w:sz w:val="24"/>
          <w:szCs w:val="24"/>
        </w:rPr>
      </w:pPr>
      <w:r w:rsidRPr="00DC34EF">
        <w:rPr>
          <w:rFonts w:ascii="Garamond" w:hAnsi="Garamond" w:cstheme="minorHAnsi"/>
          <w:sz w:val="24"/>
          <w:szCs w:val="24"/>
        </w:rPr>
        <w:t xml:space="preserve">Unsuccessful payment and unclaimed money </w:t>
      </w:r>
    </w:p>
    <w:p w:rsidR="00DC34EF" w:rsidRPr="00DC34EF" w:rsidRDefault="00DC34EF" w:rsidP="00DC34EF">
      <w:pPr>
        <w:ind w:left="720"/>
        <w:jc w:val="both"/>
        <w:rPr>
          <w:rFonts w:ascii="Garamond" w:hAnsi="Garamond" w:cstheme="minorHAnsi"/>
          <w:lang w:val="en-US"/>
        </w:rPr>
      </w:pPr>
      <w:r w:rsidRPr="00DC34EF">
        <w:rPr>
          <w:rFonts w:ascii="Garamond" w:hAnsi="Garamond" w:cstheme="minorHAnsi"/>
          <w:lang w:val="en-US"/>
        </w:rPr>
        <w:t xml:space="preserve">In a sample of 367 listed companies that paid dividend aggregating to </w:t>
      </w:r>
      <w:r w:rsidRPr="00DC34EF">
        <w:rPr>
          <w:rFonts w:ascii="Times New Roman" w:hAnsi="Times New Roman"/>
          <w:lang w:val="en-US"/>
        </w:rPr>
        <w:t>₹</w:t>
      </w:r>
      <w:r w:rsidRPr="00DC34EF">
        <w:rPr>
          <w:rFonts w:ascii="Garamond" w:hAnsi="Garamond" w:cstheme="minorHAnsi"/>
          <w:lang w:val="en-US"/>
        </w:rPr>
        <w:t xml:space="preserve"> 21,491 crore in the FY 2018-19, dividend amounting to about </w:t>
      </w:r>
      <w:r w:rsidRPr="00DC34EF">
        <w:rPr>
          <w:rFonts w:ascii="Times New Roman" w:hAnsi="Times New Roman"/>
          <w:lang w:val="en-US"/>
        </w:rPr>
        <w:t>₹</w:t>
      </w:r>
      <w:r w:rsidRPr="00DC34EF">
        <w:rPr>
          <w:rFonts w:ascii="Garamond" w:hAnsi="Garamond" w:cstheme="minorHAnsi"/>
          <w:lang w:val="en-US"/>
        </w:rPr>
        <w:t xml:space="preserve"> 77 crore remained unclaimed as on March 30, 2019</w:t>
      </w:r>
      <w:r w:rsidRPr="00DC34EF">
        <w:rPr>
          <w:rStyle w:val="FootnoteReference"/>
          <w:rFonts w:ascii="Garamond" w:hAnsi="Garamond" w:cstheme="minorHAnsi"/>
          <w:lang w:val="en-US"/>
        </w:rPr>
        <w:footnoteReference w:id="21"/>
      </w:r>
      <w:r w:rsidRPr="00DC34EF">
        <w:rPr>
          <w:rFonts w:ascii="Garamond" w:hAnsi="Garamond" w:cstheme="minorHAnsi"/>
          <w:lang w:val="en-US"/>
        </w:rPr>
        <w:t xml:space="preserve">. A year later, this amount stood at </w:t>
      </w:r>
      <w:r w:rsidRPr="00DC34EF">
        <w:rPr>
          <w:rFonts w:ascii="Times New Roman" w:hAnsi="Times New Roman"/>
          <w:lang w:val="en-US"/>
        </w:rPr>
        <w:t>₹</w:t>
      </w:r>
      <w:r w:rsidRPr="00DC34EF">
        <w:rPr>
          <w:rFonts w:ascii="Garamond" w:hAnsi="Garamond" w:cstheme="minorHAnsi"/>
          <w:lang w:val="en-US"/>
        </w:rPr>
        <w:t xml:space="preserve"> 71 crore; in other words, after about a year and a half of the payment, only about 7.8% of the dividend payment that was unsuccessful have been claimed by the investors. It may therefore be inferred that there is high propensity for unsuccessful payments to become unclaimed assets. </w:t>
      </w:r>
    </w:p>
    <w:p w:rsidR="00DC34EF" w:rsidRPr="00DC34EF" w:rsidRDefault="00DC34EF" w:rsidP="00DC34EF">
      <w:pPr>
        <w:ind w:left="720"/>
        <w:jc w:val="both"/>
        <w:rPr>
          <w:rFonts w:ascii="Garamond" w:hAnsi="Garamond" w:cstheme="minorHAnsi"/>
          <w:lang w:val="en-US"/>
        </w:rPr>
      </w:pPr>
    </w:p>
    <w:p w:rsidR="00DC34EF" w:rsidRPr="00DC34EF" w:rsidRDefault="00DC34EF" w:rsidP="00DC34EF">
      <w:pPr>
        <w:ind w:left="720"/>
        <w:jc w:val="both"/>
        <w:rPr>
          <w:rFonts w:ascii="Garamond" w:hAnsi="Garamond" w:cstheme="minorHAnsi"/>
          <w:lang w:val="en-US"/>
        </w:rPr>
      </w:pPr>
      <w:r w:rsidRPr="00B00383">
        <w:rPr>
          <w:rFonts w:ascii="Garamond" w:hAnsi="Garamond" w:cstheme="minorHAnsi"/>
          <w:b/>
          <w:bCs/>
          <w:lang w:val="en-US"/>
        </w:rPr>
        <w:t>Recommendation</w:t>
      </w:r>
      <w:r w:rsidRPr="00B00383">
        <w:rPr>
          <w:rFonts w:ascii="Garamond" w:hAnsi="Garamond" w:cstheme="minorHAnsi"/>
          <w:lang w:val="en-US"/>
        </w:rPr>
        <w:t xml:space="preserve"> o</w:t>
      </w:r>
      <w:r w:rsidRPr="00DC34EF">
        <w:rPr>
          <w:rFonts w:ascii="Garamond" w:hAnsi="Garamond" w:cstheme="minorHAnsi"/>
          <w:lang w:val="en-US"/>
        </w:rPr>
        <w:t xml:space="preserve">n compulsory furnishing of bank details by investor is included subsequently in this chapter. </w:t>
      </w:r>
    </w:p>
    <w:p w:rsidR="00DC34EF" w:rsidRPr="00DC34EF" w:rsidRDefault="00DC34EF" w:rsidP="00DC34EF">
      <w:pPr>
        <w:ind w:left="720"/>
        <w:jc w:val="both"/>
        <w:rPr>
          <w:rFonts w:ascii="Garamond" w:hAnsi="Garamond" w:cstheme="minorHAnsi"/>
          <w:lang w:val="en-US"/>
        </w:rPr>
      </w:pPr>
    </w:p>
    <w:p w:rsidR="00DC34EF" w:rsidRPr="00DC34EF" w:rsidRDefault="00DC34EF" w:rsidP="00456F4D">
      <w:pPr>
        <w:pStyle w:val="ListParagraph"/>
        <w:numPr>
          <w:ilvl w:val="2"/>
          <w:numId w:val="24"/>
        </w:numPr>
        <w:spacing w:after="0"/>
        <w:jc w:val="both"/>
        <w:rPr>
          <w:rFonts w:ascii="Garamond" w:hAnsi="Garamond" w:cstheme="minorHAnsi"/>
          <w:sz w:val="24"/>
          <w:szCs w:val="24"/>
        </w:rPr>
      </w:pPr>
      <w:r w:rsidRPr="00DC34EF">
        <w:rPr>
          <w:rFonts w:ascii="Garamond" w:hAnsi="Garamond" w:cstheme="minorHAnsi"/>
          <w:sz w:val="24"/>
          <w:szCs w:val="24"/>
        </w:rPr>
        <w:t xml:space="preserve">Legal and regulatory provisions </w:t>
      </w:r>
    </w:p>
    <w:p w:rsidR="00DC34EF" w:rsidRPr="00DC34EF" w:rsidRDefault="00DC34EF" w:rsidP="00456F4D">
      <w:pPr>
        <w:pStyle w:val="ListParagraph"/>
        <w:numPr>
          <w:ilvl w:val="3"/>
          <w:numId w:val="24"/>
        </w:numPr>
        <w:spacing w:after="0" w:line="240" w:lineRule="auto"/>
        <w:ind w:left="1723" w:hanging="646"/>
        <w:jc w:val="both"/>
        <w:rPr>
          <w:rFonts w:ascii="Garamond" w:hAnsi="Garamond" w:cstheme="minorHAnsi"/>
          <w:sz w:val="24"/>
          <w:szCs w:val="24"/>
        </w:rPr>
      </w:pPr>
      <w:r w:rsidRPr="00DC34EF">
        <w:rPr>
          <w:rFonts w:ascii="Garamond" w:hAnsi="Garamond" w:cstheme="minorHAnsi"/>
          <w:sz w:val="24"/>
          <w:szCs w:val="24"/>
        </w:rPr>
        <w:t xml:space="preserve">Dividend, matured debentures and the interest accrued thereof that are unclaimed for seven years are required to be credited to the IEPF u/s 205 C (2) (a), (d) &amp; (e) of </w:t>
      </w:r>
      <w:r w:rsidR="00B00383">
        <w:rPr>
          <w:rFonts w:ascii="Garamond" w:hAnsi="Garamond" w:cstheme="minorHAnsi"/>
          <w:sz w:val="24"/>
          <w:szCs w:val="24"/>
        </w:rPr>
        <w:t>t</w:t>
      </w:r>
      <w:r w:rsidRPr="00DC34EF">
        <w:rPr>
          <w:rFonts w:ascii="Garamond" w:hAnsi="Garamond" w:cstheme="minorHAnsi"/>
          <w:sz w:val="24"/>
          <w:szCs w:val="24"/>
        </w:rPr>
        <w:t xml:space="preserve">he Companies Act, 1956, respectively, w.e.f. October 31, 1998. The aforesaid obligation continues to be in force u/s 125 (2) (c), (j) &amp; (k) of the Companies Act, 2013, respectively, w.e.f. September 07, 2016. Additionally, from this date, sale proceeds of fractional shares from bonus, merger and amalgamation and matured unclaimed preference shares that are unclaimed for seven years, are also required to be credited to IEPF u/s 125 (2) (l) &amp; (m) of this Act, respectively. </w:t>
      </w:r>
    </w:p>
    <w:p w:rsidR="00DC34EF" w:rsidRPr="00DC34EF" w:rsidRDefault="00DC34EF" w:rsidP="00DC34EF">
      <w:pPr>
        <w:ind w:left="1080"/>
        <w:jc w:val="both"/>
        <w:rPr>
          <w:rFonts w:ascii="Garamond" w:hAnsi="Garamond" w:cstheme="minorHAnsi"/>
          <w:lang w:val="en-US"/>
        </w:rPr>
      </w:pPr>
    </w:p>
    <w:p w:rsidR="00DC34EF" w:rsidRPr="00DC34EF" w:rsidRDefault="00B00383" w:rsidP="00DC34EF">
      <w:pPr>
        <w:ind w:left="1728"/>
        <w:jc w:val="both"/>
        <w:rPr>
          <w:rFonts w:ascii="Garamond" w:hAnsi="Garamond" w:cstheme="minorHAnsi"/>
          <w:lang w:val="en-US"/>
        </w:rPr>
      </w:pPr>
      <w:r>
        <w:rPr>
          <w:rFonts w:ascii="Garamond" w:hAnsi="Garamond" w:cstheme="minorHAnsi"/>
          <w:lang w:val="en-US"/>
        </w:rPr>
        <w:t>The estimates of money</w:t>
      </w:r>
      <w:r w:rsidR="00DC34EF" w:rsidRPr="00DC34EF">
        <w:rPr>
          <w:rFonts w:ascii="Garamond" w:hAnsi="Garamond" w:cstheme="minorHAnsi"/>
          <w:lang w:val="en-US"/>
        </w:rPr>
        <w:t xml:space="preserve"> that have been transferred by listed companies to IEPF under these defined heads are given in table below.</w:t>
      </w:r>
    </w:p>
    <w:p w:rsidR="002E1041" w:rsidRDefault="002E1041" w:rsidP="00DC34EF">
      <w:pPr>
        <w:pStyle w:val="Caption"/>
        <w:keepNext/>
        <w:rPr>
          <w:rFonts w:ascii="Garamond" w:hAnsi="Garamond" w:cstheme="minorHAnsi"/>
          <w:sz w:val="24"/>
          <w:szCs w:val="24"/>
        </w:rPr>
      </w:pPr>
      <w:bookmarkStart w:id="22" w:name="_Ref66181516"/>
      <w:bookmarkStart w:id="23" w:name="_Toc66185878"/>
    </w:p>
    <w:p w:rsidR="002E1041" w:rsidRDefault="002E1041" w:rsidP="00DC34EF">
      <w:pPr>
        <w:pStyle w:val="Caption"/>
        <w:keepNext/>
        <w:rPr>
          <w:rFonts w:ascii="Garamond" w:hAnsi="Garamond" w:cstheme="minorHAnsi"/>
          <w:sz w:val="24"/>
          <w:szCs w:val="24"/>
        </w:rPr>
      </w:pPr>
    </w:p>
    <w:p w:rsidR="00DC34EF" w:rsidRPr="00DC34EF" w:rsidRDefault="00DC34EF" w:rsidP="00DC34EF">
      <w:pPr>
        <w:pStyle w:val="Caption"/>
        <w:keepNext/>
        <w:rPr>
          <w:rFonts w:ascii="Garamond" w:hAnsi="Garamond"/>
          <w:sz w:val="24"/>
          <w:szCs w:val="24"/>
        </w:rPr>
      </w:pPr>
      <w:r w:rsidRPr="00DC34EF">
        <w:rPr>
          <w:rFonts w:ascii="Garamond" w:hAnsi="Garamond" w:cstheme="minorHAnsi"/>
          <w:sz w:val="24"/>
          <w:szCs w:val="24"/>
        </w:rPr>
        <w:t xml:space="preserve">Table </w:t>
      </w:r>
      <w:r w:rsidRPr="00DC34EF">
        <w:rPr>
          <w:rFonts w:ascii="Garamond" w:hAnsi="Garamond" w:cstheme="minorHAnsi"/>
          <w:sz w:val="24"/>
          <w:szCs w:val="24"/>
        </w:rPr>
        <w:fldChar w:fldCharType="begin"/>
      </w:r>
      <w:r w:rsidRPr="00DC34EF">
        <w:rPr>
          <w:rFonts w:ascii="Garamond" w:hAnsi="Garamond" w:cstheme="minorHAnsi"/>
          <w:sz w:val="24"/>
          <w:szCs w:val="24"/>
        </w:rPr>
        <w:instrText xml:space="preserve"> SEQ Table \* ARABIC </w:instrText>
      </w:r>
      <w:r w:rsidRPr="00DC34EF">
        <w:rPr>
          <w:rFonts w:ascii="Garamond" w:hAnsi="Garamond" w:cstheme="minorHAnsi"/>
          <w:sz w:val="24"/>
          <w:szCs w:val="24"/>
        </w:rPr>
        <w:fldChar w:fldCharType="separate"/>
      </w:r>
      <w:r w:rsidRPr="00DC34EF">
        <w:rPr>
          <w:rFonts w:ascii="Garamond" w:hAnsi="Garamond" w:cstheme="minorHAnsi"/>
          <w:noProof/>
          <w:sz w:val="24"/>
          <w:szCs w:val="24"/>
        </w:rPr>
        <w:t>3</w:t>
      </w:r>
      <w:r w:rsidRPr="00DC34EF">
        <w:rPr>
          <w:rFonts w:ascii="Garamond" w:hAnsi="Garamond" w:cstheme="minorHAnsi"/>
          <w:sz w:val="24"/>
          <w:szCs w:val="24"/>
        </w:rPr>
        <w:fldChar w:fldCharType="end"/>
      </w:r>
      <w:bookmarkEnd w:id="22"/>
      <w:r w:rsidRPr="00DC34EF">
        <w:rPr>
          <w:rFonts w:ascii="Garamond" w:hAnsi="Garamond" w:cstheme="minorHAnsi"/>
          <w:sz w:val="24"/>
          <w:szCs w:val="24"/>
        </w:rPr>
        <w:t>:</w:t>
      </w:r>
      <w:r w:rsidRPr="00DC34EF">
        <w:rPr>
          <w:rFonts w:ascii="Garamond" w:hAnsi="Garamond"/>
          <w:sz w:val="24"/>
          <w:szCs w:val="24"/>
        </w:rPr>
        <w:t xml:space="preserve"> </w:t>
      </w:r>
      <w:r w:rsidRPr="00DC34EF">
        <w:rPr>
          <w:rFonts w:ascii="Garamond" w:hAnsi="Garamond" w:cstheme="minorHAnsi"/>
          <w:sz w:val="24"/>
          <w:szCs w:val="24"/>
        </w:rPr>
        <w:t>Unclaimed moneys of Listed Companies transferred to IEPF as on March 31,2020</w:t>
      </w:r>
      <w:bookmarkEnd w:id="23"/>
    </w:p>
    <w:tbl>
      <w:tblPr>
        <w:tblStyle w:val="TableGrid"/>
        <w:tblW w:w="0" w:type="auto"/>
        <w:jc w:val="center"/>
        <w:tblLook w:val="04A0" w:firstRow="1" w:lastRow="0" w:firstColumn="1" w:lastColumn="0" w:noHBand="0" w:noVBand="1"/>
      </w:tblPr>
      <w:tblGrid>
        <w:gridCol w:w="320"/>
        <w:gridCol w:w="3051"/>
        <w:gridCol w:w="2013"/>
      </w:tblGrid>
      <w:tr w:rsidR="00DC34EF" w:rsidRPr="00B00383" w:rsidTr="00DC34EF">
        <w:trPr>
          <w:jc w:val="center"/>
        </w:trPr>
        <w:tc>
          <w:tcPr>
            <w:tcW w:w="0" w:type="auto"/>
          </w:tcPr>
          <w:p w:rsidR="00DC34EF" w:rsidRPr="00B00383" w:rsidRDefault="00DC34EF" w:rsidP="00DC34EF">
            <w:pPr>
              <w:jc w:val="both"/>
              <w:rPr>
                <w:rFonts w:ascii="Garamond" w:hAnsi="Garamond" w:cstheme="minorHAnsi"/>
                <w:sz w:val="22"/>
                <w:szCs w:val="22"/>
              </w:rPr>
            </w:pPr>
          </w:p>
        </w:tc>
        <w:tc>
          <w:tcPr>
            <w:tcW w:w="0" w:type="auto"/>
          </w:tcPr>
          <w:p w:rsidR="00DC34EF" w:rsidRPr="00B00383" w:rsidRDefault="00DC34EF" w:rsidP="00DC34EF">
            <w:pPr>
              <w:jc w:val="center"/>
              <w:rPr>
                <w:rFonts w:ascii="Garamond" w:hAnsi="Garamond" w:cstheme="minorHAnsi"/>
                <w:b/>
                <w:bCs/>
                <w:sz w:val="22"/>
                <w:szCs w:val="22"/>
              </w:rPr>
            </w:pPr>
            <w:r w:rsidRPr="00B00383">
              <w:rPr>
                <w:rFonts w:ascii="Garamond" w:hAnsi="Garamond" w:cstheme="minorHAnsi"/>
                <w:b/>
                <w:bCs/>
                <w:sz w:val="22"/>
                <w:szCs w:val="22"/>
              </w:rPr>
              <w:t>Item</w:t>
            </w:r>
          </w:p>
        </w:tc>
        <w:tc>
          <w:tcPr>
            <w:tcW w:w="0" w:type="auto"/>
          </w:tcPr>
          <w:p w:rsidR="00DC34EF" w:rsidRPr="00B00383" w:rsidRDefault="00DC34EF" w:rsidP="00DC34EF">
            <w:pPr>
              <w:jc w:val="center"/>
              <w:rPr>
                <w:rFonts w:ascii="Garamond" w:hAnsi="Garamond" w:cstheme="minorHAnsi"/>
                <w:b/>
                <w:bCs/>
                <w:sz w:val="22"/>
                <w:szCs w:val="22"/>
              </w:rPr>
            </w:pPr>
            <w:r w:rsidRPr="00B00383">
              <w:rPr>
                <w:rFonts w:ascii="Garamond" w:hAnsi="Garamond" w:cstheme="minorHAnsi"/>
                <w:b/>
                <w:bCs/>
                <w:sz w:val="22"/>
                <w:szCs w:val="22"/>
              </w:rPr>
              <w:t>Amount (Rs. crore)</w:t>
            </w:r>
          </w:p>
        </w:tc>
      </w:tr>
      <w:tr w:rsidR="00DC34EF" w:rsidRPr="00B00383" w:rsidTr="00DC34EF">
        <w:trPr>
          <w:jc w:val="center"/>
        </w:trPr>
        <w:tc>
          <w:tcPr>
            <w:tcW w:w="0" w:type="auto"/>
          </w:tcPr>
          <w:p w:rsidR="00DC34EF" w:rsidRPr="00B00383" w:rsidRDefault="00DC34EF" w:rsidP="00DC34EF">
            <w:pPr>
              <w:jc w:val="both"/>
              <w:rPr>
                <w:rFonts w:ascii="Garamond" w:hAnsi="Garamond" w:cstheme="minorHAnsi"/>
                <w:sz w:val="22"/>
                <w:szCs w:val="22"/>
              </w:rPr>
            </w:pPr>
            <w:r w:rsidRPr="00B00383">
              <w:rPr>
                <w:rFonts w:ascii="Garamond" w:hAnsi="Garamond" w:cstheme="minorHAnsi"/>
                <w:sz w:val="22"/>
                <w:szCs w:val="22"/>
              </w:rPr>
              <w:t>1</w:t>
            </w:r>
          </w:p>
        </w:tc>
        <w:tc>
          <w:tcPr>
            <w:tcW w:w="0" w:type="auto"/>
          </w:tcPr>
          <w:p w:rsidR="00DC34EF" w:rsidRPr="00B00383" w:rsidRDefault="00DC34EF" w:rsidP="00DC34EF">
            <w:pPr>
              <w:jc w:val="both"/>
              <w:rPr>
                <w:rFonts w:ascii="Garamond" w:hAnsi="Garamond" w:cstheme="minorHAnsi"/>
                <w:sz w:val="22"/>
                <w:szCs w:val="22"/>
              </w:rPr>
            </w:pPr>
            <w:r w:rsidRPr="00B00383">
              <w:rPr>
                <w:rFonts w:ascii="Garamond" w:hAnsi="Garamond" w:cstheme="minorHAnsi"/>
                <w:sz w:val="22"/>
                <w:szCs w:val="22"/>
              </w:rPr>
              <w:t>Unpaid Dividend</w:t>
            </w:r>
          </w:p>
        </w:tc>
        <w:tc>
          <w:tcPr>
            <w:tcW w:w="0" w:type="auto"/>
          </w:tcPr>
          <w:p w:rsidR="00DC34EF" w:rsidRPr="00B00383" w:rsidRDefault="00DC34EF" w:rsidP="00DC34EF">
            <w:pPr>
              <w:ind w:left="360"/>
              <w:jc w:val="right"/>
              <w:rPr>
                <w:rFonts w:ascii="Garamond" w:hAnsi="Garamond" w:cstheme="minorHAnsi"/>
                <w:sz w:val="22"/>
                <w:szCs w:val="22"/>
              </w:rPr>
            </w:pPr>
            <w:r w:rsidRPr="00B00383">
              <w:rPr>
                <w:rFonts w:ascii="Garamond" w:hAnsi="Garamond" w:cstheme="minorHAnsi"/>
                <w:sz w:val="22"/>
                <w:szCs w:val="22"/>
              </w:rPr>
              <w:t>583.50</w:t>
            </w:r>
          </w:p>
        </w:tc>
      </w:tr>
      <w:tr w:rsidR="00DC34EF" w:rsidRPr="00B00383" w:rsidTr="00DC34EF">
        <w:trPr>
          <w:jc w:val="center"/>
        </w:trPr>
        <w:tc>
          <w:tcPr>
            <w:tcW w:w="0" w:type="auto"/>
          </w:tcPr>
          <w:p w:rsidR="00DC34EF" w:rsidRPr="00B00383" w:rsidRDefault="00DC34EF" w:rsidP="00DC34EF">
            <w:pPr>
              <w:jc w:val="both"/>
              <w:rPr>
                <w:rFonts w:ascii="Garamond" w:hAnsi="Garamond" w:cstheme="minorHAnsi"/>
                <w:sz w:val="22"/>
                <w:szCs w:val="22"/>
              </w:rPr>
            </w:pPr>
            <w:r w:rsidRPr="00B00383">
              <w:rPr>
                <w:rFonts w:ascii="Garamond" w:hAnsi="Garamond" w:cstheme="minorHAnsi"/>
                <w:sz w:val="22"/>
                <w:szCs w:val="22"/>
              </w:rPr>
              <w:t>2</w:t>
            </w:r>
          </w:p>
        </w:tc>
        <w:tc>
          <w:tcPr>
            <w:tcW w:w="0" w:type="auto"/>
          </w:tcPr>
          <w:p w:rsidR="00DC34EF" w:rsidRPr="00B00383" w:rsidRDefault="00DC34EF" w:rsidP="00DC34EF">
            <w:pPr>
              <w:rPr>
                <w:rFonts w:ascii="Garamond" w:hAnsi="Garamond" w:cstheme="minorHAnsi"/>
                <w:sz w:val="22"/>
                <w:szCs w:val="22"/>
              </w:rPr>
            </w:pPr>
            <w:r w:rsidRPr="00B00383">
              <w:rPr>
                <w:rFonts w:ascii="Garamond" w:hAnsi="Garamond" w:cstheme="minorHAnsi"/>
                <w:sz w:val="22"/>
                <w:szCs w:val="22"/>
              </w:rPr>
              <w:t>Matured Debentures</w:t>
            </w:r>
            <w:r w:rsidRPr="00B00383">
              <w:rPr>
                <w:rStyle w:val="FootnoteReference"/>
                <w:rFonts w:ascii="Garamond" w:hAnsi="Garamond" w:cstheme="minorHAnsi"/>
                <w:sz w:val="22"/>
                <w:szCs w:val="22"/>
              </w:rPr>
              <w:footnoteReference w:id="22"/>
            </w:r>
          </w:p>
        </w:tc>
        <w:tc>
          <w:tcPr>
            <w:tcW w:w="0" w:type="auto"/>
          </w:tcPr>
          <w:p w:rsidR="00DC34EF" w:rsidRPr="00B00383" w:rsidRDefault="00DC34EF" w:rsidP="00DC34EF">
            <w:pPr>
              <w:jc w:val="right"/>
              <w:rPr>
                <w:rFonts w:ascii="Garamond" w:hAnsi="Garamond" w:cstheme="minorHAnsi"/>
                <w:sz w:val="22"/>
                <w:szCs w:val="22"/>
              </w:rPr>
            </w:pPr>
            <w:r w:rsidRPr="00B00383">
              <w:rPr>
                <w:rFonts w:ascii="Garamond" w:hAnsi="Garamond" w:cstheme="minorHAnsi"/>
                <w:sz w:val="22"/>
                <w:szCs w:val="22"/>
              </w:rPr>
              <w:t>-</w:t>
            </w:r>
          </w:p>
        </w:tc>
      </w:tr>
      <w:tr w:rsidR="00DC34EF" w:rsidRPr="00B00383" w:rsidTr="00DC34EF">
        <w:trPr>
          <w:jc w:val="center"/>
        </w:trPr>
        <w:tc>
          <w:tcPr>
            <w:tcW w:w="0" w:type="auto"/>
          </w:tcPr>
          <w:p w:rsidR="00DC34EF" w:rsidRPr="00B00383" w:rsidRDefault="00DC34EF" w:rsidP="00DC34EF">
            <w:pPr>
              <w:jc w:val="both"/>
              <w:rPr>
                <w:rFonts w:ascii="Garamond" w:hAnsi="Garamond" w:cstheme="minorHAnsi"/>
                <w:sz w:val="22"/>
                <w:szCs w:val="22"/>
              </w:rPr>
            </w:pPr>
            <w:r w:rsidRPr="00B00383">
              <w:rPr>
                <w:rFonts w:ascii="Garamond" w:hAnsi="Garamond" w:cstheme="minorHAnsi"/>
                <w:sz w:val="22"/>
                <w:szCs w:val="22"/>
              </w:rPr>
              <w:t>3</w:t>
            </w:r>
          </w:p>
        </w:tc>
        <w:tc>
          <w:tcPr>
            <w:tcW w:w="0" w:type="auto"/>
          </w:tcPr>
          <w:p w:rsidR="00DC34EF" w:rsidRPr="00B00383" w:rsidRDefault="00DC34EF" w:rsidP="00DC34EF">
            <w:pPr>
              <w:jc w:val="both"/>
              <w:rPr>
                <w:rFonts w:ascii="Garamond" w:hAnsi="Garamond" w:cstheme="minorHAnsi"/>
                <w:sz w:val="22"/>
                <w:szCs w:val="22"/>
              </w:rPr>
            </w:pPr>
            <w:r w:rsidRPr="00B00383">
              <w:rPr>
                <w:rFonts w:ascii="Garamond" w:hAnsi="Garamond" w:cstheme="minorHAnsi"/>
                <w:sz w:val="22"/>
                <w:szCs w:val="22"/>
              </w:rPr>
              <w:t>Interest accrued</w:t>
            </w:r>
            <w:r w:rsidRPr="00B00383">
              <w:rPr>
                <w:rStyle w:val="FootnoteReference"/>
                <w:rFonts w:ascii="Garamond" w:hAnsi="Garamond" w:cstheme="minorHAnsi"/>
                <w:sz w:val="22"/>
                <w:szCs w:val="22"/>
              </w:rPr>
              <w:footnoteReference w:id="23"/>
            </w:r>
          </w:p>
        </w:tc>
        <w:tc>
          <w:tcPr>
            <w:tcW w:w="0" w:type="auto"/>
          </w:tcPr>
          <w:p w:rsidR="00DC34EF" w:rsidRPr="00B00383" w:rsidRDefault="00DC34EF" w:rsidP="00DC34EF">
            <w:pPr>
              <w:jc w:val="right"/>
              <w:rPr>
                <w:rFonts w:ascii="Garamond" w:hAnsi="Garamond" w:cstheme="minorHAnsi"/>
                <w:sz w:val="22"/>
                <w:szCs w:val="22"/>
              </w:rPr>
            </w:pPr>
            <w:r w:rsidRPr="00B00383">
              <w:rPr>
                <w:rFonts w:ascii="Garamond" w:hAnsi="Garamond" w:cstheme="minorHAnsi"/>
                <w:sz w:val="22"/>
                <w:szCs w:val="22"/>
              </w:rPr>
              <w:t>179.70</w:t>
            </w:r>
          </w:p>
        </w:tc>
      </w:tr>
      <w:tr w:rsidR="00DC34EF" w:rsidRPr="00B00383" w:rsidTr="00DC34EF">
        <w:trPr>
          <w:jc w:val="center"/>
        </w:trPr>
        <w:tc>
          <w:tcPr>
            <w:tcW w:w="0" w:type="auto"/>
          </w:tcPr>
          <w:p w:rsidR="00DC34EF" w:rsidRPr="00B00383" w:rsidRDefault="00DC34EF" w:rsidP="00DC34EF">
            <w:pPr>
              <w:jc w:val="both"/>
              <w:rPr>
                <w:rFonts w:ascii="Garamond" w:hAnsi="Garamond" w:cstheme="minorHAnsi"/>
                <w:sz w:val="22"/>
                <w:szCs w:val="22"/>
              </w:rPr>
            </w:pPr>
            <w:r w:rsidRPr="00B00383">
              <w:rPr>
                <w:rFonts w:ascii="Garamond" w:hAnsi="Garamond" w:cstheme="minorHAnsi"/>
                <w:sz w:val="22"/>
                <w:szCs w:val="22"/>
              </w:rPr>
              <w:t>4</w:t>
            </w:r>
          </w:p>
        </w:tc>
        <w:tc>
          <w:tcPr>
            <w:tcW w:w="0" w:type="auto"/>
          </w:tcPr>
          <w:p w:rsidR="00DC34EF" w:rsidRPr="00B00383" w:rsidRDefault="00DC34EF" w:rsidP="00DC34EF">
            <w:pPr>
              <w:jc w:val="both"/>
              <w:rPr>
                <w:rFonts w:ascii="Garamond" w:hAnsi="Garamond" w:cstheme="minorHAnsi"/>
                <w:sz w:val="22"/>
                <w:szCs w:val="22"/>
              </w:rPr>
            </w:pPr>
            <w:r w:rsidRPr="00B00383">
              <w:rPr>
                <w:rFonts w:ascii="Garamond" w:hAnsi="Garamond" w:cstheme="minorHAnsi"/>
                <w:sz w:val="22"/>
                <w:szCs w:val="22"/>
              </w:rPr>
              <w:t>Sale proceeds of fractional shares</w:t>
            </w:r>
          </w:p>
        </w:tc>
        <w:tc>
          <w:tcPr>
            <w:tcW w:w="0" w:type="auto"/>
          </w:tcPr>
          <w:p w:rsidR="00DC34EF" w:rsidRPr="00B00383" w:rsidRDefault="00DC34EF" w:rsidP="00DC34EF">
            <w:pPr>
              <w:jc w:val="right"/>
              <w:rPr>
                <w:rFonts w:ascii="Garamond" w:hAnsi="Garamond" w:cstheme="minorHAnsi"/>
                <w:sz w:val="22"/>
                <w:szCs w:val="22"/>
              </w:rPr>
            </w:pPr>
            <w:r w:rsidRPr="00B00383">
              <w:rPr>
                <w:rFonts w:ascii="Garamond" w:hAnsi="Garamond" w:cstheme="minorHAnsi"/>
                <w:sz w:val="22"/>
                <w:szCs w:val="22"/>
              </w:rPr>
              <w:t xml:space="preserve">  5.15</w:t>
            </w:r>
          </w:p>
        </w:tc>
      </w:tr>
      <w:tr w:rsidR="00DC34EF" w:rsidRPr="00B00383" w:rsidTr="00DC34EF">
        <w:trPr>
          <w:jc w:val="center"/>
        </w:trPr>
        <w:tc>
          <w:tcPr>
            <w:tcW w:w="0" w:type="auto"/>
          </w:tcPr>
          <w:p w:rsidR="00DC34EF" w:rsidRPr="00B00383" w:rsidRDefault="00DC34EF" w:rsidP="00DC34EF">
            <w:pPr>
              <w:jc w:val="both"/>
              <w:rPr>
                <w:rFonts w:ascii="Garamond" w:hAnsi="Garamond" w:cstheme="minorHAnsi"/>
                <w:sz w:val="22"/>
                <w:szCs w:val="22"/>
              </w:rPr>
            </w:pPr>
            <w:r w:rsidRPr="00B00383">
              <w:rPr>
                <w:rFonts w:ascii="Garamond" w:hAnsi="Garamond" w:cstheme="minorHAnsi"/>
                <w:sz w:val="22"/>
                <w:szCs w:val="22"/>
              </w:rPr>
              <w:t>5</w:t>
            </w:r>
          </w:p>
        </w:tc>
        <w:tc>
          <w:tcPr>
            <w:tcW w:w="0" w:type="auto"/>
          </w:tcPr>
          <w:p w:rsidR="00DC34EF" w:rsidRPr="00B00383" w:rsidRDefault="00DC34EF" w:rsidP="00DC34EF">
            <w:pPr>
              <w:jc w:val="both"/>
              <w:rPr>
                <w:rFonts w:ascii="Garamond" w:hAnsi="Garamond" w:cstheme="minorHAnsi"/>
                <w:sz w:val="22"/>
                <w:szCs w:val="22"/>
              </w:rPr>
            </w:pPr>
            <w:r w:rsidRPr="00B00383">
              <w:rPr>
                <w:rFonts w:ascii="Garamond" w:hAnsi="Garamond" w:cstheme="minorHAnsi"/>
                <w:sz w:val="22"/>
                <w:szCs w:val="22"/>
              </w:rPr>
              <w:t>Matured Preference Shares</w:t>
            </w:r>
          </w:p>
        </w:tc>
        <w:tc>
          <w:tcPr>
            <w:tcW w:w="0" w:type="auto"/>
          </w:tcPr>
          <w:p w:rsidR="00DC34EF" w:rsidRPr="00B00383" w:rsidRDefault="00DC34EF" w:rsidP="00DC34EF">
            <w:pPr>
              <w:jc w:val="right"/>
              <w:rPr>
                <w:rFonts w:ascii="Garamond" w:hAnsi="Garamond" w:cstheme="minorHAnsi"/>
                <w:sz w:val="22"/>
                <w:szCs w:val="22"/>
              </w:rPr>
            </w:pPr>
            <w:r w:rsidRPr="00B00383">
              <w:rPr>
                <w:rFonts w:ascii="Garamond" w:hAnsi="Garamond" w:cstheme="minorHAnsi"/>
                <w:sz w:val="22"/>
                <w:szCs w:val="22"/>
              </w:rPr>
              <w:t xml:space="preserve">  0.61</w:t>
            </w:r>
          </w:p>
        </w:tc>
      </w:tr>
    </w:tbl>
    <w:p w:rsidR="00DC34EF" w:rsidRPr="00DC34EF" w:rsidRDefault="00DC34EF" w:rsidP="00DC34EF">
      <w:pPr>
        <w:jc w:val="both"/>
        <w:rPr>
          <w:rFonts w:ascii="Garamond" w:hAnsi="Garamond" w:cstheme="minorHAnsi"/>
          <w:lang w:val="en-US"/>
        </w:rPr>
      </w:pPr>
    </w:p>
    <w:p w:rsidR="00DC34EF" w:rsidRPr="00DC34EF" w:rsidRDefault="00DC34EF" w:rsidP="00456F4D">
      <w:pPr>
        <w:pStyle w:val="ListParagraph"/>
        <w:numPr>
          <w:ilvl w:val="3"/>
          <w:numId w:val="24"/>
        </w:numPr>
        <w:spacing w:after="0"/>
        <w:jc w:val="both"/>
        <w:rPr>
          <w:rFonts w:ascii="Garamond" w:hAnsi="Garamond" w:cstheme="minorHAnsi"/>
          <w:sz w:val="24"/>
          <w:szCs w:val="24"/>
        </w:rPr>
      </w:pPr>
      <w:r w:rsidRPr="00DC34EF">
        <w:rPr>
          <w:rFonts w:ascii="Garamond" w:hAnsi="Garamond" w:cstheme="minorHAnsi"/>
          <w:sz w:val="24"/>
          <w:szCs w:val="24"/>
        </w:rPr>
        <w:t xml:space="preserve">Structured mechanism to monitor unclaimed assets in its year of generation </w:t>
      </w:r>
      <w:r w:rsidRPr="00DC34EF">
        <w:rPr>
          <w:rFonts w:ascii="Garamond" w:hAnsi="Garamond" w:cstheme="minorHAnsi"/>
          <w:b/>
          <w:sz w:val="24"/>
          <w:szCs w:val="24"/>
        </w:rPr>
        <w:t>(T)</w:t>
      </w:r>
      <w:r w:rsidRPr="00DC34EF">
        <w:rPr>
          <w:rFonts w:ascii="Garamond" w:hAnsi="Garamond" w:cstheme="minorHAnsi"/>
          <w:sz w:val="24"/>
          <w:szCs w:val="24"/>
        </w:rPr>
        <w:t xml:space="preserve"> </w:t>
      </w:r>
    </w:p>
    <w:p w:rsidR="00DC34EF" w:rsidRPr="00DC34EF" w:rsidRDefault="00DC34EF" w:rsidP="00DC34EF">
      <w:pPr>
        <w:ind w:left="1728"/>
        <w:jc w:val="both"/>
        <w:rPr>
          <w:rFonts w:ascii="Garamond" w:hAnsi="Garamond" w:cstheme="minorHAnsi"/>
          <w:lang w:val="en-US"/>
        </w:rPr>
      </w:pPr>
      <w:r w:rsidRPr="00DC34EF">
        <w:rPr>
          <w:rFonts w:ascii="Garamond" w:hAnsi="Garamond" w:cstheme="minorHAnsi"/>
          <w:lang w:val="en-US"/>
        </w:rPr>
        <w:t xml:space="preserve">It is </w:t>
      </w:r>
      <w:r w:rsidRPr="00B00383">
        <w:rPr>
          <w:rFonts w:ascii="Garamond" w:hAnsi="Garamond" w:cstheme="minorHAnsi"/>
          <w:b/>
          <w:bCs/>
          <w:lang w:val="en-US"/>
        </w:rPr>
        <w:t>recommended</w:t>
      </w:r>
      <w:r w:rsidRPr="00DC34EF">
        <w:rPr>
          <w:rFonts w:ascii="Garamond" w:hAnsi="Garamond" w:cstheme="minorHAnsi"/>
          <w:lang w:val="en-US"/>
        </w:rPr>
        <w:t xml:space="preserve"> th</w:t>
      </w:r>
      <w:r w:rsidR="00B00383">
        <w:rPr>
          <w:rFonts w:ascii="Garamond" w:hAnsi="Garamond" w:cstheme="minorHAnsi"/>
          <w:lang w:val="en-US"/>
        </w:rPr>
        <w:t>at all heads of unclaimed money</w:t>
      </w:r>
      <w:r w:rsidRPr="00DC34EF">
        <w:rPr>
          <w:rFonts w:ascii="Garamond" w:hAnsi="Garamond" w:cstheme="minorHAnsi"/>
          <w:lang w:val="en-US"/>
        </w:rPr>
        <w:t xml:space="preserve"> of investors in table above, should be monitored in T, so that remedial measures can be drafted forthwith to address the underlying issue.  Monitoring this data at T + 7, when the money is transferred to IEPF, may be suboptimal for policy making.  </w:t>
      </w:r>
    </w:p>
    <w:p w:rsidR="00DC34EF" w:rsidRPr="00DC34EF" w:rsidRDefault="00DC34EF" w:rsidP="00DC34EF">
      <w:pPr>
        <w:ind w:left="1080"/>
        <w:jc w:val="both"/>
        <w:rPr>
          <w:rFonts w:ascii="Garamond" w:hAnsi="Garamond" w:cstheme="minorHAnsi"/>
          <w:lang w:val="en-US"/>
        </w:rPr>
      </w:pPr>
    </w:p>
    <w:p w:rsidR="00DC34EF" w:rsidRPr="00DC34EF" w:rsidRDefault="00DC34EF" w:rsidP="00456F4D">
      <w:pPr>
        <w:pStyle w:val="ListParagraph"/>
        <w:numPr>
          <w:ilvl w:val="3"/>
          <w:numId w:val="24"/>
        </w:numPr>
        <w:spacing w:after="0"/>
        <w:jc w:val="both"/>
        <w:rPr>
          <w:rFonts w:ascii="Garamond" w:hAnsi="Garamond" w:cstheme="minorHAnsi"/>
          <w:sz w:val="24"/>
          <w:szCs w:val="24"/>
        </w:rPr>
      </w:pPr>
      <w:bookmarkStart w:id="24" w:name="_Ref65834666"/>
      <w:r w:rsidRPr="00DC34EF">
        <w:rPr>
          <w:rFonts w:ascii="Garamond" w:hAnsi="Garamond" w:cstheme="minorHAnsi"/>
          <w:sz w:val="24"/>
          <w:szCs w:val="24"/>
        </w:rPr>
        <w:t>IEPF – filing and claims</w:t>
      </w:r>
      <w:bookmarkEnd w:id="24"/>
      <w:r w:rsidRPr="00DC34EF">
        <w:rPr>
          <w:rFonts w:ascii="Garamond" w:hAnsi="Garamond" w:cstheme="minorHAnsi"/>
          <w:sz w:val="24"/>
          <w:szCs w:val="24"/>
        </w:rPr>
        <w:t xml:space="preserve">  </w:t>
      </w:r>
    </w:p>
    <w:p w:rsidR="00DC34EF" w:rsidRPr="00DC34EF" w:rsidRDefault="00DC34EF" w:rsidP="00A20B1A">
      <w:pPr>
        <w:ind w:left="1728"/>
        <w:jc w:val="both"/>
        <w:rPr>
          <w:rFonts w:ascii="Garamond" w:hAnsi="Garamond" w:cstheme="minorHAnsi"/>
          <w:lang w:val="en-US"/>
        </w:rPr>
      </w:pPr>
      <w:r w:rsidRPr="00DC34EF">
        <w:rPr>
          <w:rFonts w:ascii="Garamond" w:hAnsi="Garamond" w:cstheme="minorHAnsi"/>
          <w:lang w:val="en-US"/>
        </w:rPr>
        <w:t>IEPF Authority Rules, 2016, provide the manner for investors to claim refund from IEPF w.r.t. money and shares transferred under Companies Act, 2013. Further, under the IEPF Authority (Accounting, Audit, Transfer and Refund) Second Amendment Rules, 2019, a very comprehensive statement of unclaimed and unpaid amounts is prescribed to be filed with MCA, vide Form No. IEPF - 2. Accordingly, w.e.f. September 20, 2019, reconciled figures of unclaimed and unpaid amounts have to be filed for the last seven years, which provides an additional element of check and balance.</w:t>
      </w:r>
      <w:r w:rsidR="00A20B1A">
        <w:rPr>
          <w:rFonts w:ascii="Garamond" w:hAnsi="Garamond" w:cstheme="minorHAnsi"/>
          <w:lang w:val="en-US"/>
        </w:rPr>
        <w:t xml:space="preserve"> </w:t>
      </w:r>
    </w:p>
    <w:p w:rsidR="00DC34EF" w:rsidRPr="00DC34EF" w:rsidRDefault="00DC34EF" w:rsidP="00DC34EF">
      <w:pPr>
        <w:jc w:val="both"/>
        <w:rPr>
          <w:rFonts w:ascii="Garamond" w:hAnsi="Garamond" w:cstheme="minorHAnsi"/>
          <w:lang w:val="en-US"/>
        </w:rPr>
      </w:pPr>
    </w:p>
    <w:p w:rsidR="00DC34EF" w:rsidRPr="00DC34EF" w:rsidRDefault="00DC34EF" w:rsidP="00456F4D">
      <w:pPr>
        <w:pStyle w:val="ListParagraph"/>
        <w:numPr>
          <w:ilvl w:val="1"/>
          <w:numId w:val="25"/>
        </w:numPr>
        <w:spacing w:after="0"/>
        <w:jc w:val="both"/>
        <w:rPr>
          <w:rFonts w:ascii="Garamond" w:hAnsi="Garamond" w:cstheme="minorHAnsi"/>
          <w:sz w:val="24"/>
          <w:szCs w:val="24"/>
        </w:rPr>
      </w:pPr>
      <w:bookmarkStart w:id="25" w:name="_Ref59963953"/>
      <w:r w:rsidRPr="00DC34EF">
        <w:rPr>
          <w:rFonts w:ascii="Garamond" w:hAnsi="Garamond" w:cstheme="minorHAnsi"/>
          <w:sz w:val="24"/>
          <w:szCs w:val="24"/>
        </w:rPr>
        <w:t xml:space="preserve">Securities </w:t>
      </w:r>
      <w:bookmarkEnd w:id="25"/>
    </w:p>
    <w:p w:rsidR="00DC34EF" w:rsidRPr="00DC34EF" w:rsidRDefault="00DC34EF" w:rsidP="00DC34EF">
      <w:pPr>
        <w:ind w:left="720"/>
        <w:jc w:val="both"/>
        <w:rPr>
          <w:rFonts w:ascii="Garamond" w:hAnsi="Garamond" w:cstheme="minorHAnsi"/>
          <w:lang w:val="en-US"/>
        </w:rPr>
      </w:pPr>
    </w:p>
    <w:p w:rsidR="00DC34EF" w:rsidRPr="00DC34EF" w:rsidRDefault="00DC34EF" w:rsidP="00456F4D">
      <w:pPr>
        <w:pStyle w:val="ListParagraph"/>
        <w:numPr>
          <w:ilvl w:val="2"/>
          <w:numId w:val="25"/>
        </w:numPr>
        <w:spacing w:after="0"/>
        <w:jc w:val="both"/>
        <w:rPr>
          <w:rFonts w:ascii="Garamond" w:hAnsi="Garamond" w:cstheme="minorHAnsi"/>
          <w:sz w:val="24"/>
          <w:szCs w:val="24"/>
        </w:rPr>
      </w:pPr>
      <w:r w:rsidRPr="00DC34EF">
        <w:rPr>
          <w:rFonts w:ascii="Garamond" w:hAnsi="Garamond" w:cstheme="minorHAnsi"/>
          <w:sz w:val="24"/>
          <w:szCs w:val="24"/>
        </w:rPr>
        <w:t xml:space="preserve">Transmission of securities:  </w:t>
      </w:r>
    </w:p>
    <w:p w:rsidR="00DC34EF" w:rsidRPr="00DC34EF" w:rsidRDefault="00DC34EF" w:rsidP="00DC34EF">
      <w:pPr>
        <w:ind w:left="720"/>
        <w:jc w:val="both"/>
        <w:rPr>
          <w:rFonts w:ascii="Garamond" w:hAnsi="Garamond" w:cstheme="minorHAnsi"/>
          <w:lang w:val="en-US"/>
        </w:rPr>
      </w:pPr>
      <w:r w:rsidRPr="00DC34EF">
        <w:rPr>
          <w:rFonts w:ascii="Garamond" w:hAnsi="Garamond" w:cstheme="minorHAnsi"/>
          <w:lang w:val="en-US"/>
        </w:rPr>
        <w:t xml:space="preserve">In the event of demise of the holder, the availability of nomination ensures frictionless transmission of securities. In the absence of either nomination or Will, the claimant / heir has to obtain Succession Certificate or Letter of Administration or Probate of Will issued by a Court. The time, effort and cost incurred in obtaining these documents acts as a deterrent to many a claimant / heir. If the value of the security is less than </w:t>
      </w:r>
      <w:r w:rsidRPr="00DC34EF">
        <w:rPr>
          <w:rFonts w:ascii="Times New Roman" w:hAnsi="Times New Roman"/>
          <w:lang w:val="en-US"/>
        </w:rPr>
        <w:t>₹</w:t>
      </w:r>
      <w:r w:rsidR="00B00383">
        <w:rPr>
          <w:rFonts w:ascii="Garamond" w:hAnsi="Garamond" w:cstheme="minorHAnsi"/>
          <w:lang w:val="en-US"/>
        </w:rPr>
        <w:t>2 lakh</w:t>
      </w:r>
      <w:r w:rsidRPr="00DC34EF">
        <w:rPr>
          <w:rFonts w:ascii="Garamond" w:hAnsi="Garamond" w:cstheme="minorHAnsi"/>
          <w:lang w:val="en-US"/>
        </w:rPr>
        <w:t xml:space="preserve"> / </w:t>
      </w:r>
      <w:r w:rsidRPr="00DC34EF">
        <w:rPr>
          <w:rFonts w:ascii="Times New Roman" w:hAnsi="Times New Roman"/>
          <w:lang w:val="en-US"/>
        </w:rPr>
        <w:t>₹</w:t>
      </w:r>
      <w:r w:rsidR="00B00383">
        <w:rPr>
          <w:rFonts w:ascii="Garamond" w:hAnsi="Garamond" w:cstheme="minorHAnsi"/>
          <w:lang w:val="en-US"/>
        </w:rPr>
        <w:t>5 lakh</w:t>
      </w:r>
      <w:r w:rsidRPr="00DC34EF">
        <w:rPr>
          <w:rFonts w:ascii="Garamond" w:hAnsi="Garamond" w:cstheme="minorHAnsi"/>
          <w:lang w:val="en-US"/>
        </w:rPr>
        <w:t xml:space="preserve"> per folio / demat account, respectively, then the claimant / heir has to furnish, Indemnity and Affidavit, </w:t>
      </w:r>
      <w:r w:rsidR="00B00383">
        <w:rPr>
          <w:rFonts w:ascii="Garamond" w:hAnsi="Garamond" w:cstheme="minorHAnsi"/>
          <w:lang w:val="en-US"/>
        </w:rPr>
        <w:t>r</w:t>
      </w:r>
      <w:r w:rsidRPr="00DC34EF">
        <w:rPr>
          <w:rFonts w:ascii="Garamond" w:hAnsi="Garamond" w:cstheme="minorHAnsi"/>
          <w:lang w:val="en-US"/>
        </w:rPr>
        <w:t xml:space="preserve">elative to the value of the security, these documentations are cumbersome to obtain. </w:t>
      </w:r>
    </w:p>
    <w:p w:rsidR="00DC34EF" w:rsidRPr="00DC34EF" w:rsidRDefault="00DC34EF" w:rsidP="00DC34EF">
      <w:pPr>
        <w:ind w:left="720"/>
        <w:jc w:val="both"/>
        <w:rPr>
          <w:rFonts w:ascii="Garamond" w:hAnsi="Garamond" w:cstheme="minorHAnsi"/>
          <w:lang w:val="en-US"/>
        </w:rPr>
      </w:pPr>
    </w:p>
    <w:p w:rsidR="00DC34EF" w:rsidRPr="00DC34EF" w:rsidRDefault="00DC34EF" w:rsidP="00456F4D">
      <w:pPr>
        <w:pStyle w:val="ListParagraph"/>
        <w:numPr>
          <w:ilvl w:val="2"/>
          <w:numId w:val="25"/>
        </w:numPr>
        <w:spacing w:after="0"/>
        <w:jc w:val="both"/>
        <w:rPr>
          <w:rFonts w:ascii="Garamond" w:hAnsi="Garamond" w:cstheme="minorHAnsi"/>
          <w:sz w:val="24"/>
          <w:szCs w:val="24"/>
        </w:rPr>
      </w:pPr>
      <w:bookmarkStart w:id="26" w:name="_Ref60307586"/>
      <w:r w:rsidRPr="00DC34EF">
        <w:rPr>
          <w:rFonts w:ascii="Garamond" w:hAnsi="Garamond" w:cstheme="minorHAnsi"/>
          <w:sz w:val="24"/>
          <w:szCs w:val="24"/>
        </w:rPr>
        <w:t>Nomination of securities:</w:t>
      </w:r>
      <w:bookmarkEnd w:id="26"/>
      <w:r w:rsidRPr="00DC34EF">
        <w:rPr>
          <w:rFonts w:ascii="Garamond" w:hAnsi="Garamond" w:cstheme="minorHAnsi"/>
          <w:sz w:val="24"/>
          <w:szCs w:val="24"/>
        </w:rPr>
        <w:t xml:space="preserve">  </w:t>
      </w:r>
    </w:p>
    <w:p w:rsidR="00DC34EF" w:rsidRPr="00DC34EF" w:rsidRDefault="00DC34EF" w:rsidP="00DC34EF">
      <w:pPr>
        <w:ind w:left="720"/>
        <w:jc w:val="both"/>
        <w:rPr>
          <w:rFonts w:ascii="Garamond" w:hAnsi="Garamond" w:cstheme="minorHAnsi"/>
          <w:lang w:val="en-US"/>
        </w:rPr>
      </w:pPr>
      <w:r w:rsidRPr="00DC34EF">
        <w:rPr>
          <w:rFonts w:ascii="Garamond" w:hAnsi="Garamond" w:cstheme="minorHAnsi"/>
          <w:lang w:val="en-US"/>
        </w:rPr>
        <w:t>As the absence of nomination contributes to the creation of unclaimed assets, the data on its availability in physical and demat holding are examined in detail. In this regard, 2.53 % and 97.47 % of the paid up equity shares of the 5,226 listed companies in India are held in physical and demat mode, respectively, as on March 31, 2020. In terms of value, 1.88 % and 98.12 % of shareholding was held in physical and demat mode, respectively.</w:t>
      </w:r>
    </w:p>
    <w:p w:rsidR="00DC34EF" w:rsidRPr="00DC34EF" w:rsidRDefault="00DC34EF" w:rsidP="00DC34EF">
      <w:pPr>
        <w:jc w:val="both"/>
        <w:rPr>
          <w:rFonts w:ascii="Garamond" w:hAnsi="Garamond" w:cstheme="minorHAnsi"/>
          <w:lang w:val="en-US"/>
        </w:rPr>
      </w:pPr>
    </w:p>
    <w:p w:rsidR="00DC34EF" w:rsidRPr="00DC34EF" w:rsidRDefault="00DC34EF" w:rsidP="00DC34EF">
      <w:pPr>
        <w:ind w:left="720"/>
        <w:jc w:val="both"/>
        <w:rPr>
          <w:rFonts w:ascii="Garamond" w:hAnsi="Garamond" w:cstheme="minorHAnsi"/>
          <w:lang w:val="en-US"/>
        </w:rPr>
      </w:pPr>
      <w:r w:rsidRPr="00DC34EF">
        <w:rPr>
          <w:rFonts w:ascii="Garamond" w:hAnsi="Garamond" w:cstheme="minorHAnsi"/>
          <w:lang w:val="en-US"/>
        </w:rPr>
        <w:lastRenderedPageBreak/>
        <w:t>Of these holdings, about 1.11 crore of the 1.17 crore folios and 1.63 crore out of 1.65 crore demat accounts are eligible for nomination</w:t>
      </w:r>
      <w:r w:rsidRPr="00DC34EF">
        <w:rPr>
          <w:rStyle w:val="FootnoteReference"/>
          <w:rFonts w:ascii="Garamond" w:hAnsi="Garamond" w:cstheme="minorHAnsi"/>
          <w:lang w:val="en-US"/>
        </w:rPr>
        <w:footnoteReference w:id="24"/>
      </w:r>
      <w:r w:rsidRPr="00DC34EF">
        <w:rPr>
          <w:rFonts w:ascii="Garamond" w:hAnsi="Garamond" w:cstheme="minorHAnsi"/>
          <w:lang w:val="en-US"/>
        </w:rPr>
        <w:t xml:space="preserve"> as detailed in table below.    </w:t>
      </w:r>
    </w:p>
    <w:p w:rsidR="00DC34EF" w:rsidRPr="00DC34EF" w:rsidRDefault="00DC34EF" w:rsidP="00DC34EF">
      <w:pPr>
        <w:rPr>
          <w:rFonts w:ascii="Garamond" w:hAnsi="Garamond" w:cstheme="minorHAnsi"/>
        </w:rPr>
      </w:pPr>
    </w:p>
    <w:p w:rsidR="00DC34EF" w:rsidRPr="00DC34EF" w:rsidRDefault="00DC34EF" w:rsidP="00DC34EF">
      <w:pPr>
        <w:pStyle w:val="Caption"/>
        <w:spacing w:after="0"/>
        <w:jc w:val="center"/>
        <w:rPr>
          <w:rFonts w:ascii="Garamond" w:hAnsi="Garamond" w:cstheme="minorHAnsi"/>
          <w:noProof/>
          <w:sz w:val="24"/>
          <w:szCs w:val="24"/>
        </w:rPr>
      </w:pPr>
      <w:bookmarkStart w:id="27" w:name="_Toc66185879"/>
      <w:r w:rsidRPr="00DC34EF">
        <w:rPr>
          <w:rFonts w:ascii="Garamond" w:hAnsi="Garamond" w:cstheme="minorHAnsi"/>
          <w:noProof/>
          <w:sz w:val="24"/>
          <w:szCs w:val="24"/>
        </w:rPr>
        <w:t>Table</w:t>
      </w:r>
      <w:r w:rsidRPr="00DC34EF">
        <w:rPr>
          <w:rFonts w:ascii="Garamond" w:hAnsi="Garamond"/>
          <w:sz w:val="24"/>
          <w:szCs w:val="24"/>
        </w:rPr>
        <w:t xml:space="preserve"> </w:t>
      </w:r>
      <w:r w:rsidRPr="00DC34EF">
        <w:rPr>
          <w:rFonts w:ascii="Garamond" w:hAnsi="Garamond"/>
          <w:sz w:val="24"/>
          <w:szCs w:val="24"/>
        </w:rPr>
        <w:fldChar w:fldCharType="begin"/>
      </w:r>
      <w:r w:rsidRPr="00DC34EF">
        <w:rPr>
          <w:rFonts w:ascii="Garamond" w:hAnsi="Garamond"/>
          <w:sz w:val="24"/>
          <w:szCs w:val="24"/>
        </w:rPr>
        <w:instrText xml:space="preserve"> SEQ Table \* ARABIC </w:instrText>
      </w:r>
      <w:r w:rsidRPr="00DC34EF">
        <w:rPr>
          <w:rFonts w:ascii="Garamond" w:hAnsi="Garamond"/>
          <w:sz w:val="24"/>
          <w:szCs w:val="24"/>
        </w:rPr>
        <w:fldChar w:fldCharType="separate"/>
      </w:r>
      <w:r w:rsidRPr="00DC34EF">
        <w:rPr>
          <w:rFonts w:ascii="Garamond" w:hAnsi="Garamond"/>
          <w:noProof/>
          <w:sz w:val="24"/>
          <w:szCs w:val="24"/>
        </w:rPr>
        <w:t>4</w:t>
      </w:r>
      <w:r w:rsidRPr="00DC34EF">
        <w:rPr>
          <w:rFonts w:ascii="Garamond" w:hAnsi="Garamond"/>
          <w:sz w:val="24"/>
          <w:szCs w:val="24"/>
        </w:rPr>
        <w:fldChar w:fldCharType="end"/>
      </w:r>
      <w:r w:rsidRPr="00DC34EF">
        <w:rPr>
          <w:rFonts w:ascii="Garamond" w:hAnsi="Garamond"/>
          <w:sz w:val="24"/>
          <w:szCs w:val="24"/>
        </w:rPr>
        <w:t xml:space="preserve">: </w:t>
      </w:r>
      <w:bookmarkStart w:id="28" w:name="_Ref60132548"/>
      <w:r w:rsidRPr="00DC34EF">
        <w:rPr>
          <w:rFonts w:ascii="Garamond" w:hAnsi="Garamond" w:cstheme="minorHAnsi"/>
          <w:noProof/>
          <w:sz w:val="24"/>
          <w:szCs w:val="24"/>
        </w:rPr>
        <w:t>Physical and Demat holding of Shares of Listed Companies</w:t>
      </w:r>
      <w:bookmarkEnd w:id="28"/>
      <w:r w:rsidRPr="00DC34EF">
        <w:rPr>
          <w:rFonts w:ascii="Garamond" w:hAnsi="Garamond" w:cstheme="minorHAnsi"/>
          <w:noProof/>
          <w:sz w:val="24"/>
          <w:szCs w:val="24"/>
        </w:rPr>
        <w:t xml:space="preserve"> </w:t>
      </w:r>
      <w:r w:rsidRPr="00DC34EF">
        <w:rPr>
          <w:rFonts w:ascii="Garamond" w:hAnsi="Garamond" w:cstheme="minorHAnsi"/>
          <w:sz w:val="24"/>
          <w:szCs w:val="24"/>
        </w:rPr>
        <w:t>as on March 31, 2020</w:t>
      </w:r>
      <w:bookmarkEnd w:id="27"/>
    </w:p>
    <w:p w:rsidR="00DC34EF" w:rsidRPr="00DC34EF" w:rsidRDefault="00DC34EF" w:rsidP="00DC34EF">
      <w:pPr>
        <w:pStyle w:val="Caption"/>
        <w:spacing w:after="0"/>
        <w:jc w:val="center"/>
        <w:rPr>
          <w:rFonts w:ascii="Garamond" w:hAnsi="Garamond"/>
          <w:sz w:val="24"/>
          <w:szCs w:val="24"/>
        </w:rPr>
      </w:pPr>
    </w:p>
    <w:tbl>
      <w:tblPr>
        <w:tblStyle w:val="TableGrid"/>
        <w:tblW w:w="0" w:type="auto"/>
        <w:tblLook w:val="04A0" w:firstRow="1" w:lastRow="0" w:firstColumn="1" w:lastColumn="0" w:noHBand="0" w:noVBand="1"/>
      </w:tblPr>
      <w:tblGrid>
        <w:gridCol w:w="386"/>
        <w:gridCol w:w="5934"/>
        <w:gridCol w:w="1186"/>
        <w:gridCol w:w="1186"/>
        <w:gridCol w:w="1186"/>
      </w:tblGrid>
      <w:tr w:rsidR="00DC34EF" w:rsidRPr="00B31643" w:rsidTr="00DC34EF">
        <w:tc>
          <w:tcPr>
            <w:tcW w:w="0" w:type="auto"/>
          </w:tcPr>
          <w:p w:rsidR="00DC34EF" w:rsidRPr="00B31643" w:rsidRDefault="00DC34EF" w:rsidP="00DC34EF">
            <w:pPr>
              <w:jc w:val="both"/>
              <w:rPr>
                <w:rFonts w:ascii="Garamond" w:hAnsi="Garamond" w:cstheme="minorHAnsi"/>
                <w:sz w:val="22"/>
                <w:szCs w:val="22"/>
              </w:rPr>
            </w:pPr>
          </w:p>
        </w:tc>
        <w:tc>
          <w:tcPr>
            <w:tcW w:w="0" w:type="auto"/>
          </w:tcPr>
          <w:p w:rsidR="00DC34EF" w:rsidRPr="00B31643" w:rsidRDefault="00DC34EF" w:rsidP="00DC34EF">
            <w:pPr>
              <w:jc w:val="both"/>
              <w:rPr>
                <w:rFonts w:ascii="Garamond" w:hAnsi="Garamond" w:cstheme="minorHAnsi"/>
                <w:sz w:val="22"/>
                <w:szCs w:val="22"/>
              </w:rPr>
            </w:pPr>
          </w:p>
        </w:tc>
        <w:tc>
          <w:tcPr>
            <w:tcW w:w="0" w:type="auto"/>
          </w:tcPr>
          <w:p w:rsidR="00DC34EF" w:rsidRPr="00B31643" w:rsidRDefault="00DC34EF" w:rsidP="00DC34EF">
            <w:pPr>
              <w:jc w:val="center"/>
              <w:rPr>
                <w:rFonts w:ascii="Garamond" w:hAnsi="Garamond" w:cstheme="minorHAnsi"/>
                <w:b/>
                <w:sz w:val="22"/>
                <w:szCs w:val="22"/>
              </w:rPr>
            </w:pPr>
            <w:r w:rsidRPr="00B31643">
              <w:rPr>
                <w:rFonts w:ascii="Garamond" w:hAnsi="Garamond" w:cstheme="minorHAnsi"/>
                <w:b/>
                <w:sz w:val="22"/>
                <w:szCs w:val="22"/>
              </w:rPr>
              <w:t>Physical</w:t>
            </w:r>
          </w:p>
        </w:tc>
        <w:tc>
          <w:tcPr>
            <w:tcW w:w="0" w:type="auto"/>
          </w:tcPr>
          <w:p w:rsidR="00DC34EF" w:rsidRPr="00B31643" w:rsidRDefault="00DC34EF" w:rsidP="00DC34EF">
            <w:pPr>
              <w:jc w:val="center"/>
              <w:rPr>
                <w:rFonts w:ascii="Garamond" w:hAnsi="Garamond" w:cstheme="minorHAnsi"/>
                <w:b/>
                <w:sz w:val="22"/>
                <w:szCs w:val="22"/>
              </w:rPr>
            </w:pPr>
            <w:r w:rsidRPr="00B31643">
              <w:rPr>
                <w:rFonts w:ascii="Garamond" w:hAnsi="Garamond" w:cstheme="minorHAnsi"/>
                <w:b/>
                <w:sz w:val="22"/>
                <w:szCs w:val="22"/>
              </w:rPr>
              <w:t>Demat</w:t>
            </w:r>
          </w:p>
        </w:tc>
        <w:tc>
          <w:tcPr>
            <w:tcW w:w="0" w:type="auto"/>
          </w:tcPr>
          <w:p w:rsidR="00DC34EF" w:rsidRPr="00B31643" w:rsidRDefault="00DC34EF" w:rsidP="00DC34EF">
            <w:pPr>
              <w:jc w:val="center"/>
              <w:rPr>
                <w:rFonts w:ascii="Garamond" w:hAnsi="Garamond" w:cstheme="minorHAnsi"/>
                <w:b/>
                <w:sz w:val="22"/>
                <w:szCs w:val="22"/>
              </w:rPr>
            </w:pPr>
            <w:r w:rsidRPr="00B31643">
              <w:rPr>
                <w:rFonts w:ascii="Garamond" w:hAnsi="Garamond" w:cstheme="minorHAnsi"/>
                <w:b/>
                <w:sz w:val="22"/>
                <w:szCs w:val="22"/>
              </w:rPr>
              <w:t>Total</w:t>
            </w:r>
          </w:p>
        </w:tc>
      </w:tr>
      <w:tr w:rsidR="00DC34EF" w:rsidRPr="00B31643" w:rsidTr="00DC34EF">
        <w:tc>
          <w:tcPr>
            <w:tcW w:w="0" w:type="auto"/>
          </w:tcPr>
          <w:p w:rsidR="00DC34EF" w:rsidRPr="00B31643" w:rsidRDefault="00DC34EF" w:rsidP="00DC34EF">
            <w:pPr>
              <w:rPr>
                <w:rFonts w:ascii="Garamond" w:hAnsi="Garamond" w:cstheme="minorHAnsi"/>
                <w:color w:val="000000"/>
                <w:sz w:val="22"/>
                <w:szCs w:val="22"/>
              </w:rPr>
            </w:pPr>
            <w:r w:rsidRPr="00B31643">
              <w:rPr>
                <w:rFonts w:ascii="Garamond" w:hAnsi="Garamond" w:cstheme="minorHAnsi"/>
                <w:color w:val="000000"/>
                <w:sz w:val="22"/>
                <w:szCs w:val="22"/>
              </w:rPr>
              <w:t>A</w:t>
            </w:r>
          </w:p>
        </w:tc>
        <w:tc>
          <w:tcPr>
            <w:tcW w:w="0" w:type="auto"/>
            <w:vAlign w:val="bottom"/>
          </w:tcPr>
          <w:p w:rsidR="00DC34EF" w:rsidRPr="00B31643" w:rsidRDefault="00DC34EF" w:rsidP="00DC34EF">
            <w:pPr>
              <w:jc w:val="both"/>
              <w:rPr>
                <w:rFonts w:ascii="Garamond" w:hAnsi="Garamond" w:cstheme="minorHAnsi"/>
                <w:color w:val="000000"/>
                <w:sz w:val="22"/>
                <w:szCs w:val="22"/>
              </w:rPr>
            </w:pPr>
            <w:r w:rsidRPr="00B31643">
              <w:rPr>
                <w:rFonts w:ascii="Garamond" w:hAnsi="Garamond" w:cstheme="minorHAnsi"/>
                <w:color w:val="000000"/>
                <w:sz w:val="22"/>
                <w:szCs w:val="22"/>
              </w:rPr>
              <w:t xml:space="preserve">Number of listed companies </w:t>
            </w:r>
          </w:p>
        </w:tc>
        <w:tc>
          <w:tcPr>
            <w:tcW w:w="0" w:type="auto"/>
            <w:gridSpan w:val="2"/>
          </w:tcPr>
          <w:p w:rsidR="00DC34EF" w:rsidRPr="00B31643" w:rsidRDefault="00DC34EF" w:rsidP="00DC34EF">
            <w:pPr>
              <w:jc w:val="both"/>
              <w:rPr>
                <w:rFonts w:ascii="Garamond" w:hAnsi="Garamond" w:cstheme="minorHAnsi"/>
                <w:sz w:val="22"/>
                <w:szCs w:val="22"/>
                <w:highlight w:val="lightGray"/>
              </w:rPr>
            </w:pPr>
          </w:p>
        </w:tc>
        <w:tc>
          <w:tcPr>
            <w:tcW w:w="0" w:type="auto"/>
          </w:tcPr>
          <w:p w:rsidR="00DC34EF" w:rsidRPr="00B31643" w:rsidRDefault="00DC34EF" w:rsidP="00DC34EF">
            <w:pPr>
              <w:jc w:val="right"/>
              <w:rPr>
                <w:rFonts w:ascii="Garamond" w:hAnsi="Garamond" w:cstheme="minorHAnsi"/>
                <w:sz w:val="22"/>
                <w:szCs w:val="22"/>
              </w:rPr>
            </w:pPr>
            <w:r w:rsidRPr="00B31643">
              <w:rPr>
                <w:rFonts w:ascii="Garamond" w:hAnsi="Garamond" w:cstheme="minorHAnsi"/>
                <w:sz w:val="22"/>
                <w:szCs w:val="22"/>
              </w:rPr>
              <w:t>5,226</w:t>
            </w:r>
          </w:p>
        </w:tc>
      </w:tr>
      <w:tr w:rsidR="00DC34EF" w:rsidRPr="00B31643" w:rsidTr="00DC34EF">
        <w:tc>
          <w:tcPr>
            <w:tcW w:w="0" w:type="auto"/>
            <w:gridSpan w:val="5"/>
          </w:tcPr>
          <w:p w:rsidR="00DC34EF" w:rsidRPr="00B31643" w:rsidRDefault="00DC34EF" w:rsidP="00DC34EF">
            <w:pPr>
              <w:jc w:val="both"/>
              <w:rPr>
                <w:rFonts w:ascii="Garamond" w:hAnsi="Garamond" w:cstheme="minorHAnsi"/>
                <w:sz w:val="22"/>
                <w:szCs w:val="22"/>
              </w:rPr>
            </w:pPr>
            <w:r w:rsidRPr="00B31643">
              <w:rPr>
                <w:rFonts w:ascii="Garamond" w:hAnsi="Garamond" w:cstheme="minorHAnsi"/>
                <w:color w:val="000000"/>
                <w:sz w:val="22"/>
                <w:szCs w:val="22"/>
              </w:rPr>
              <w:t> </w:t>
            </w:r>
          </w:p>
        </w:tc>
      </w:tr>
      <w:tr w:rsidR="00DC34EF" w:rsidRPr="00B31643" w:rsidTr="00DC34EF">
        <w:tc>
          <w:tcPr>
            <w:tcW w:w="0" w:type="auto"/>
          </w:tcPr>
          <w:p w:rsidR="00DC34EF" w:rsidRPr="00B31643" w:rsidRDefault="00DC34EF" w:rsidP="00DC34EF">
            <w:pPr>
              <w:rPr>
                <w:rFonts w:ascii="Garamond" w:hAnsi="Garamond" w:cstheme="minorHAnsi"/>
                <w:color w:val="000000"/>
                <w:sz w:val="22"/>
                <w:szCs w:val="22"/>
              </w:rPr>
            </w:pPr>
            <w:r w:rsidRPr="00B31643">
              <w:rPr>
                <w:rFonts w:ascii="Garamond" w:hAnsi="Garamond" w:cstheme="minorHAnsi"/>
                <w:color w:val="000000"/>
                <w:sz w:val="22"/>
                <w:szCs w:val="22"/>
              </w:rPr>
              <w:t>B</w:t>
            </w:r>
          </w:p>
        </w:tc>
        <w:tc>
          <w:tcPr>
            <w:tcW w:w="0" w:type="auto"/>
            <w:vAlign w:val="bottom"/>
          </w:tcPr>
          <w:p w:rsidR="00DC34EF" w:rsidRPr="00B31643" w:rsidRDefault="00DC34EF" w:rsidP="00DC34EF">
            <w:pPr>
              <w:jc w:val="both"/>
              <w:rPr>
                <w:rFonts w:ascii="Garamond" w:hAnsi="Garamond" w:cstheme="minorHAnsi"/>
                <w:color w:val="000000"/>
                <w:sz w:val="22"/>
                <w:szCs w:val="22"/>
              </w:rPr>
            </w:pPr>
            <w:r w:rsidRPr="00B31643">
              <w:rPr>
                <w:rFonts w:ascii="Garamond" w:hAnsi="Garamond" w:cstheme="minorHAnsi"/>
                <w:color w:val="000000"/>
                <w:sz w:val="22"/>
                <w:szCs w:val="22"/>
              </w:rPr>
              <w:t>Number of paid up equity shares of all listed companies (crore)</w:t>
            </w:r>
          </w:p>
        </w:tc>
        <w:tc>
          <w:tcPr>
            <w:tcW w:w="0" w:type="auto"/>
          </w:tcPr>
          <w:p w:rsidR="00DC34EF" w:rsidRPr="00B31643" w:rsidRDefault="00DC34EF" w:rsidP="00DC34EF">
            <w:pPr>
              <w:jc w:val="right"/>
              <w:rPr>
                <w:rFonts w:ascii="Garamond" w:hAnsi="Garamond" w:cstheme="minorHAnsi"/>
                <w:sz w:val="22"/>
                <w:szCs w:val="22"/>
              </w:rPr>
            </w:pPr>
            <w:r w:rsidRPr="00B31643">
              <w:rPr>
                <w:rFonts w:ascii="Garamond" w:hAnsi="Garamond" w:cstheme="minorHAnsi"/>
                <w:sz w:val="22"/>
                <w:szCs w:val="22"/>
              </w:rPr>
              <w:t xml:space="preserve"> 2,022 </w:t>
            </w:r>
          </w:p>
        </w:tc>
        <w:tc>
          <w:tcPr>
            <w:tcW w:w="0" w:type="auto"/>
          </w:tcPr>
          <w:p w:rsidR="00DC34EF" w:rsidRPr="00B31643" w:rsidRDefault="00DC34EF" w:rsidP="00DC34EF">
            <w:pPr>
              <w:jc w:val="right"/>
              <w:rPr>
                <w:rFonts w:ascii="Garamond" w:hAnsi="Garamond" w:cstheme="minorHAnsi"/>
                <w:sz w:val="22"/>
                <w:szCs w:val="22"/>
              </w:rPr>
            </w:pPr>
            <w:r w:rsidRPr="00B31643">
              <w:rPr>
                <w:rFonts w:ascii="Garamond" w:hAnsi="Garamond" w:cstheme="minorHAnsi"/>
                <w:sz w:val="22"/>
                <w:szCs w:val="22"/>
              </w:rPr>
              <w:t xml:space="preserve"> 77,862 </w:t>
            </w:r>
          </w:p>
        </w:tc>
        <w:tc>
          <w:tcPr>
            <w:tcW w:w="0" w:type="auto"/>
          </w:tcPr>
          <w:p w:rsidR="00DC34EF" w:rsidRPr="00B31643" w:rsidRDefault="00DC34EF" w:rsidP="00DC34EF">
            <w:pPr>
              <w:jc w:val="right"/>
              <w:rPr>
                <w:rFonts w:ascii="Garamond" w:hAnsi="Garamond" w:cstheme="minorHAnsi"/>
                <w:sz w:val="22"/>
                <w:szCs w:val="22"/>
              </w:rPr>
            </w:pPr>
            <w:r w:rsidRPr="00B31643">
              <w:rPr>
                <w:rFonts w:ascii="Garamond" w:hAnsi="Garamond" w:cstheme="minorHAnsi"/>
                <w:sz w:val="22"/>
                <w:szCs w:val="22"/>
              </w:rPr>
              <w:t xml:space="preserve"> 79,884 </w:t>
            </w:r>
          </w:p>
        </w:tc>
      </w:tr>
      <w:tr w:rsidR="00DC34EF" w:rsidRPr="00B31643" w:rsidTr="00DC34EF">
        <w:tc>
          <w:tcPr>
            <w:tcW w:w="0" w:type="auto"/>
          </w:tcPr>
          <w:p w:rsidR="00DC34EF" w:rsidRPr="00B31643" w:rsidRDefault="00DC34EF" w:rsidP="00DC34EF">
            <w:pPr>
              <w:rPr>
                <w:rFonts w:ascii="Garamond" w:hAnsi="Garamond" w:cstheme="minorHAnsi"/>
                <w:color w:val="000000"/>
                <w:sz w:val="22"/>
                <w:szCs w:val="22"/>
              </w:rPr>
            </w:pPr>
            <w:r w:rsidRPr="00B31643">
              <w:rPr>
                <w:rFonts w:ascii="Garamond" w:hAnsi="Garamond" w:cstheme="minorHAnsi"/>
                <w:color w:val="000000"/>
                <w:sz w:val="22"/>
                <w:szCs w:val="22"/>
              </w:rPr>
              <w:t>C</w:t>
            </w:r>
          </w:p>
        </w:tc>
        <w:tc>
          <w:tcPr>
            <w:tcW w:w="0" w:type="auto"/>
            <w:vAlign w:val="bottom"/>
          </w:tcPr>
          <w:p w:rsidR="00DC34EF" w:rsidRPr="00B31643" w:rsidRDefault="00DC34EF" w:rsidP="00DC34EF">
            <w:pPr>
              <w:jc w:val="both"/>
              <w:rPr>
                <w:rFonts w:ascii="Garamond" w:hAnsi="Garamond" w:cstheme="minorHAnsi"/>
                <w:color w:val="000000"/>
                <w:sz w:val="22"/>
                <w:szCs w:val="22"/>
              </w:rPr>
            </w:pPr>
            <w:r w:rsidRPr="00B31643">
              <w:rPr>
                <w:rFonts w:ascii="Garamond" w:hAnsi="Garamond" w:cstheme="minorHAnsi"/>
                <w:color w:val="000000"/>
                <w:sz w:val="22"/>
                <w:szCs w:val="22"/>
              </w:rPr>
              <w:t>Value (closing price) of B (Rs. crore)</w:t>
            </w:r>
          </w:p>
        </w:tc>
        <w:tc>
          <w:tcPr>
            <w:tcW w:w="0" w:type="auto"/>
          </w:tcPr>
          <w:p w:rsidR="00DC34EF" w:rsidRPr="00B31643" w:rsidRDefault="00DC34EF" w:rsidP="00DC34EF">
            <w:pPr>
              <w:jc w:val="right"/>
              <w:rPr>
                <w:rFonts w:ascii="Garamond" w:hAnsi="Garamond" w:cstheme="minorHAnsi"/>
                <w:sz w:val="22"/>
                <w:szCs w:val="22"/>
              </w:rPr>
            </w:pPr>
            <w:r w:rsidRPr="00B31643">
              <w:rPr>
                <w:rFonts w:ascii="Garamond" w:hAnsi="Garamond" w:cstheme="minorHAnsi"/>
                <w:sz w:val="22"/>
                <w:szCs w:val="22"/>
              </w:rPr>
              <w:t xml:space="preserve"> 2,15,260</w:t>
            </w:r>
          </w:p>
        </w:tc>
        <w:tc>
          <w:tcPr>
            <w:tcW w:w="0" w:type="auto"/>
          </w:tcPr>
          <w:p w:rsidR="00DC34EF" w:rsidRPr="00B31643" w:rsidRDefault="00DC34EF" w:rsidP="00DC34EF">
            <w:pPr>
              <w:jc w:val="right"/>
              <w:rPr>
                <w:rFonts w:ascii="Garamond" w:hAnsi="Garamond" w:cstheme="minorHAnsi"/>
                <w:sz w:val="22"/>
                <w:szCs w:val="22"/>
              </w:rPr>
            </w:pPr>
            <w:r w:rsidRPr="00B31643">
              <w:rPr>
                <w:rFonts w:ascii="Garamond" w:hAnsi="Garamond" w:cstheme="minorHAnsi"/>
                <w:sz w:val="22"/>
                <w:szCs w:val="22"/>
              </w:rPr>
              <w:t xml:space="preserve">1,12,09,517 </w:t>
            </w:r>
          </w:p>
        </w:tc>
        <w:tc>
          <w:tcPr>
            <w:tcW w:w="0" w:type="auto"/>
          </w:tcPr>
          <w:p w:rsidR="00DC34EF" w:rsidRPr="00B31643" w:rsidRDefault="00DC34EF" w:rsidP="00DC34EF">
            <w:pPr>
              <w:jc w:val="right"/>
              <w:rPr>
                <w:rFonts w:ascii="Garamond" w:hAnsi="Garamond" w:cstheme="minorHAnsi"/>
                <w:sz w:val="22"/>
                <w:szCs w:val="22"/>
              </w:rPr>
            </w:pPr>
            <w:r w:rsidRPr="00B31643">
              <w:rPr>
                <w:rFonts w:ascii="Garamond" w:hAnsi="Garamond" w:cstheme="minorHAnsi"/>
                <w:sz w:val="22"/>
                <w:szCs w:val="22"/>
              </w:rPr>
              <w:t xml:space="preserve">1,14,24,777 </w:t>
            </w:r>
          </w:p>
        </w:tc>
      </w:tr>
      <w:tr w:rsidR="00DC34EF" w:rsidRPr="00B31643" w:rsidTr="00DC34EF">
        <w:tc>
          <w:tcPr>
            <w:tcW w:w="0" w:type="auto"/>
            <w:gridSpan w:val="5"/>
          </w:tcPr>
          <w:p w:rsidR="00DC34EF" w:rsidRPr="00B31643" w:rsidRDefault="00DC34EF" w:rsidP="00DC34EF">
            <w:pPr>
              <w:jc w:val="right"/>
              <w:rPr>
                <w:rFonts w:ascii="Garamond" w:hAnsi="Garamond" w:cstheme="minorHAnsi"/>
                <w:sz w:val="22"/>
                <w:szCs w:val="22"/>
              </w:rPr>
            </w:pPr>
            <w:r w:rsidRPr="00B31643">
              <w:rPr>
                <w:rFonts w:ascii="Garamond" w:hAnsi="Garamond" w:cstheme="minorHAnsi"/>
                <w:color w:val="000000"/>
                <w:sz w:val="22"/>
                <w:szCs w:val="22"/>
              </w:rPr>
              <w:t> </w:t>
            </w:r>
          </w:p>
        </w:tc>
      </w:tr>
      <w:tr w:rsidR="00DC34EF" w:rsidRPr="00B31643" w:rsidTr="00DC34EF">
        <w:tc>
          <w:tcPr>
            <w:tcW w:w="0" w:type="auto"/>
          </w:tcPr>
          <w:p w:rsidR="00DC34EF" w:rsidRPr="00B31643" w:rsidRDefault="00DC34EF" w:rsidP="00DC34EF">
            <w:pPr>
              <w:rPr>
                <w:rFonts w:ascii="Garamond" w:hAnsi="Garamond" w:cstheme="minorHAnsi"/>
                <w:color w:val="000000"/>
                <w:sz w:val="22"/>
                <w:szCs w:val="22"/>
              </w:rPr>
            </w:pPr>
            <w:r w:rsidRPr="00B31643">
              <w:rPr>
                <w:rFonts w:ascii="Garamond" w:hAnsi="Garamond" w:cstheme="minorHAnsi"/>
                <w:color w:val="000000"/>
                <w:sz w:val="22"/>
                <w:szCs w:val="22"/>
              </w:rPr>
              <w:t>D</w:t>
            </w:r>
          </w:p>
        </w:tc>
        <w:tc>
          <w:tcPr>
            <w:tcW w:w="0" w:type="auto"/>
            <w:vAlign w:val="bottom"/>
          </w:tcPr>
          <w:p w:rsidR="00DC34EF" w:rsidRPr="00B31643" w:rsidRDefault="00DC34EF" w:rsidP="00DC34EF">
            <w:pPr>
              <w:jc w:val="both"/>
              <w:rPr>
                <w:rFonts w:ascii="Garamond" w:hAnsi="Garamond" w:cstheme="minorHAnsi"/>
                <w:color w:val="000000"/>
                <w:sz w:val="22"/>
                <w:szCs w:val="22"/>
              </w:rPr>
            </w:pPr>
            <w:r w:rsidRPr="00B31643">
              <w:rPr>
                <w:rFonts w:ascii="Garamond" w:hAnsi="Garamond" w:cstheme="minorHAnsi"/>
                <w:color w:val="000000"/>
                <w:sz w:val="22"/>
                <w:szCs w:val="22"/>
              </w:rPr>
              <w:t>Number of folios / distinct demat accounts pertaining to B</w:t>
            </w:r>
            <w:r w:rsidRPr="00B31643">
              <w:rPr>
                <w:rStyle w:val="FootnoteReference"/>
                <w:rFonts w:ascii="Garamond" w:hAnsi="Garamond" w:cstheme="minorHAnsi"/>
                <w:color w:val="000000"/>
                <w:sz w:val="22"/>
                <w:szCs w:val="22"/>
              </w:rPr>
              <w:footnoteReference w:id="25"/>
            </w:r>
          </w:p>
        </w:tc>
        <w:tc>
          <w:tcPr>
            <w:tcW w:w="0" w:type="auto"/>
          </w:tcPr>
          <w:p w:rsidR="00DC34EF" w:rsidRPr="00B31643" w:rsidRDefault="00DC34EF" w:rsidP="00DC34EF">
            <w:pPr>
              <w:jc w:val="right"/>
              <w:rPr>
                <w:rFonts w:ascii="Garamond" w:hAnsi="Garamond" w:cstheme="minorHAnsi"/>
                <w:sz w:val="22"/>
                <w:szCs w:val="22"/>
              </w:rPr>
            </w:pPr>
            <w:r w:rsidRPr="00B31643">
              <w:rPr>
                <w:rFonts w:ascii="Garamond" w:hAnsi="Garamond" w:cstheme="minorHAnsi"/>
                <w:sz w:val="22"/>
                <w:szCs w:val="22"/>
              </w:rPr>
              <w:t>1,16,75,594</w:t>
            </w:r>
          </w:p>
        </w:tc>
        <w:tc>
          <w:tcPr>
            <w:tcW w:w="0" w:type="auto"/>
          </w:tcPr>
          <w:p w:rsidR="00DC34EF" w:rsidRPr="00B31643" w:rsidRDefault="00DC34EF" w:rsidP="00DC34EF">
            <w:pPr>
              <w:jc w:val="right"/>
              <w:rPr>
                <w:rFonts w:ascii="Garamond" w:hAnsi="Garamond" w:cstheme="minorHAnsi"/>
                <w:color w:val="000000"/>
                <w:sz w:val="22"/>
                <w:szCs w:val="22"/>
              </w:rPr>
            </w:pPr>
            <w:r w:rsidRPr="00B31643">
              <w:rPr>
                <w:rFonts w:ascii="Garamond" w:hAnsi="Garamond" w:cstheme="minorHAnsi"/>
                <w:color w:val="000000"/>
                <w:sz w:val="22"/>
                <w:szCs w:val="22"/>
              </w:rPr>
              <w:t xml:space="preserve">1,65,16,135 </w:t>
            </w:r>
          </w:p>
        </w:tc>
        <w:tc>
          <w:tcPr>
            <w:tcW w:w="0" w:type="auto"/>
          </w:tcPr>
          <w:p w:rsidR="00DC34EF" w:rsidRPr="00B31643" w:rsidRDefault="00DC34EF" w:rsidP="00DC34EF">
            <w:pPr>
              <w:jc w:val="right"/>
              <w:rPr>
                <w:rFonts w:ascii="Garamond" w:hAnsi="Garamond" w:cstheme="minorHAnsi"/>
                <w:sz w:val="22"/>
                <w:szCs w:val="22"/>
                <w:highlight w:val="lightGray"/>
              </w:rPr>
            </w:pPr>
          </w:p>
        </w:tc>
      </w:tr>
      <w:tr w:rsidR="00DC34EF" w:rsidRPr="00B31643" w:rsidTr="00DC34EF">
        <w:tc>
          <w:tcPr>
            <w:tcW w:w="0" w:type="auto"/>
          </w:tcPr>
          <w:p w:rsidR="00DC34EF" w:rsidRPr="00B31643" w:rsidRDefault="00DC34EF" w:rsidP="00DC34EF">
            <w:pPr>
              <w:rPr>
                <w:rFonts w:ascii="Garamond" w:hAnsi="Garamond" w:cstheme="minorHAnsi"/>
                <w:color w:val="000000"/>
                <w:sz w:val="22"/>
                <w:szCs w:val="22"/>
              </w:rPr>
            </w:pPr>
            <w:r w:rsidRPr="00B31643">
              <w:rPr>
                <w:rFonts w:ascii="Garamond" w:hAnsi="Garamond" w:cstheme="minorHAnsi"/>
                <w:color w:val="000000"/>
                <w:sz w:val="22"/>
                <w:szCs w:val="22"/>
              </w:rPr>
              <w:t>E</w:t>
            </w:r>
          </w:p>
        </w:tc>
        <w:tc>
          <w:tcPr>
            <w:tcW w:w="0" w:type="auto"/>
            <w:vAlign w:val="bottom"/>
          </w:tcPr>
          <w:p w:rsidR="00DC34EF" w:rsidRPr="00B31643" w:rsidRDefault="00DC34EF" w:rsidP="00DC34EF">
            <w:pPr>
              <w:ind w:left="647"/>
              <w:jc w:val="both"/>
              <w:rPr>
                <w:rFonts w:ascii="Garamond" w:hAnsi="Garamond" w:cstheme="minorHAnsi"/>
                <w:color w:val="000000"/>
                <w:sz w:val="22"/>
                <w:szCs w:val="22"/>
              </w:rPr>
            </w:pPr>
            <w:r w:rsidRPr="00B31643">
              <w:rPr>
                <w:rFonts w:ascii="Garamond" w:hAnsi="Garamond" w:cstheme="minorHAnsi"/>
                <w:color w:val="000000"/>
                <w:sz w:val="22"/>
                <w:szCs w:val="22"/>
              </w:rPr>
              <w:t>out of D, number of folios / distinct demat accounts eligible for nomination</w:t>
            </w:r>
          </w:p>
        </w:tc>
        <w:tc>
          <w:tcPr>
            <w:tcW w:w="0" w:type="auto"/>
          </w:tcPr>
          <w:p w:rsidR="00DC34EF" w:rsidRPr="00B31643" w:rsidRDefault="00DC34EF" w:rsidP="00DC34EF">
            <w:pPr>
              <w:jc w:val="right"/>
              <w:rPr>
                <w:rFonts w:ascii="Garamond" w:hAnsi="Garamond" w:cstheme="minorHAnsi"/>
                <w:sz w:val="22"/>
                <w:szCs w:val="22"/>
              </w:rPr>
            </w:pPr>
            <w:r w:rsidRPr="00B31643">
              <w:rPr>
                <w:rFonts w:ascii="Garamond" w:hAnsi="Garamond" w:cstheme="minorHAnsi"/>
                <w:sz w:val="22"/>
                <w:szCs w:val="22"/>
              </w:rPr>
              <w:t>1,10,57,870</w:t>
            </w:r>
          </w:p>
        </w:tc>
        <w:tc>
          <w:tcPr>
            <w:tcW w:w="0" w:type="auto"/>
          </w:tcPr>
          <w:p w:rsidR="00DC34EF" w:rsidRPr="00B31643" w:rsidRDefault="00DC34EF" w:rsidP="00DC34EF">
            <w:pPr>
              <w:jc w:val="right"/>
              <w:rPr>
                <w:rFonts w:ascii="Garamond" w:hAnsi="Garamond" w:cstheme="minorHAnsi"/>
                <w:color w:val="000000"/>
                <w:sz w:val="22"/>
                <w:szCs w:val="22"/>
              </w:rPr>
            </w:pPr>
            <w:r w:rsidRPr="00B31643">
              <w:rPr>
                <w:rFonts w:ascii="Garamond" w:hAnsi="Garamond" w:cstheme="minorHAnsi"/>
                <w:color w:val="000000"/>
                <w:sz w:val="22"/>
                <w:szCs w:val="22"/>
              </w:rPr>
              <w:t xml:space="preserve">1,63,00,703 </w:t>
            </w:r>
          </w:p>
        </w:tc>
        <w:tc>
          <w:tcPr>
            <w:tcW w:w="0" w:type="auto"/>
          </w:tcPr>
          <w:p w:rsidR="00DC34EF" w:rsidRPr="00B31643" w:rsidRDefault="00DC34EF" w:rsidP="00DC34EF">
            <w:pPr>
              <w:jc w:val="right"/>
              <w:rPr>
                <w:rFonts w:ascii="Garamond" w:hAnsi="Garamond" w:cstheme="minorHAnsi"/>
                <w:sz w:val="22"/>
                <w:szCs w:val="22"/>
                <w:highlight w:val="lightGray"/>
              </w:rPr>
            </w:pPr>
          </w:p>
        </w:tc>
      </w:tr>
      <w:tr w:rsidR="00DC34EF" w:rsidRPr="00B31643" w:rsidTr="00DC34EF">
        <w:tc>
          <w:tcPr>
            <w:tcW w:w="0" w:type="auto"/>
          </w:tcPr>
          <w:p w:rsidR="00DC34EF" w:rsidRPr="00B31643" w:rsidRDefault="00DC34EF" w:rsidP="00DC34EF">
            <w:pPr>
              <w:rPr>
                <w:rFonts w:ascii="Garamond" w:hAnsi="Garamond" w:cstheme="minorHAnsi"/>
                <w:color w:val="000000"/>
                <w:sz w:val="22"/>
                <w:szCs w:val="22"/>
              </w:rPr>
            </w:pPr>
            <w:r w:rsidRPr="00B31643">
              <w:rPr>
                <w:rFonts w:ascii="Garamond" w:hAnsi="Garamond" w:cstheme="minorHAnsi"/>
                <w:color w:val="000000"/>
                <w:sz w:val="22"/>
                <w:szCs w:val="22"/>
              </w:rPr>
              <w:t>F</w:t>
            </w:r>
          </w:p>
        </w:tc>
        <w:tc>
          <w:tcPr>
            <w:tcW w:w="0" w:type="auto"/>
            <w:vAlign w:val="bottom"/>
          </w:tcPr>
          <w:p w:rsidR="00DC34EF" w:rsidRPr="00B31643" w:rsidRDefault="00DC34EF" w:rsidP="00DC34EF">
            <w:pPr>
              <w:ind w:left="647" w:firstLineChars="5" w:firstLine="11"/>
              <w:jc w:val="both"/>
              <w:rPr>
                <w:rFonts w:ascii="Garamond" w:hAnsi="Garamond" w:cstheme="minorHAnsi"/>
                <w:color w:val="000000"/>
                <w:sz w:val="22"/>
                <w:szCs w:val="22"/>
              </w:rPr>
            </w:pPr>
            <w:r w:rsidRPr="00B31643">
              <w:rPr>
                <w:rFonts w:ascii="Garamond" w:hAnsi="Garamond" w:cstheme="minorHAnsi"/>
                <w:color w:val="000000"/>
                <w:sz w:val="22"/>
                <w:szCs w:val="22"/>
              </w:rPr>
              <w:t xml:space="preserve">Out of D, number of folios / distinct demat accounts ineligible for nomination </w:t>
            </w:r>
          </w:p>
        </w:tc>
        <w:tc>
          <w:tcPr>
            <w:tcW w:w="0" w:type="auto"/>
          </w:tcPr>
          <w:p w:rsidR="00DC34EF" w:rsidRPr="00B31643" w:rsidRDefault="00DC34EF" w:rsidP="00DC34EF">
            <w:pPr>
              <w:jc w:val="right"/>
              <w:rPr>
                <w:rFonts w:ascii="Garamond" w:hAnsi="Garamond" w:cstheme="minorHAnsi"/>
                <w:sz w:val="22"/>
                <w:szCs w:val="22"/>
              </w:rPr>
            </w:pPr>
            <w:r w:rsidRPr="00B31643">
              <w:rPr>
                <w:rFonts w:ascii="Garamond" w:hAnsi="Garamond" w:cstheme="minorHAnsi"/>
                <w:sz w:val="22"/>
                <w:szCs w:val="22"/>
              </w:rPr>
              <w:t xml:space="preserve">  2,13,216</w:t>
            </w:r>
          </w:p>
        </w:tc>
        <w:tc>
          <w:tcPr>
            <w:tcW w:w="0" w:type="auto"/>
          </w:tcPr>
          <w:p w:rsidR="00DC34EF" w:rsidRPr="00B31643" w:rsidRDefault="00DC34EF" w:rsidP="00DC34EF">
            <w:pPr>
              <w:jc w:val="right"/>
              <w:rPr>
                <w:rFonts w:ascii="Garamond" w:hAnsi="Garamond" w:cstheme="minorHAnsi"/>
                <w:color w:val="000000"/>
                <w:sz w:val="22"/>
                <w:szCs w:val="22"/>
              </w:rPr>
            </w:pPr>
            <w:r w:rsidRPr="00B31643">
              <w:rPr>
                <w:rFonts w:ascii="Garamond" w:hAnsi="Garamond" w:cstheme="minorHAnsi"/>
                <w:color w:val="000000"/>
                <w:sz w:val="22"/>
                <w:szCs w:val="22"/>
              </w:rPr>
              <w:t xml:space="preserve"> 2,15,432 </w:t>
            </w:r>
          </w:p>
        </w:tc>
        <w:tc>
          <w:tcPr>
            <w:tcW w:w="0" w:type="auto"/>
          </w:tcPr>
          <w:p w:rsidR="00DC34EF" w:rsidRPr="00B31643" w:rsidRDefault="00DC34EF" w:rsidP="00DC34EF">
            <w:pPr>
              <w:jc w:val="right"/>
              <w:rPr>
                <w:rFonts w:ascii="Garamond" w:hAnsi="Garamond" w:cstheme="minorHAnsi"/>
                <w:sz w:val="22"/>
                <w:szCs w:val="22"/>
                <w:highlight w:val="lightGray"/>
              </w:rPr>
            </w:pPr>
          </w:p>
        </w:tc>
      </w:tr>
    </w:tbl>
    <w:p w:rsidR="00DC34EF" w:rsidRPr="00DC34EF" w:rsidRDefault="00DC34EF" w:rsidP="00DC34EF">
      <w:pPr>
        <w:jc w:val="both"/>
        <w:rPr>
          <w:rFonts w:ascii="Garamond" w:hAnsi="Garamond" w:cstheme="minorHAnsi"/>
          <w:lang w:val="en-US"/>
        </w:rPr>
      </w:pPr>
    </w:p>
    <w:p w:rsidR="00DC34EF" w:rsidRPr="00DC34EF" w:rsidRDefault="00DC34EF" w:rsidP="00DC34EF">
      <w:pPr>
        <w:ind w:left="720"/>
        <w:jc w:val="both"/>
        <w:rPr>
          <w:rFonts w:ascii="Garamond" w:hAnsi="Garamond" w:cstheme="minorHAnsi"/>
          <w:lang w:val="en-US"/>
        </w:rPr>
      </w:pPr>
      <w:r w:rsidRPr="00DC34EF">
        <w:rPr>
          <w:rFonts w:ascii="Garamond" w:hAnsi="Garamond" w:cstheme="minorHAnsi"/>
          <w:lang w:val="en-US"/>
        </w:rPr>
        <w:t>Within these folios and demat accounts, single holding which do not have nomination, merits close regulatory scrutiny. As mentioned earlier, the claimant / heir in such cases undergo hardship which deters transmission. Whereas, in the case of joint account, the risk of the securities becoming unclaimed is negligible, even in the absence of nomination, as the securities are transmitted to the surviving member / joint account holder, in case of demise of one of the holder.</w:t>
      </w:r>
    </w:p>
    <w:p w:rsidR="00DC34EF" w:rsidRPr="00DC34EF" w:rsidRDefault="00DC34EF" w:rsidP="00DC34EF">
      <w:pPr>
        <w:ind w:left="720"/>
        <w:jc w:val="both"/>
        <w:rPr>
          <w:rFonts w:ascii="Garamond" w:hAnsi="Garamond" w:cstheme="minorHAnsi"/>
          <w:lang w:val="en-US"/>
        </w:rPr>
      </w:pPr>
    </w:p>
    <w:p w:rsidR="00DC34EF" w:rsidRPr="00DC34EF" w:rsidRDefault="00DC34EF" w:rsidP="00DC34EF">
      <w:pPr>
        <w:ind w:left="720"/>
        <w:jc w:val="both"/>
        <w:rPr>
          <w:rFonts w:ascii="Garamond" w:hAnsi="Garamond" w:cstheme="minorHAnsi"/>
          <w:lang w:val="en-US"/>
        </w:rPr>
      </w:pPr>
      <w:r w:rsidRPr="00DC34EF">
        <w:rPr>
          <w:rFonts w:ascii="Garamond" w:hAnsi="Garamond" w:cstheme="minorHAnsi"/>
          <w:lang w:val="en-US"/>
        </w:rPr>
        <w:t xml:space="preserve">Accordingly, in folios with single holding that are eligible for nomination, about 96% of them do not have nomination and they constitute 81% in terms of value of this category. In the case of demat accounts with single holding that are eligible for nomination, about 55 % do not have nomination. In terms of value and number of shares, these holdings constitute 38% and 49%, respectively. These single holding folios and demat accounts which do not have nomination, have the direct potential to become unclaimed securities in future and the data on this is given in table below.     </w:t>
      </w:r>
    </w:p>
    <w:p w:rsidR="00A20B1A" w:rsidRDefault="00A20B1A" w:rsidP="00B31643">
      <w:pPr>
        <w:spacing w:after="160" w:line="259" w:lineRule="auto"/>
        <w:rPr>
          <w:rFonts w:ascii="Garamond" w:hAnsi="Garamond" w:cstheme="minorHAnsi"/>
          <w:b/>
          <w:bCs/>
        </w:rPr>
      </w:pPr>
      <w:bookmarkStart w:id="29" w:name="_Ref66181457"/>
      <w:bookmarkStart w:id="30" w:name="_Toc66185880"/>
    </w:p>
    <w:p w:rsidR="00DC34EF" w:rsidRPr="00A20B1A" w:rsidRDefault="00DC34EF" w:rsidP="00A20B1A">
      <w:pPr>
        <w:pStyle w:val="Caption"/>
        <w:spacing w:after="0"/>
        <w:jc w:val="center"/>
        <w:rPr>
          <w:rFonts w:ascii="Garamond" w:hAnsi="Garamond" w:cstheme="minorHAnsi"/>
          <w:noProof/>
          <w:sz w:val="24"/>
          <w:szCs w:val="24"/>
        </w:rPr>
      </w:pPr>
      <w:r w:rsidRPr="00A20B1A">
        <w:rPr>
          <w:rFonts w:ascii="Garamond" w:hAnsi="Garamond" w:cstheme="minorHAnsi"/>
          <w:noProof/>
          <w:sz w:val="24"/>
          <w:szCs w:val="24"/>
        </w:rPr>
        <w:t xml:space="preserve">Table </w:t>
      </w:r>
      <w:r w:rsidRPr="00A20B1A">
        <w:rPr>
          <w:rFonts w:ascii="Garamond" w:hAnsi="Garamond" w:cstheme="minorHAnsi"/>
          <w:noProof/>
          <w:sz w:val="24"/>
          <w:szCs w:val="24"/>
        </w:rPr>
        <w:fldChar w:fldCharType="begin"/>
      </w:r>
      <w:r w:rsidRPr="00A20B1A">
        <w:rPr>
          <w:rFonts w:ascii="Garamond" w:hAnsi="Garamond" w:cstheme="minorHAnsi"/>
          <w:noProof/>
          <w:sz w:val="24"/>
          <w:szCs w:val="24"/>
        </w:rPr>
        <w:instrText xml:space="preserve"> SEQ Table \* ARABIC </w:instrText>
      </w:r>
      <w:r w:rsidRPr="00A20B1A">
        <w:rPr>
          <w:rFonts w:ascii="Garamond" w:hAnsi="Garamond" w:cstheme="minorHAnsi"/>
          <w:noProof/>
          <w:sz w:val="24"/>
          <w:szCs w:val="24"/>
        </w:rPr>
        <w:fldChar w:fldCharType="separate"/>
      </w:r>
      <w:r w:rsidRPr="00A20B1A">
        <w:rPr>
          <w:rFonts w:ascii="Garamond" w:hAnsi="Garamond" w:cstheme="minorHAnsi"/>
          <w:noProof/>
          <w:sz w:val="24"/>
          <w:szCs w:val="24"/>
        </w:rPr>
        <w:t>5</w:t>
      </w:r>
      <w:r w:rsidRPr="00A20B1A">
        <w:rPr>
          <w:rFonts w:ascii="Garamond" w:hAnsi="Garamond" w:cstheme="minorHAnsi"/>
          <w:noProof/>
          <w:sz w:val="24"/>
          <w:szCs w:val="24"/>
        </w:rPr>
        <w:fldChar w:fldCharType="end"/>
      </w:r>
      <w:bookmarkEnd w:id="29"/>
      <w:r w:rsidRPr="00A20B1A">
        <w:rPr>
          <w:rFonts w:ascii="Garamond" w:hAnsi="Garamond" w:cstheme="minorHAnsi"/>
          <w:noProof/>
          <w:sz w:val="24"/>
          <w:szCs w:val="24"/>
        </w:rPr>
        <w:t xml:space="preserve">: </w:t>
      </w:r>
      <w:bookmarkStart w:id="31" w:name="_Ref60143461"/>
      <w:bookmarkStart w:id="32" w:name="_Ref66181439"/>
      <w:r w:rsidRPr="00A20B1A">
        <w:rPr>
          <w:rFonts w:ascii="Garamond" w:hAnsi="Garamond" w:cstheme="minorHAnsi"/>
          <w:noProof/>
          <w:sz w:val="24"/>
          <w:szCs w:val="24"/>
        </w:rPr>
        <w:t>Status of Nomination in Folios and Demat Accounts</w:t>
      </w:r>
      <w:bookmarkEnd w:id="31"/>
      <w:r w:rsidRPr="00A20B1A">
        <w:rPr>
          <w:rFonts w:ascii="Garamond" w:hAnsi="Garamond" w:cstheme="minorHAnsi"/>
          <w:noProof/>
          <w:sz w:val="24"/>
          <w:szCs w:val="24"/>
        </w:rPr>
        <w:t xml:space="preserve"> as on March 31, 2020</w:t>
      </w:r>
      <w:bookmarkEnd w:id="30"/>
      <w:bookmarkEnd w:id="32"/>
    </w:p>
    <w:tbl>
      <w:tblPr>
        <w:tblStyle w:val="TableGrid"/>
        <w:tblW w:w="8642" w:type="dxa"/>
        <w:tblLayout w:type="fixed"/>
        <w:tblCellMar>
          <w:left w:w="58" w:type="dxa"/>
          <w:right w:w="58" w:type="dxa"/>
        </w:tblCellMar>
        <w:tblLook w:val="04A0" w:firstRow="1" w:lastRow="0" w:firstColumn="1" w:lastColumn="0" w:noHBand="0" w:noVBand="1"/>
      </w:tblPr>
      <w:tblGrid>
        <w:gridCol w:w="903"/>
        <w:gridCol w:w="1644"/>
        <w:gridCol w:w="1134"/>
        <w:gridCol w:w="999"/>
        <w:gridCol w:w="1258"/>
        <w:gridCol w:w="1570"/>
        <w:gridCol w:w="1134"/>
      </w:tblGrid>
      <w:tr w:rsidR="00DC34EF" w:rsidRPr="00B31643" w:rsidTr="002E1041">
        <w:tc>
          <w:tcPr>
            <w:tcW w:w="903" w:type="dxa"/>
            <w:vMerge w:val="restart"/>
          </w:tcPr>
          <w:p w:rsidR="00DC34EF" w:rsidRPr="00B31643" w:rsidRDefault="00DC34EF" w:rsidP="00DC34EF">
            <w:pPr>
              <w:jc w:val="center"/>
              <w:rPr>
                <w:rFonts w:ascii="Garamond" w:hAnsi="Garamond" w:cstheme="minorHAnsi"/>
                <w:b/>
                <w:sz w:val="22"/>
                <w:szCs w:val="22"/>
              </w:rPr>
            </w:pPr>
            <w:r w:rsidRPr="00B31643">
              <w:rPr>
                <w:rFonts w:ascii="Garamond" w:hAnsi="Garamond" w:cstheme="minorHAnsi"/>
                <w:b/>
                <w:sz w:val="22"/>
                <w:szCs w:val="22"/>
              </w:rPr>
              <w:t>Mode of Holding</w:t>
            </w:r>
          </w:p>
        </w:tc>
        <w:tc>
          <w:tcPr>
            <w:tcW w:w="1644" w:type="dxa"/>
            <w:vMerge w:val="restart"/>
          </w:tcPr>
          <w:p w:rsidR="00DC34EF" w:rsidRPr="00B31643" w:rsidRDefault="00DC34EF" w:rsidP="00DC34EF">
            <w:pPr>
              <w:jc w:val="center"/>
              <w:rPr>
                <w:rFonts w:ascii="Garamond" w:hAnsi="Garamond" w:cstheme="minorHAnsi"/>
                <w:b/>
                <w:sz w:val="22"/>
                <w:szCs w:val="22"/>
              </w:rPr>
            </w:pPr>
          </w:p>
        </w:tc>
        <w:tc>
          <w:tcPr>
            <w:tcW w:w="2133" w:type="dxa"/>
            <w:gridSpan w:val="2"/>
          </w:tcPr>
          <w:p w:rsidR="00DC34EF" w:rsidRPr="00B31643" w:rsidRDefault="00DC34EF" w:rsidP="00DC34EF">
            <w:pPr>
              <w:jc w:val="center"/>
              <w:rPr>
                <w:rFonts w:ascii="Garamond" w:hAnsi="Garamond" w:cstheme="minorHAnsi"/>
                <w:b/>
                <w:sz w:val="22"/>
                <w:szCs w:val="22"/>
              </w:rPr>
            </w:pPr>
            <w:r w:rsidRPr="00B31643">
              <w:rPr>
                <w:rFonts w:ascii="Garamond" w:hAnsi="Garamond" w:cstheme="minorHAnsi"/>
                <w:b/>
                <w:sz w:val="22"/>
                <w:szCs w:val="22"/>
              </w:rPr>
              <w:t>Single Holding</w:t>
            </w:r>
          </w:p>
        </w:tc>
        <w:tc>
          <w:tcPr>
            <w:tcW w:w="2828" w:type="dxa"/>
            <w:gridSpan w:val="2"/>
          </w:tcPr>
          <w:p w:rsidR="00DC34EF" w:rsidRPr="00B31643" w:rsidRDefault="00DC34EF" w:rsidP="00DC34EF">
            <w:pPr>
              <w:jc w:val="center"/>
              <w:rPr>
                <w:rFonts w:ascii="Garamond" w:hAnsi="Garamond" w:cstheme="minorHAnsi"/>
                <w:b/>
                <w:sz w:val="22"/>
                <w:szCs w:val="22"/>
              </w:rPr>
            </w:pPr>
            <w:r w:rsidRPr="00B31643">
              <w:rPr>
                <w:rFonts w:ascii="Garamond" w:hAnsi="Garamond" w:cstheme="minorHAnsi"/>
                <w:b/>
                <w:sz w:val="22"/>
                <w:szCs w:val="22"/>
              </w:rPr>
              <w:t>Joint Holding</w:t>
            </w:r>
          </w:p>
        </w:tc>
        <w:tc>
          <w:tcPr>
            <w:tcW w:w="1134" w:type="dxa"/>
          </w:tcPr>
          <w:p w:rsidR="00DC34EF" w:rsidRPr="00B31643" w:rsidRDefault="00DC34EF" w:rsidP="00DC34EF">
            <w:pPr>
              <w:jc w:val="center"/>
              <w:rPr>
                <w:rFonts w:ascii="Garamond" w:hAnsi="Garamond" w:cstheme="minorHAnsi"/>
                <w:b/>
                <w:sz w:val="22"/>
                <w:szCs w:val="22"/>
              </w:rPr>
            </w:pPr>
            <w:r w:rsidRPr="00B31643">
              <w:rPr>
                <w:rFonts w:ascii="Garamond" w:hAnsi="Garamond" w:cstheme="minorHAnsi"/>
                <w:b/>
                <w:sz w:val="22"/>
                <w:szCs w:val="22"/>
              </w:rPr>
              <w:t>Total</w:t>
            </w:r>
          </w:p>
        </w:tc>
      </w:tr>
      <w:tr w:rsidR="00DC34EF" w:rsidRPr="00B31643" w:rsidTr="002E1041">
        <w:tc>
          <w:tcPr>
            <w:tcW w:w="903" w:type="dxa"/>
            <w:vMerge/>
          </w:tcPr>
          <w:p w:rsidR="00DC34EF" w:rsidRPr="00B31643" w:rsidRDefault="00DC34EF" w:rsidP="00DC34EF">
            <w:pPr>
              <w:jc w:val="center"/>
              <w:rPr>
                <w:rFonts w:ascii="Garamond" w:hAnsi="Garamond" w:cstheme="minorHAnsi"/>
                <w:b/>
                <w:sz w:val="22"/>
                <w:szCs w:val="22"/>
              </w:rPr>
            </w:pPr>
          </w:p>
        </w:tc>
        <w:tc>
          <w:tcPr>
            <w:tcW w:w="1644" w:type="dxa"/>
            <w:vMerge/>
          </w:tcPr>
          <w:p w:rsidR="00DC34EF" w:rsidRPr="00B31643" w:rsidRDefault="00DC34EF" w:rsidP="00DC34EF">
            <w:pPr>
              <w:jc w:val="center"/>
              <w:rPr>
                <w:rFonts w:ascii="Garamond" w:hAnsi="Garamond" w:cstheme="minorHAnsi"/>
                <w:b/>
                <w:sz w:val="22"/>
                <w:szCs w:val="22"/>
              </w:rPr>
            </w:pPr>
          </w:p>
        </w:tc>
        <w:tc>
          <w:tcPr>
            <w:tcW w:w="1134" w:type="dxa"/>
          </w:tcPr>
          <w:p w:rsidR="00DC34EF" w:rsidRPr="00B31643" w:rsidRDefault="00DC34EF" w:rsidP="00DC34EF">
            <w:pPr>
              <w:jc w:val="center"/>
              <w:rPr>
                <w:rFonts w:ascii="Garamond" w:hAnsi="Garamond" w:cstheme="minorHAnsi"/>
                <w:b/>
                <w:sz w:val="22"/>
                <w:szCs w:val="22"/>
              </w:rPr>
            </w:pPr>
            <w:r w:rsidRPr="00B31643">
              <w:rPr>
                <w:rFonts w:ascii="Garamond" w:hAnsi="Garamond" w:cstheme="minorHAnsi"/>
                <w:b/>
                <w:sz w:val="22"/>
                <w:szCs w:val="22"/>
              </w:rPr>
              <w:t>With Nomination</w:t>
            </w:r>
          </w:p>
        </w:tc>
        <w:tc>
          <w:tcPr>
            <w:tcW w:w="999" w:type="dxa"/>
          </w:tcPr>
          <w:p w:rsidR="00DC34EF" w:rsidRPr="00B31643" w:rsidRDefault="00DC34EF" w:rsidP="00DC34EF">
            <w:pPr>
              <w:jc w:val="center"/>
              <w:rPr>
                <w:rFonts w:ascii="Garamond" w:hAnsi="Garamond" w:cstheme="minorHAnsi"/>
                <w:b/>
                <w:sz w:val="22"/>
                <w:szCs w:val="22"/>
              </w:rPr>
            </w:pPr>
            <w:r w:rsidRPr="00B31643">
              <w:rPr>
                <w:rFonts w:ascii="Garamond" w:hAnsi="Garamond" w:cstheme="minorHAnsi"/>
                <w:b/>
                <w:sz w:val="22"/>
                <w:szCs w:val="22"/>
              </w:rPr>
              <w:t>Without Nomination</w:t>
            </w:r>
          </w:p>
        </w:tc>
        <w:tc>
          <w:tcPr>
            <w:tcW w:w="1258" w:type="dxa"/>
          </w:tcPr>
          <w:p w:rsidR="00DC34EF" w:rsidRPr="00B31643" w:rsidRDefault="00DC34EF" w:rsidP="00DC34EF">
            <w:pPr>
              <w:jc w:val="center"/>
              <w:rPr>
                <w:rFonts w:ascii="Garamond" w:hAnsi="Garamond" w:cstheme="minorHAnsi"/>
                <w:b/>
                <w:sz w:val="22"/>
                <w:szCs w:val="22"/>
              </w:rPr>
            </w:pPr>
            <w:r w:rsidRPr="00B31643">
              <w:rPr>
                <w:rFonts w:ascii="Garamond" w:hAnsi="Garamond" w:cstheme="minorHAnsi"/>
                <w:b/>
                <w:sz w:val="22"/>
                <w:szCs w:val="22"/>
              </w:rPr>
              <w:t>With Nomination</w:t>
            </w:r>
          </w:p>
        </w:tc>
        <w:tc>
          <w:tcPr>
            <w:tcW w:w="1570" w:type="dxa"/>
          </w:tcPr>
          <w:p w:rsidR="00DC34EF" w:rsidRPr="00B31643" w:rsidRDefault="00DC34EF" w:rsidP="00DC34EF">
            <w:pPr>
              <w:jc w:val="center"/>
              <w:rPr>
                <w:rFonts w:ascii="Garamond" w:hAnsi="Garamond" w:cstheme="minorHAnsi"/>
                <w:b/>
                <w:sz w:val="22"/>
                <w:szCs w:val="22"/>
              </w:rPr>
            </w:pPr>
            <w:r w:rsidRPr="00B31643">
              <w:rPr>
                <w:rFonts w:ascii="Garamond" w:hAnsi="Garamond" w:cstheme="minorHAnsi"/>
                <w:b/>
                <w:sz w:val="22"/>
                <w:szCs w:val="22"/>
              </w:rPr>
              <w:t>Without Nomination</w:t>
            </w:r>
          </w:p>
        </w:tc>
        <w:tc>
          <w:tcPr>
            <w:tcW w:w="1134" w:type="dxa"/>
          </w:tcPr>
          <w:p w:rsidR="00DC34EF" w:rsidRPr="00B31643" w:rsidRDefault="00DC34EF" w:rsidP="00DC34EF">
            <w:pPr>
              <w:jc w:val="center"/>
              <w:rPr>
                <w:rFonts w:ascii="Garamond" w:hAnsi="Garamond" w:cstheme="minorHAnsi"/>
                <w:b/>
                <w:sz w:val="22"/>
                <w:szCs w:val="22"/>
              </w:rPr>
            </w:pPr>
          </w:p>
        </w:tc>
      </w:tr>
      <w:tr w:rsidR="00DC34EF" w:rsidRPr="00B31643" w:rsidTr="002E1041">
        <w:tc>
          <w:tcPr>
            <w:tcW w:w="903" w:type="dxa"/>
            <w:vMerge w:val="restart"/>
          </w:tcPr>
          <w:p w:rsidR="00DC34EF" w:rsidRPr="00B31643" w:rsidRDefault="00DC34EF" w:rsidP="00DC34EF">
            <w:pPr>
              <w:jc w:val="both"/>
              <w:rPr>
                <w:rFonts w:ascii="Garamond" w:hAnsi="Garamond" w:cstheme="minorHAnsi"/>
                <w:sz w:val="22"/>
                <w:szCs w:val="22"/>
              </w:rPr>
            </w:pPr>
          </w:p>
          <w:p w:rsidR="00DC34EF" w:rsidRPr="00B31643" w:rsidRDefault="00DC34EF" w:rsidP="00DC34EF">
            <w:pPr>
              <w:jc w:val="both"/>
              <w:rPr>
                <w:rFonts w:ascii="Garamond" w:hAnsi="Garamond" w:cstheme="minorHAnsi"/>
                <w:sz w:val="22"/>
                <w:szCs w:val="22"/>
              </w:rPr>
            </w:pPr>
          </w:p>
          <w:p w:rsidR="00DC34EF" w:rsidRPr="00B31643" w:rsidRDefault="00DC34EF" w:rsidP="00DC34EF">
            <w:pPr>
              <w:jc w:val="both"/>
              <w:rPr>
                <w:rFonts w:ascii="Garamond" w:hAnsi="Garamond" w:cstheme="minorHAnsi"/>
                <w:sz w:val="22"/>
                <w:szCs w:val="22"/>
              </w:rPr>
            </w:pPr>
            <w:r w:rsidRPr="00B31643">
              <w:rPr>
                <w:rFonts w:ascii="Garamond" w:hAnsi="Garamond" w:cstheme="minorHAnsi"/>
                <w:sz w:val="22"/>
                <w:szCs w:val="22"/>
              </w:rPr>
              <w:t>Physical</w:t>
            </w:r>
          </w:p>
        </w:tc>
        <w:tc>
          <w:tcPr>
            <w:tcW w:w="1644" w:type="dxa"/>
          </w:tcPr>
          <w:p w:rsidR="00DC34EF" w:rsidRPr="00B31643" w:rsidRDefault="00DC34EF" w:rsidP="00DC34EF">
            <w:pPr>
              <w:jc w:val="both"/>
              <w:rPr>
                <w:rFonts w:ascii="Garamond" w:hAnsi="Garamond" w:cstheme="minorHAnsi"/>
                <w:sz w:val="22"/>
                <w:szCs w:val="22"/>
              </w:rPr>
            </w:pPr>
            <w:r w:rsidRPr="00B31643">
              <w:rPr>
                <w:rFonts w:ascii="Garamond" w:hAnsi="Garamond" w:cstheme="minorHAnsi"/>
                <w:sz w:val="22"/>
                <w:szCs w:val="22"/>
              </w:rPr>
              <w:t>Number of Folios</w:t>
            </w:r>
          </w:p>
        </w:tc>
        <w:tc>
          <w:tcPr>
            <w:tcW w:w="1134" w:type="dxa"/>
          </w:tcPr>
          <w:p w:rsidR="00DC34EF" w:rsidRPr="00B31643" w:rsidRDefault="00DC34EF" w:rsidP="00DC34EF">
            <w:pPr>
              <w:jc w:val="right"/>
              <w:rPr>
                <w:rFonts w:ascii="Garamond" w:hAnsi="Garamond" w:cstheme="minorHAnsi"/>
                <w:sz w:val="22"/>
                <w:szCs w:val="22"/>
              </w:rPr>
            </w:pPr>
            <w:r w:rsidRPr="00B31643">
              <w:rPr>
                <w:rFonts w:ascii="Garamond" w:hAnsi="Garamond" w:cstheme="minorHAnsi"/>
                <w:sz w:val="22"/>
                <w:szCs w:val="22"/>
              </w:rPr>
              <w:t xml:space="preserve">2,89,331 </w:t>
            </w:r>
          </w:p>
        </w:tc>
        <w:tc>
          <w:tcPr>
            <w:tcW w:w="999" w:type="dxa"/>
          </w:tcPr>
          <w:p w:rsidR="00DC34EF" w:rsidRPr="00B31643" w:rsidRDefault="00DC34EF" w:rsidP="00DC34EF">
            <w:pPr>
              <w:jc w:val="right"/>
              <w:rPr>
                <w:rFonts w:ascii="Garamond" w:hAnsi="Garamond" w:cstheme="minorHAnsi"/>
                <w:sz w:val="22"/>
                <w:szCs w:val="22"/>
              </w:rPr>
            </w:pPr>
            <w:r w:rsidRPr="00B31643">
              <w:rPr>
                <w:rFonts w:ascii="Garamond" w:hAnsi="Garamond" w:cstheme="minorHAnsi"/>
                <w:sz w:val="22"/>
                <w:szCs w:val="22"/>
              </w:rPr>
              <w:t xml:space="preserve"> 73,07,432 </w:t>
            </w:r>
          </w:p>
        </w:tc>
        <w:tc>
          <w:tcPr>
            <w:tcW w:w="1258" w:type="dxa"/>
          </w:tcPr>
          <w:p w:rsidR="00DC34EF" w:rsidRPr="00B31643" w:rsidRDefault="00DC34EF" w:rsidP="00DC34EF">
            <w:pPr>
              <w:jc w:val="right"/>
              <w:rPr>
                <w:rFonts w:ascii="Garamond" w:hAnsi="Garamond" w:cstheme="minorHAnsi"/>
                <w:sz w:val="22"/>
                <w:szCs w:val="22"/>
              </w:rPr>
            </w:pPr>
            <w:r w:rsidRPr="00B31643">
              <w:rPr>
                <w:rFonts w:ascii="Garamond" w:hAnsi="Garamond" w:cstheme="minorHAnsi"/>
                <w:sz w:val="22"/>
                <w:szCs w:val="22"/>
              </w:rPr>
              <w:t xml:space="preserve"> 3,64,061 </w:t>
            </w:r>
          </w:p>
        </w:tc>
        <w:tc>
          <w:tcPr>
            <w:tcW w:w="1570" w:type="dxa"/>
          </w:tcPr>
          <w:p w:rsidR="00DC34EF" w:rsidRPr="00B31643" w:rsidRDefault="00DC34EF" w:rsidP="00DC34EF">
            <w:pPr>
              <w:jc w:val="right"/>
              <w:rPr>
                <w:rFonts w:ascii="Garamond" w:hAnsi="Garamond" w:cstheme="minorHAnsi"/>
                <w:sz w:val="22"/>
                <w:szCs w:val="22"/>
              </w:rPr>
            </w:pPr>
            <w:r w:rsidRPr="00B31643">
              <w:rPr>
                <w:rFonts w:ascii="Garamond" w:hAnsi="Garamond" w:cstheme="minorHAnsi"/>
                <w:sz w:val="22"/>
                <w:szCs w:val="22"/>
              </w:rPr>
              <w:t xml:space="preserve"> 30,97,046 </w:t>
            </w:r>
          </w:p>
        </w:tc>
        <w:tc>
          <w:tcPr>
            <w:tcW w:w="1134" w:type="dxa"/>
          </w:tcPr>
          <w:p w:rsidR="00DC34EF" w:rsidRPr="00B31643" w:rsidRDefault="00DC34EF" w:rsidP="00DC34EF">
            <w:pPr>
              <w:jc w:val="right"/>
              <w:rPr>
                <w:rFonts w:ascii="Garamond" w:hAnsi="Garamond" w:cstheme="minorHAnsi"/>
                <w:sz w:val="22"/>
                <w:szCs w:val="22"/>
              </w:rPr>
            </w:pPr>
            <w:r w:rsidRPr="00B31643">
              <w:rPr>
                <w:rFonts w:ascii="Garamond" w:hAnsi="Garamond" w:cstheme="minorHAnsi"/>
                <w:sz w:val="22"/>
                <w:szCs w:val="22"/>
              </w:rPr>
              <w:t>1,10,57,870</w:t>
            </w:r>
          </w:p>
        </w:tc>
      </w:tr>
      <w:tr w:rsidR="00DC34EF" w:rsidRPr="00B31643" w:rsidTr="002E1041">
        <w:tc>
          <w:tcPr>
            <w:tcW w:w="903" w:type="dxa"/>
            <w:vMerge/>
          </w:tcPr>
          <w:p w:rsidR="00DC34EF" w:rsidRPr="00B31643" w:rsidRDefault="00DC34EF" w:rsidP="00DC34EF">
            <w:pPr>
              <w:jc w:val="both"/>
              <w:rPr>
                <w:rFonts w:ascii="Garamond" w:hAnsi="Garamond" w:cstheme="minorHAnsi"/>
                <w:sz w:val="22"/>
                <w:szCs w:val="22"/>
              </w:rPr>
            </w:pPr>
          </w:p>
        </w:tc>
        <w:tc>
          <w:tcPr>
            <w:tcW w:w="1644" w:type="dxa"/>
          </w:tcPr>
          <w:p w:rsidR="00DC34EF" w:rsidRPr="00B31643" w:rsidRDefault="00DC34EF" w:rsidP="00DC34EF">
            <w:pPr>
              <w:jc w:val="both"/>
              <w:rPr>
                <w:rFonts w:ascii="Garamond" w:hAnsi="Garamond" w:cstheme="minorHAnsi"/>
                <w:sz w:val="22"/>
                <w:szCs w:val="22"/>
              </w:rPr>
            </w:pPr>
            <w:r w:rsidRPr="00B31643">
              <w:rPr>
                <w:rFonts w:ascii="Garamond" w:hAnsi="Garamond" w:cstheme="minorHAnsi"/>
                <w:sz w:val="22"/>
                <w:szCs w:val="22"/>
              </w:rPr>
              <w:t>Number of Shares (crore)</w:t>
            </w:r>
          </w:p>
        </w:tc>
        <w:tc>
          <w:tcPr>
            <w:tcW w:w="1134" w:type="dxa"/>
          </w:tcPr>
          <w:p w:rsidR="00DC34EF" w:rsidRPr="00B31643" w:rsidRDefault="00DC34EF" w:rsidP="00DC34EF">
            <w:pPr>
              <w:jc w:val="right"/>
              <w:rPr>
                <w:rFonts w:ascii="Garamond" w:hAnsi="Garamond" w:cstheme="minorHAnsi"/>
                <w:sz w:val="22"/>
                <w:szCs w:val="22"/>
              </w:rPr>
            </w:pPr>
            <w:r w:rsidRPr="00B31643">
              <w:rPr>
                <w:rFonts w:ascii="Garamond" w:hAnsi="Garamond" w:cstheme="minorHAnsi"/>
                <w:sz w:val="22"/>
                <w:szCs w:val="22"/>
              </w:rPr>
              <w:t xml:space="preserve"> 139 </w:t>
            </w:r>
          </w:p>
        </w:tc>
        <w:tc>
          <w:tcPr>
            <w:tcW w:w="999" w:type="dxa"/>
          </w:tcPr>
          <w:p w:rsidR="00DC34EF" w:rsidRPr="00B31643" w:rsidRDefault="00DC34EF" w:rsidP="00DC34EF">
            <w:pPr>
              <w:jc w:val="right"/>
              <w:rPr>
                <w:rFonts w:ascii="Garamond" w:hAnsi="Garamond" w:cstheme="minorHAnsi"/>
                <w:sz w:val="22"/>
                <w:szCs w:val="22"/>
              </w:rPr>
            </w:pPr>
            <w:r w:rsidRPr="00B31643">
              <w:rPr>
                <w:rFonts w:ascii="Garamond" w:hAnsi="Garamond" w:cstheme="minorHAnsi"/>
                <w:sz w:val="22"/>
                <w:szCs w:val="22"/>
              </w:rPr>
              <w:t xml:space="preserve"> 597 </w:t>
            </w:r>
          </w:p>
        </w:tc>
        <w:tc>
          <w:tcPr>
            <w:tcW w:w="1258" w:type="dxa"/>
          </w:tcPr>
          <w:p w:rsidR="00DC34EF" w:rsidRPr="00B31643" w:rsidRDefault="00DC34EF" w:rsidP="00DC34EF">
            <w:pPr>
              <w:jc w:val="right"/>
              <w:rPr>
                <w:rFonts w:ascii="Garamond" w:hAnsi="Garamond" w:cstheme="minorHAnsi"/>
                <w:sz w:val="22"/>
                <w:szCs w:val="22"/>
              </w:rPr>
            </w:pPr>
            <w:r w:rsidRPr="00B31643">
              <w:rPr>
                <w:rFonts w:ascii="Garamond" w:hAnsi="Garamond" w:cstheme="minorHAnsi"/>
                <w:sz w:val="22"/>
                <w:szCs w:val="22"/>
              </w:rPr>
              <w:t xml:space="preserve"> 118 </w:t>
            </w:r>
          </w:p>
        </w:tc>
        <w:tc>
          <w:tcPr>
            <w:tcW w:w="1570" w:type="dxa"/>
          </w:tcPr>
          <w:p w:rsidR="00DC34EF" w:rsidRPr="00B31643" w:rsidRDefault="00DC34EF" w:rsidP="00DC34EF">
            <w:pPr>
              <w:jc w:val="right"/>
              <w:rPr>
                <w:rFonts w:ascii="Garamond" w:hAnsi="Garamond" w:cstheme="minorHAnsi"/>
                <w:sz w:val="22"/>
                <w:szCs w:val="22"/>
              </w:rPr>
            </w:pPr>
            <w:r w:rsidRPr="00B31643">
              <w:rPr>
                <w:rFonts w:ascii="Garamond" w:hAnsi="Garamond" w:cstheme="minorHAnsi"/>
                <w:sz w:val="22"/>
                <w:szCs w:val="22"/>
              </w:rPr>
              <w:t xml:space="preserve"> 109 </w:t>
            </w:r>
          </w:p>
        </w:tc>
        <w:tc>
          <w:tcPr>
            <w:tcW w:w="1134" w:type="dxa"/>
          </w:tcPr>
          <w:p w:rsidR="00DC34EF" w:rsidRPr="00B31643" w:rsidRDefault="00DC34EF" w:rsidP="00DC34EF">
            <w:pPr>
              <w:jc w:val="right"/>
              <w:rPr>
                <w:rFonts w:ascii="Garamond" w:hAnsi="Garamond" w:cstheme="minorHAnsi"/>
                <w:sz w:val="22"/>
                <w:szCs w:val="22"/>
              </w:rPr>
            </w:pPr>
            <w:r w:rsidRPr="00B31643">
              <w:rPr>
                <w:rFonts w:ascii="Garamond" w:hAnsi="Garamond" w:cstheme="minorHAnsi"/>
                <w:sz w:val="22"/>
                <w:szCs w:val="22"/>
              </w:rPr>
              <w:t>963</w:t>
            </w:r>
          </w:p>
        </w:tc>
      </w:tr>
      <w:tr w:rsidR="00DC34EF" w:rsidRPr="00B31643" w:rsidTr="002E1041">
        <w:tc>
          <w:tcPr>
            <w:tcW w:w="8642" w:type="dxa"/>
            <w:gridSpan w:val="7"/>
          </w:tcPr>
          <w:p w:rsidR="00DC34EF" w:rsidRPr="00B31643" w:rsidRDefault="00DC34EF" w:rsidP="00DC34EF">
            <w:pPr>
              <w:jc w:val="both"/>
              <w:rPr>
                <w:rFonts w:ascii="Garamond" w:hAnsi="Garamond" w:cstheme="minorHAnsi"/>
                <w:sz w:val="22"/>
                <w:szCs w:val="22"/>
              </w:rPr>
            </w:pPr>
          </w:p>
        </w:tc>
      </w:tr>
      <w:tr w:rsidR="00DC34EF" w:rsidRPr="00B31643" w:rsidTr="002E1041">
        <w:tc>
          <w:tcPr>
            <w:tcW w:w="903" w:type="dxa"/>
            <w:vMerge w:val="restart"/>
          </w:tcPr>
          <w:p w:rsidR="00DC34EF" w:rsidRPr="00B31643" w:rsidRDefault="00DC34EF" w:rsidP="00DC34EF">
            <w:pPr>
              <w:jc w:val="both"/>
              <w:rPr>
                <w:rFonts w:ascii="Garamond" w:hAnsi="Garamond" w:cstheme="minorHAnsi"/>
                <w:sz w:val="22"/>
                <w:szCs w:val="22"/>
              </w:rPr>
            </w:pPr>
          </w:p>
          <w:p w:rsidR="00DC34EF" w:rsidRPr="00B31643" w:rsidRDefault="00DC34EF" w:rsidP="00DC34EF">
            <w:pPr>
              <w:jc w:val="both"/>
              <w:rPr>
                <w:rFonts w:ascii="Garamond" w:hAnsi="Garamond" w:cstheme="minorHAnsi"/>
                <w:sz w:val="22"/>
                <w:szCs w:val="22"/>
              </w:rPr>
            </w:pPr>
          </w:p>
          <w:p w:rsidR="00DC34EF" w:rsidRPr="00B31643" w:rsidRDefault="00DC34EF" w:rsidP="00DC34EF">
            <w:pPr>
              <w:jc w:val="both"/>
              <w:rPr>
                <w:rFonts w:ascii="Garamond" w:hAnsi="Garamond" w:cstheme="minorHAnsi"/>
                <w:sz w:val="22"/>
                <w:szCs w:val="22"/>
              </w:rPr>
            </w:pPr>
            <w:r w:rsidRPr="00B31643">
              <w:rPr>
                <w:rFonts w:ascii="Garamond" w:hAnsi="Garamond" w:cstheme="minorHAnsi"/>
                <w:sz w:val="22"/>
                <w:szCs w:val="22"/>
              </w:rPr>
              <w:t>Demat</w:t>
            </w:r>
          </w:p>
        </w:tc>
        <w:tc>
          <w:tcPr>
            <w:tcW w:w="1644" w:type="dxa"/>
          </w:tcPr>
          <w:p w:rsidR="00DC34EF" w:rsidRPr="00B31643" w:rsidRDefault="00DC34EF" w:rsidP="00DC34EF">
            <w:pPr>
              <w:jc w:val="both"/>
              <w:rPr>
                <w:rFonts w:ascii="Garamond" w:hAnsi="Garamond" w:cstheme="minorHAnsi"/>
                <w:sz w:val="22"/>
                <w:szCs w:val="22"/>
              </w:rPr>
            </w:pPr>
            <w:r w:rsidRPr="00B31643">
              <w:rPr>
                <w:rFonts w:ascii="Garamond" w:hAnsi="Garamond" w:cstheme="minorHAnsi"/>
                <w:sz w:val="22"/>
                <w:szCs w:val="22"/>
              </w:rPr>
              <w:t xml:space="preserve">Number of Distinct Demat Accounts </w:t>
            </w:r>
          </w:p>
        </w:tc>
        <w:tc>
          <w:tcPr>
            <w:tcW w:w="1134" w:type="dxa"/>
          </w:tcPr>
          <w:p w:rsidR="00DC34EF" w:rsidRPr="00B31643" w:rsidRDefault="00DC34EF" w:rsidP="00DC34EF">
            <w:pPr>
              <w:jc w:val="right"/>
              <w:rPr>
                <w:rFonts w:ascii="Garamond" w:hAnsi="Garamond" w:cstheme="minorHAnsi"/>
                <w:sz w:val="22"/>
                <w:szCs w:val="22"/>
              </w:rPr>
            </w:pPr>
            <w:r w:rsidRPr="00B31643">
              <w:rPr>
                <w:rFonts w:ascii="Garamond" w:hAnsi="Garamond" w:cstheme="minorHAnsi"/>
                <w:sz w:val="22"/>
                <w:szCs w:val="22"/>
              </w:rPr>
              <w:t xml:space="preserve">67,19,925 </w:t>
            </w:r>
          </w:p>
        </w:tc>
        <w:tc>
          <w:tcPr>
            <w:tcW w:w="999" w:type="dxa"/>
          </w:tcPr>
          <w:p w:rsidR="00DC34EF" w:rsidRPr="00B31643" w:rsidRDefault="00DC34EF" w:rsidP="00DC34EF">
            <w:pPr>
              <w:jc w:val="right"/>
              <w:rPr>
                <w:rFonts w:ascii="Garamond" w:hAnsi="Garamond" w:cstheme="minorHAnsi"/>
                <w:sz w:val="22"/>
                <w:szCs w:val="22"/>
              </w:rPr>
            </w:pPr>
            <w:r w:rsidRPr="00B31643">
              <w:rPr>
                <w:rFonts w:ascii="Garamond" w:hAnsi="Garamond" w:cstheme="minorHAnsi"/>
                <w:sz w:val="22"/>
                <w:szCs w:val="22"/>
              </w:rPr>
              <w:t xml:space="preserve"> 81,53,521 </w:t>
            </w:r>
          </w:p>
        </w:tc>
        <w:tc>
          <w:tcPr>
            <w:tcW w:w="1258" w:type="dxa"/>
          </w:tcPr>
          <w:p w:rsidR="00DC34EF" w:rsidRPr="00B31643" w:rsidRDefault="00DC34EF" w:rsidP="00DC34EF">
            <w:pPr>
              <w:jc w:val="right"/>
              <w:rPr>
                <w:rFonts w:ascii="Garamond" w:hAnsi="Garamond" w:cstheme="minorHAnsi"/>
                <w:sz w:val="22"/>
                <w:szCs w:val="22"/>
              </w:rPr>
            </w:pPr>
            <w:r w:rsidRPr="00B31643">
              <w:rPr>
                <w:rFonts w:ascii="Garamond" w:hAnsi="Garamond" w:cstheme="minorHAnsi"/>
                <w:sz w:val="22"/>
                <w:szCs w:val="22"/>
              </w:rPr>
              <w:t xml:space="preserve"> 5,61,258 </w:t>
            </w:r>
          </w:p>
        </w:tc>
        <w:tc>
          <w:tcPr>
            <w:tcW w:w="1570" w:type="dxa"/>
          </w:tcPr>
          <w:p w:rsidR="00DC34EF" w:rsidRPr="00B31643" w:rsidRDefault="00DC34EF" w:rsidP="00DC34EF">
            <w:pPr>
              <w:jc w:val="right"/>
              <w:rPr>
                <w:rFonts w:ascii="Garamond" w:hAnsi="Garamond" w:cstheme="minorHAnsi"/>
                <w:sz w:val="22"/>
                <w:szCs w:val="22"/>
              </w:rPr>
            </w:pPr>
            <w:r w:rsidRPr="00B31643">
              <w:rPr>
                <w:rFonts w:ascii="Garamond" w:hAnsi="Garamond" w:cstheme="minorHAnsi"/>
                <w:sz w:val="22"/>
                <w:szCs w:val="22"/>
              </w:rPr>
              <w:t xml:space="preserve"> 8,65,998 </w:t>
            </w:r>
          </w:p>
        </w:tc>
        <w:tc>
          <w:tcPr>
            <w:tcW w:w="1134" w:type="dxa"/>
          </w:tcPr>
          <w:p w:rsidR="00DC34EF" w:rsidRPr="00B31643" w:rsidRDefault="00DC34EF" w:rsidP="00DC34EF">
            <w:pPr>
              <w:jc w:val="right"/>
              <w:rPr>
                <w:rFonts w:ascii="Garamond" w:hAnsi="Garamond" w:cstheme="minorHAnsi"/>
                <w:sz w:val="22"/>
                <w:szCs w:val="22"/>
              </w:rPr>
            </w:pPr>
            <w:r w:rsidRPr="00B31643">
              <w:rPr>
                <w:rFonts w:ascii="Garamond" w:hAnsi="Garamond" w:cstheme="minorHAnsi"/>
                <w:sz w:val="22"/>
                <w:szCs w:val="22"/>
              </w:rPr>
              <w:t xml:space="preserve">1,63,00,702 </w:t>
            </w:r>
          </w:p>
        </w:tc>
      </w:tr>
      <w:tr w:rsidR="00DC34EF" w:rsidRPr="00B31643" w:rsidTr="002E1041">
        <w:tc>
          <w:tcPr>
            <w:tcW w:w="903" w:type="dxa"/>
            <w:vMerge/>
          </w:tcPr>
          <w:p w:rsidR="00DC34EF" w:rsidRPr="00B31643" w:rsidRDefault="00DC34EF" w:rsidP="00DC34EF">
            <w:pPr>
              <w:jc w:val="both"/>
              <w:rPr>
                <w:rFonts w:ascii="Garamond" w:hAnsi="Garamond" w:cstheme="minorHAnsi"/>
                <w:sz w:val="22"/>
                <w:szCs w:val="22"/>
              </w:rPr>
            </w:pPr>
          </w:p>
        </w:tc>
        <w:tc>
          <w:tcPr>
            <w:tcW w:w="1644" w:type="dxa"/>
          </w:tcPr>
          <w:p w:rsidR="00DC34EF" w:rsidRPr="00B31643" w:rsidRDefault="00DC34EF" w:rsidP="00DC34EF">
            <w:pPr>
              <w:jc w:val="both"/>
              <w:rPr>
                <w:rFonts w:ascii="Garamond" w:hAnsi="Garamond" w:cstheme="minorHAnsi"/>
                <w:sz w:val="22"/>
                <w:szCs w:val="22"/>
              </w:rPr>
            </w:pPr>
            <w:r w:rsidRPr="00B31643">
              <w:rPr>
                <w:rFonts w:ascii="Garamond" w:hAnsi="Garamond" w:cstheme="minorHAnsi"/>
                <w:sz w:val="22"/>
                <w:szCs w:val="22"/>
              </w:rPr>
              <w:t>Number of shares (crore)</w:t>
            </w:r>
          </w:p>
        </w:tc>
        <w:tc>
          <w:tcPr>
            <w:tcW w:w="1134" w:type="dxa"/>
          </w:tcPr>
          <w:p w:rsidR="00DC34EF" w:rsidRPr="00B31643" w:rsidRDefault="00DC34EF" w:rsidP="00DC34EF">
            <w:pPr>
              <w:jc w:val="right"/>
              <w:rPr>
                <w:rFonts w:ascii="Garamond" w:hAnsi="Garamond" w:cstheme="minorHAnsi"/>
                <w:sz w:val="22"/>
                <w:szCs w:val="22"/>
              </w:rPr>
            </w:pPr>
            <w:r w:rsidRPr="00B31643">
              <w:rPr>
                <w:rFonts w:ascii="Garamond" w:hAnsi="Garamond" w:cstheme="minorHAnsi"/>
                <w:sz w:val="22"/>
                <w:szCs w:val="22"/>
              </w:rPr>
              <w:t xml:space="preserve"> 9,061 </w:t>
            </w:r>
          </w:p>
        </w:tc>
        <w:tc>
          <w:tcPr>
            <w:tcW w:w="999" w:type="dxa"/>
          </w:tcPr>
          <w:p w:rsidR="00DC34EF" w:rsidRPr="00B31643" w:rsidRDefault="00DC34EF" w:rsidP="00DC34EF">
            <w:pPr>
              <w:jc w:val="right"/>
              <w:rPr>
                <w:rFonts w:ascii="Garamond" w:hAnsi="Garamond" w:cstheme="minorHAnsi"/>
                <w:sz w:val="22"/>
                <w:szCs w:val="22"/>
              </w:rPr>
            </w:pPr>
            <w:r w:rsidRPr="00B31643">
              <w:rPr>
                <w:rFonts w:ascii="Garamond" w:hAnsi="Garamond" w:cstheme="minorHAnsi"/>
                <w:sz w:val="22"/>
                <w:szCs w:val="22"/>
              </w:rPr>
              <w:t xml:space="preserve"> 8,624 </w:t>
            </w:r>
          </w:p>
        </w:tc>
        <w:tc>
          <w:tcPr>
            <w:tcW w:w="1258" w:type="dxa"/>
          </w:tcPr>
          <w:p w:rsidR="00DC34EF" w:rsidRPr="00B31643" w:rsidRDefault="00DC34EF" w:rsidP="00DC34EF">
            <w:pPr>
              <w:jc w:val="right"/>
              <w:rPr>
                <w:rFonts w:ascii="Garamond" w:hAnsi="Garamond" w:cstheme="minorHAnsi"/>
                <w:sz w:val="22"/>
                <w:szCs w:val="22"/>
              </w:rPr>
            </w:pPr>
            <w:r w:rsidRPr="00B31643">
              <w:rPr>
                <w:rFonts w:ascii="Garamond" w:hAnsi="Garamond" w:cstheme="minorHAnsi"/>
                <w:sz w:val="22"/>
                <w:szCs w:val="22"/>
              </w:rPr>
              <w:t xml:space="preserve"> 1,278 </w:t>
            </w:r>
          </w:p>
        </w:tc>
        <w:tc>
          <w:tcPr>
            <w:tcW w:w="1570" w:type="dxa"/>
          </w:tcPr>
          <w:p w:rsidR="00DC34EF" w:rsidRPr="00B31643" w:rsidRDefault="00DC34EF" w:rsidP="00DC34EF">
            <w:pPr>
              <w:jc w:val="right"/>
              <w:rPr>
                <w:rFonts w:ascii="Garamond" w:hAnsi="Garamond" w:cstheme="minorHAnsi"/>
                <w:sz w:val="22"/>
                <w:szCs w:val="22"/>
              </w:rPr>
            </w:pPr>
            <w:r w:rsidRPr="00B31643">
              <w:rPr>
                <w:rFonts w:ascii="Garamond" w:hAnsi="Garamond" w:cstheme="minorHAnsi"/>
                <w:sz w:val="22"/>
                <w:szCs w:val="22"/>
              </w:rPr>
              <w:t xml:space="preserve"> 2,159 </w:t>
            </w:r>
          </w:p>
        </w:tc>
        <w:tc>
          <w:tcPr>
            <w:tcW w:w="1134" w:type="dxa"/>
          </w:tcPr>
          <w:p w:rsidR="00DC34EF" w:rsidRPr="00B31643" w:rsidRDefault="00DC34EF" w:rsidP="00DC34EF">
            <w:pPr>
              <w:jc w:val="right"/>
              <w:rPr>
                <w:rFonts w:ascii="Garamond" w:hAnsi="Garamond" w:cstheme="minorHAnsi"/>
                <w:sz w:val="22"/>
                <w:szCs w:val="22"/>
              </w:rPr>
            </w:pPr>
            <w:r w:rsidRPr="00B31643">
              <w:rPr>
                <w:rFonts w:ascii="Garamond" w:hAnsi="Garamond" w:cstheme="minorHAnsi"/>
                <w:sz w:val="22"/>
                <w:szCs w:val="22"/>
              </w:rPr>
              <w:t xml:space="preserve"> 21,121 </w:t>
            </w:r>
          </w:p>
        </w:tc>
      </w:tr>
      <w:tr w:rsidR="00DC34EF" w:rsidRPr="00B31643" w:rsidTr="002E1041">
        <w:tc>
          <w:tcPr>
            <w:tcW w:w="903" w:type="dxa"/>
            <w:vMerge/>
          </w:tcPr>
          <w:p w:rsidR="00DC34EF" w:rsidRPr="00B31643" w:rsidRDefault="00DC34EF" w:rsidP="00DC34EF">
            <w:pPr>
              <w:jc w:val="both"/>
              <w:rPr>
                <w:rFonts w:ascii="Garamond" w:hAnsi="Garamond" w:cstheme="minorHAnsi"/>
                <w:sz w:val="22"/>
                <w:szCs w:val="22"/>
              </w:rPr>
            </w:pPr>
          </w:p>
        </w:tc>
        <w:tc>
          <w:tcPr>
            <w:tcW w:w="1644" w:type="dxa"/>
          </w:tcPr>
          <w:p w:rsidR="00DC34EF" w:rsidRPr="00B31643" w:rsidRDefault="00DC34EF" w:rsidP="00DC34EF">
            <w:pPr>
              <w:jc w:val="both"/>
              <w:rPr>
                <w:rFonts w:ascii="Garamond" w:hAnsi="Garamond" w:cstheme="minorHAnsi"/>
                <w:sz w:val="22"/>
                <w:szCs w:val="22"/>
              </w:rPr>
            </w:pPr>
            <w:r w:rsidRPr="00B31643">
              <w:rPr>
                <w:rFonts w:ascii="Garamond" w:hAnsi="Garamond" w:cstheme="minorHAnsi"/>
                <w:sz w:val="22"/>
                <w:szCs w:val="22"/>
              </w:rPr>
              <w:t>Value of shares (</w:t>
            </w:r>
            <w:r w:rsidRPr="00B31643">
              <w:rPr>
                <w:sz w:val="22"/>
                <w:szCs w:val="22"/>
              </w:rPr>
              <w:t>₹</w:t>
            </w:r>
            <w:r w:rsidRPr="00B31643">
              <w:rPr>
                <w:rFonts w:ascii="Garamond" w:hAnsi="Garamond" w:cstheme="minorHAnsi"/>
                <w:sz w:val="22"/>
                <w:szCs w:val="22"/>
              </w:rPr>
              <w:t xml:space="preserve"> crore)</w:t>
            </w:r>
          </w:p>
        </w:tc>
        <w:tc>
          <w:tcPr>
            <w:tcW w:w="1134" w:type="dxa"/>
          </w:tcPr>
          <w:p w:rsidR="00DC34EF" w:rsidRPr="00B31643" w:rsidRDefault="00DC34EF" w:rsidP="00DC34EF">
            <w:pPr>
              <w:jc w:val="right"/>
              <w:rPr>
                <w:rFonts w:ascii="Garamond" w:hAnsi="Garamond" w:cstheme="minorHAnsi"/>
                <w:sz w:val="22"/>
                <w:szCs w:val="22"/>
              </w:rPr>
            </w:pPr>
            <w:r w:rsidRPr="00B31643">
              <w:rPr>
                <w:rFonts w:ascii="Garamond" w:hAnsi="Garamond" w:cstheme="minorHAnsi"/>
                <w:sz w:val="22"/>
                <w:szCs w:val="22"/>
              </w:rPr>
              <w:t xml:space="preserve"> 8,80,155 </w:t>
            </w:r>
          </w:p>
        </w:tc>
        <w:tc>
          <w:tcPr>
            <w:tcW w:w="999" w:type="dxa"/>
          </w:tcPr>
          <w:p w:rsidR="00DC34EF" w:rsidRPr="00B31643" w:rsidRDefault="00DC34EF" w:rsidP="00DC34EF">
            <w:pPr>
              <w:jc w:val="right"/>
              <w:rPr>
                <w:rFonts w:ascii="Garamond" w:hAnsi="Garamond" w:cstheme="minorHAnsi"/>
                <w:sz w:val="22"/>
                <w:szCs w:val="22"/>
              </w:rPr>
            </w:pPr>
            <w:r w:rsidRPr="00B31643">
              <w:rPr>
                <w:rFonts w:ascii="Garamond" w:hAnsi="Garamond" w:cstheme="minorHAnsi"/>
                <w:sz w:val="22"/>
                <w:szCs w:val="22"/>
              </w:rPr>
              <w:t xml:space="preserve"> 5,33,232 </w:t>
            </w:r>
          </w:p>
        </w:tc>
        <w:tc>
          <w:tcPr>
            <w:tcW w:w="1258" w:type="dxa"/>
          </w:tcPr>
          <w:p w:rsidR="00DC34EF" w:rsidRPr="00B31643" w:rsidRDefault="00DC34EF" w:rsidP="00DC34EF">
            <w:pPr>
              <w:jc w:val="right"/>
              <w:rPr>
                <w:rFonts w:ascii="Garamond" w:hAnsi="Garamond" w:cstheme="minorHAnsi"/>
                <w:sz w:val="22"/>
                <w:szCs w:val="22"/>
              </w:rPr>
            </w:pPr>
            <w:r w:rsidRPr="00B31643">
              <w:rPr>
                <w:rFonts w:ascii="Garamond" w:hAnsi="Garamond" w:cstheme="minorHAnsi"/>
                <w:sz w:val="22"/>
                <w:szCs w:val="22"/>
              </w:rPr>
              <w:t xml:space="preserve"> 2,36,576 </w:t>
            </w:r>
          </w:p>
        </w:tc>
        <w:tc>
          <w:tcPr>
            <w:tcW w:w="1570" w:type="dxa"/>
          </w:tcPr>
          <w:p w:rsidR="00DC34EF" w:rsidRPr="00B31643" w:rsidRDefault="00DC34EF" w:rsidP="00DC34EF">
            <w:pPr>
              <w:jc w:val="right"/>
              <w:rPr>
                <w:rFonts w:ascii="Garamond" w:hAnsi="Garamond" w:cstheme="minorHAnsi"/>
                <w:sz w:val="22"/>
                <w:szCs w:val="22"/>
              </w:rPr>
            </w:pPr>
            <w:r w:rsidRPr="00B31643">
              <w:rPr>
                <w:rFonts w:ascii="Garamond" w:hAnsi="Garamond" w:cstheme="minorHAnsi"/>
                <w:sz w:val="22"/>
                <w:szCs w:val="22"/>
              </w:rPr>
              <w:t xml:space="preserve"> 3,83,278 </w:t>
            </w:r>
          </w:p>
        </w:tc>
        <w:tc>
          <w:tcPr>
            <w:tcW w:w="1134" w:type="dxa"/>
          </w:tcPr>
          <w:p w:rsidR="00DC34EF" w:rsidRPr="00B31643" w:rsidRDefault="00DC34EF" w:rsidP="00DC34EF">
            <w:pPr>
              <w:jc w:val="right"/>
              <w:rPr>
                <w:rFonts w:ascii="Garamond" w:hAnsi="Garamond" w:cstheme="minorHAnsi"/>
                <w:sz w:val="22"/>
                <w:szCs w:val="22"/>
              </w:rPr>
            </w:pPr>
            <w:r w:rsidRPr="00B31643">
              <w:rPr>
                <w:rFonts w:ascii="Garamond" w:hAnsi="Garamond" w:cstheme="minorHAnsi"/>
                <w:sz w:val="22"/>
                <w:szCs w:val="22"/>
              </w:rPr>
              <w:t xml:space="preserve"> 20,33,241 </w:t>
            </w:r>
          </w:p>
        </w:tc>
      </w:tr>
    </w:tbl>
    <w:p w:rsidR="00DC34EF" w:rsidRPr="00DC34EF" w:rsidRDefault="00DC34EF" w:rsidP="00DC34EF">
      <w:pPr>
        <w:jc w:val="both"/>
        <w:rPr>
          <w:rFonts w:ascii="Garamond" w:hAnsi="Garamond" w:cstheme="minorHAnsi"/>
          <w:lang w:val="en-US"/>
        </w:rPr>
      </w:pPr>
    </w:p>
    <w:p w:rsidR="00DC34EF" w:rsidRPr="00DC34EF" w:rsidRDefault="00DC34EF" w:rsidP="00DC34EF">
      <w:pPr>
        <w:jc w:val="both"/>
        <w:rPr>
          <w:rFonts w:ascii="Garamond" w:hAnsi="Garamond" w:cstheme="minorHAnsi"/>
          <w:lang w:val="en-US"/>
        </w:rPr>
      </w:pPr>
    </w:p>
    <w:p w:rsidR="00DC34EF" w:rsidRPr="00DC34EF" w:rsidRDefault="00DC34EF" w:rsidP="00456F4D">
      <w:pPr>
        <w:pStyle w:val="ListParagraph"/>
        <w:numPr>
          <w:ilvl w:val="2"/>
          <w:numId w:val="25"/>
        </w:numPr>
        <w:spacing w:after="0"/>
        <w:jc w:val="both"/>
        <w:rPr>
          <w:rFonts w:ascii="Garamond" w:hAnsi="Garamond" w:cstheme="minorHAnsi"/>
          <w:sz w:val="24"/>
          <w:szCs w:val="24"/>
        </w:rPr>
      </w:pPr>
      <w:bookmarkStart w:id="33" w:name="_Ref64731135"/>
      <w:r w:rsidRPr="00DC34EF">
        <w:rPr>
          <w:rFonts w:ascii="Garamond" w:hAnsi="Garamond" w:cstheme="minorHAnsi"/>
          <w:sz w:val="24"/>
          <w:szCs w:val="24"/>
        </w:rPr>
        <w:t>Legal and regulatory provisions available to protect the investors</w:t>
      </w:r>
      <w:bookmarkEnd w:id="33"/>
      <w:r w:rsidRPr="00DC34EF">
        <w:rPr>
          <w:rFonts w:ascii="Garamond" w:hAnsi="Garamond" w:cstheme="minorHAnsi"/>
          <w:sz w:val="24"/>
          <w:szCs w:val="24"/>
        </w:rPr>
        <w:t xml:space="preserve"> </w:t>
      </w:r>
    </w:p>
    <w:p w:rsidR="00DC34EF" w:rsidRPr="00DC34EF" w:rsidRDefault="00DC34EF" w:rsidP="00DC34EF">
      <w:pPr>
        <w:ind w:left="720"/>
        <w:jc w:val="both"/>
        <w:rPr>
          <w:rFonts w:ascii="Garamond" w:hAnsi="Garamond" w:cstheme="minorHAnsi"/>
          <w:lang w:val="en-US"/>
        </w:rPr>
      </w:pPr>
    </w:p>
    <w:p w:rsidR="00DC34EF" w:rsidRPr="00DC34EF" w:rsidRDefault="00DC34EF" w:rsidP="00456F4D">
      <w:pPr>
        <w:pStyle w:val="ListParagraph"/>
        <w:numPr>
          <w:ilvl w:val="3"/>
          <w:numId w:val="25"/>
        </w:numPr>
        <w:spacing w:after="0" w:line="240" w:lineRule="auto"/>
        <w:ind w:left="1134" w:hanging="57"/>
        <w:jc w:val="both"/>
        <w:rPr>
          <w:rFonts w:ascii="Garamond" w:hAnsi="Garamond" w:cstheme="minorHAnsi"/>
          <w:sz w:val="24"/>
          <w:szCs w:val="24"/>
        </w:rPr>
      </w:pPr>
      <w:bookmarkStart w:id="34" w:name="_Ref64731401"/>
      <w:r w:rsidRPr="00B31643">
        <w:rPr>
          <w:rFonts w:ascii="Garamond" w:eastAsiaTheme="minorHAnsi" w:hAnsi="Garamond" w:cstheme="minorHAnsi"/>
          <w:sz w:val="24"/>
          <w:szCs w:val="24"/>
        </w:rPr>
        <w:t>Unclaimed shares pertaining to bonus, split, consolidation etc. are required to be credited into Suspense Account, similar to unclaimed shares in public issues. In this regard, unclaimed physical shares are required to be demated and credited to Unclaimed Suspense Account and those in demat mode are required to be credited to the Demat Suspense Account</w:t>
      </w:r>
      <w:r w:rsidRPr="00DC34EF">
        <w:rPr>
          <w:rFonts w:ascii="Garamond" w:hAnsi="Garamond" w:cstheme="minorHAnsi"/>
          <w:sz w:val="24"/>
          <w:szCs w:val="24"/>
        </w:rPr>
        <w:t xml:space="preserve"> </w:t>
      </w:r>
      <w:r w:rsidRPr="00DC34EF">
        <w:rPr>
          <w:rStyle w:val="FootnoteReference"/>
          <w:rFonts w:ascii="Garamond" w:hAnsi="Garamond" w:cstheme="minorHAnsi"/>
          <w:sz w:val="24"/>
          <w:szCs w:val="24"/>
        </w:rPr>
        <w:footnoteReference w:id="26"/>
      </w:r>
      <w:r w:rsidRPr="00DC34EF">
        <w:rPr>
          <w:rFonts w:ascii="Garamond" w:hAnsi="Garamond" w:cstheme="minorHAnsi"/>
          <w:sz w:val="24"/>
          <w:szCs w:val="24"/>
        </w:rPr>
        <w:t>. Corporate benefits accruing on these shares are also required to be credited to the aforesaid suspense accounts, and their voting rights remains frozen.</w:t>
      </w:r>
      <w:bookmarkEnd w:id="34"/>
      <w:r w:rsidRPr="00DC34EF">
        <w:rPr>
          <w:rFonts w:ascii="Garamond" w:hAnsi="Garamond" w:cstheme="minorHAnsi"/>
          <w:sz w:val="24"/>
          <w:szCs w:val="24"/>
        </w:rPr>
        <w:t xml:space="preserve"> </w:t>
      </w:r>
    </w:p>
    <w:p w:rsidR="00DC34EF" w:rsidRPr="00DC34EF" w:rsidRDefault="00DC34EF" w:rsidP="00DC34EF">
      <w:pPr>
        <w:ind w:left="720"/>
        <w:jc w:val="both"/>
        <w:rPr>
          <w:rFonts w:ascii="Garamond" w:hAnsi="Garamond" w:cstheme="minorHAnsi"/>
          <w:lang w:val="en-US"/>
        </w:rPr>
      </w:pPr>
    </w:p>
    <w:p w:rsidR="00DC34EF" w:rsidRPr="00DC34EF" w:rsidRDefault="00DC34EF" w:rsidP="00456F4D">
      <w:pPr>
        <w:pStyle w:val="ListParagraph"/>
        <w:numPr>
          <w:ilvl w:val="3"/>
          <w:numId w:val="25"/>
        </w:numPr>
        <w:spacing w:after="0"/>
        <w:jc w:val="both"/>
        <w:rPr>
          <w:rFonts w:ascii="Garamond" w:hAnsi="Garamond" w:cstheme="minorHAnsi"/>
          <w:sz w:val="24"/>
          <w:szCs w:val="24"/>
        </w:rPr>
      </w:pPr>
      <w:r w:rsidRPr="00DC34EF">
        <w:rPr>
          <w:rFonts w:ascii="Garamond" w:hAnsi="Garamond" w:cstheme="minorHAnsi"/>
          <w:sz w:val="24"/>
          <w:szCs w:val="24"/>
        </w:rPr>
        <w:t xml:space="preserve">Structured mechanism to monitor unclaimed assets in its year of generation </w:t>
      </w:r>
      <w:r w:rsidRPr="0082554C">
        <w:rPr>
          <w:rFonts w:ascii="Garamond" w:hAnsi="Garamond" w:cstheme="minorHAnsi"/>
          <w:bCs/>
          <w:sz w:val="24"/>
          <w:szCs w:val="24"/>
        </w:rPr>
        <w:t>(T)</w:t>
      </w:r>
      <w:r w:rsidRPr="00DC34EF">
        <w:rPr>
          <w:rFonts w:ascii="Garamond" w:hAnsi="Garamond" w:cstheme="minorHAnsi"/>
          <w:sz w:val="24"/>
          <w:szCs w:val="24"/>
        </w:rPr>
        <w:t xml:space="preserve"> </w:t>
      </w:r>
    </w:p>
    <w:p w:rsidR="00DC34EF" w:rsidRPr="00DC34EF" w:rsidRDefault="00DC34EF" w:rsidP="00B31643">
      <w:pPr>
        <w:ind w:left="1077"/>
        <w:jc w:val="both"/>
        <w:rPr>
          <w:rFonts w:ascii="Garamond" w:hAnsi="Garamond" w:cstheme="minorHAnsi"/>
          <w:lang w:val="en-US"/>
        </w:rPr>
      </w:pPr>
      <w:r w:rsidRPr="00DC34EF">
        <w:rPr>
          <w:rFonts w:ascii="Garamond" w:hAnsi="Garamond" w:cstheme="minorHAnsi"/>
          <w:lang w:val="en-US"/>
        </w:rPr>
        <w:t xml:space="preserve">It is </w:t>
      </w:r>
      <w:r w:rsidRPr="00B31643">
        <w:rPr>
          <w:rFonts w:ascii="Garamond" w:hAnsi="Garamond" w:cstheme="minorHAnsi"/>
          <w:b/>
          <w:bCs/>
          <w:lang w:val="en-US"/>
        </w:rPr>
        <w:t>recommended</w:t>
      </w:r>
      <w:r w:rsidRPr="00DC34EF">
        <w:rPr>
          <w:rFonts w:ascii="Garamond" w:hAnsi="Garamond" w:cstheme="minorHAnsi"/>
          <w:lang w:val="en-US"/>
        </w:rPr>
        <w:t xml:space="preserve"> that the suspense accounts detailed in paragraph above be monitored in T, so that remedial measures can be drafted forthwith to address the underlying issue. The inspection of RTAs includes examination of suspense accounts to verify compliance norms thereof and to ascertain that there is no irregularity in the claims from these accounts. Since, inspection is on sample basis and does not include all the RTA, it is recommended that this monitoring has to be done from the point of view of listed companies in order evolve any policy measures in this regard.  </w:t>
      </w:r>
    </w:p>
    <w:p w:rsidR="00DC34EF" w:rsidRPr="00DC34EF" w:rsidRDefault="00DC34EF" w:rsidP="00B31643">
      <w:pPr>
        <w:ind w:left="1077"/>
        <w:jc w:val="both"/>
        <w:rPr>
          <w:rFonts w:ascii="Garamond" w:hAnsi="Garamond" w:cstheme="minorHAnsi"/>
          <w:lang w:val="en-US"/>
        </w:rPr>
      </w:pPr>
    </w:p>
    <w:p w:rsidR="00DC34EF" w:rsidRPr="00DC34EF" w:rsidRDefault="00DC34EF" w:rsidP="00B31643">
      <w:pPr>
        <w:ind w:left="1077"/>
        <w:jc w:val="both"/>
        <w:rPr>
          <w:rFonts w:ascii="Garamond" w:hAnsi="Garamond" w:cstheme="minorHAnsi"/>
          <w:lang w:val="en-US"/>
        </w:rPr>
      </w:pPr>
      <w:r w:rsidRPr="00DC34EF">
        <w:rPr>
          <w:rFonts w:ascii="Garamond" w:hAnsi="Garamond" w:cstheme="minorHAnsi"/>
          <w:lang w:val="en-US"/>
        </w:rPr>
        <w:t>Having sub accounts for these suspense account, capturing the individual details of all the investors, will enhance the monitoring of these accounts, especially on outflow on account of claims. Accordingly, it is recommended that suspense demat accounts should have sub-accounts</w:t>
      </w:r>
      <w:r w:rsidRPr="00DC34EF">
        <w:rPr>
          <w:rStyle w:val="FootnoteReference"/>
          <w:rFonts w:ascii="Garamond" w:hAnsi="Garamond" w:cstheme="minorHAnsi"/>
          <w:lang w:val="en-US"/>
        </w:rPr>
        <w:footnoteReference w:id="27"/>
      </w:r>
      <w:r w:rsidRPr="00DC34EF">
        <w:rPr>
          <w:rFonts w:ascii="Garamond" w:hAnsi="Garamond" w:cstheme="minorHAnsi"/>
          <w:lang w:val="en-US"/>
        </w:rPr>
        <w:t xml:space="preserve">. </w:t>
      </w:r>
    </w:p>
    <w:p w:rsidR="00DC34EF" w:rsidRPr="00DC34EF" w:rsidRDefault="00DC34EF" w:rsidP="00DC34EF">
      <w:pPr>
        <w:ind w:left="720"/>
        <w:jc w:val="both"/>
        <w:rPr>
          <w:rFonts w:ascii="Garamond" w:hAnsi="Garamond" w:cstheme="minorHAnsi"/>
          <w:lang w:val="en-US"/>
        </w:rPr>
      </w:pPr>
    </w:p>
    <w:p w:rsidR="00DC34EF" w:rsidRPr="00A20B1A" w:rsidRDefault="00DC34EF" w:rsidP="00456F4D">
      <w:pPr>
        <w:pStyle w:val="ListParagraph"/>
        <w:numPr>
          <w:ilvl w:val="3"/>
          <w:numId w:val="25"/>
        </w:numPr>
        <w:spacing w:after="0"/>
        <w:jc w:val="both"/>
        <w:rPr>
          <w:rFonts w:ascii="Garamond" w:hAnsi="Garamond" w:cstheme="minorHAnsi"/>
          <w:sz w:val="24"/>
          <w:szCs w:val="24"/>
        </w:rPr>
      </w:pPr>
      <w:r w:rsidRPr="00DC34EF">
        <w:rPr>
          <w:rFonts w:ascii="Garamond" w:hAnsi="Garamond" w:cstheme="minorHAnsi"/>
          <w:sz w:val="24"/>
          <w:szCs w:val="24"/>
        </w:rPr>
        <w:t xml:space="preserve">Where the dividend payment remains unclaimed for seven years, the underlying shares, </w:t>
      </w:r>
      <w:r w:rsidRPr="00A20B1A">
        <w:rPr>
          <w:rFonts w:ascii="Garamond" w:hAnsi="Garamond" w:cstheme="minorHAnsi"/>
          <w:sz w:val="24"/>
          <w:szCs w:val="24"/>
        </w:rPr>
        <w:t>w</w:t>
      </w:r>
      <w:r w:rsidR="00B31643" w:rsidRPr="00A20B1A">
        <w:rPr>
          <w:rFonts w:ascii="Garamond" w:hAnsi="Garamond" w:cstheme="minorHAnsi"/>
          <w:sz w:val="24"/>
          <w:szCs w:val="24"/>
        </w:rPr>
        <w:t>he</w:t>
      </w:r>
      <w:r w:rsidRPr="00A20B1A">
        <w:rPr>
          <w:rFonts w:ascii="Garamond" w:hAnsi="Garamond" w:cstheme="minorHAnsi"/>
          <w:sz w:val="24"/>
          <w:szCs w:val="24"/>
        </w:rPr>
        <w:t>ther it is</w:t>
      </w:r>
    </w:p>
    <w:p w:rsidR="00DC34EF" w:rsidRPr="00A20B1A" w:rsidRDefault="00DC34EF" w:rsidP="00456F4D">
      <w:pPr>
        <w:pStyle w:val="ListParagraph"/>
        <w:numPr>
          <w:ilvl w:val="0"/>
          <w:numId w:val="27"/>
        </w:numPr>
        <w:spacing w:after="0" w:line="240" w:lineRule="auto"/>
        <w:ind w:left="2444" w:hanging="357"/>
        <w:jc w:val="both"/>
        <w:rPr>
          <w:rFonts w:ascii="Garamond" w:hAnsi="Garamond" w:cstheme="minorHAnsi"/>
          <w:sz w:val="24"/>
          <w:szCs w:val="24"/>
        </w:rPr>
      </w:pPr>
      <w:r w:rsidRPr="00A20B1A">
        <w:rPr>
          <w:rFonts w:ascii="Garamond" w:hAnsi="Garamond" w:cstheme="minorHAnsi"/>
          <w:sz w:val="24"/>
          <w:szCs w:val="24"/>
        </w:rPr>
        <w:t xml:space="preserve">in physical or in demat mode </w:t>
      </w:r>
    </w:p>
    <w:p w:rsidR="00DC34EF" w:rsidRPr="00A20B1A" w:rsidRDefault="00DC34EF" w:rsidP="00456F4D">
      <w:pPr>
        <w:pStyle w:val="ListParagraph"/>
        <w:numPr>
          <w:ilvl w:val="0"/>
          <w:numId w:val="27"/>
        </w:numPr>
        <w:spacing w:after="0" w:line="240" w:lineRule="auto"/>
        <w:ind w:left="2444" w:hanging="357"/>
        <w:jc w:val="both"/>
        <w:rPr>
          <w:rFonts w:ascii="Garamond" w:hAnsi="Garamond" w:cstheme="minorHAnsi"/>
          <w:sz w:val="24"/>
          <w:szCs w:val="24"/>
        </w:rPr>
      </w:pPr>
      <w:r w:rsidRPr="00A20B1A">
        <w:rPr>
          <w:rFonts w:ascii="Garamond" w:hAnsi="Garamond" w:cstheme="minorHAnsi"/>
          <w:sz w:val="24"/>
          <w:szCs w:val="24"/>
        </w:rPr>
        <w:t>held by the investor or is unclaimed,</w:t>
      </w:r>
    </w:p>
    <w:p w:rsidR="00DC34EF" w:rsidRPr="00DC34EF" w:rsidRDefault="00DC34EF" w:rsidP="00DC34EF">
      <w:pPr>
        <w:ind w:left="1728"/>
        <w:jc w:val="both"/>
        <w:rPr>
          <w:rFonts w:ascii="Garamond" w:hAnsi="Garamond" w:cstheme="minorHAnsi"/>
          <w:lang w:val="en-US"/>
        </w:rPr>
      </w:pPr>
      <w:r w:rsidRPr="00A20B1A">
        <w:rPr>
          <w:rFonts w:ascii="Garamond" w:hAnsi="Garamond" w:cstheme="minorHAnsi"/>
          <w:lang w:val="en-US"/>
        </w:rPr>
        <w:t>are required to be credited to IE</w:t>
      </w:r>
      <w:r w:rsidR="00B31643" w:rsidRPr="00A20B1A">
        <w:rPr>
          <w:rFonts w:ascii="Garamond" w:hAnsi="Garamond" w:cstheme="minorHAnsi"/>
          <w:lang w:val="en-US"/>
        </w:rPr>
        <w:t>PF</w:t>
      </w:r>
      <w:r w:rsidRPr="00A20B1A">
        <w:rPr>
          <w:rFonts w:ascii="Garamond" w:hAnsi="Garamond" w:cstheme="minorHAnsi"/>
          <w:lang w:val="en-US"/>
        </w:rPr>
        <w:t>,</w:t>
      </w:r>
      <w:r w:rsidRPr="00DC34EF">
        <w:rPr>
          <w:rFonts w:ascii="Garamond" w:hAnsi="Garamond" w:cstheme="minorHAnsi"/>
          <w:lang w:val="en-US"/>
        </w:rPr>
        <w:t xml:space="preserve"> along with the unclaimed dividend, u/s 124 (6) and 124 (5) r/w 125 (2) (c) of the Companies Act, 2013, respectively.</w:t>
      </w:r>
    </w:p>
    <w:p w:rsidR="00DC34EF" w:rsidRPr="00DC34EF" w:rsidRDefault="00DC34EF" w:rsidP="00DC34EF">
      <w:pPr>
        <w:jc w:val="both"/>
        <w:rPr>
          <w:rFonts w:ascii="Garamond" w:hAnsi="Garamond" w:cstheme="minorHAnsi"/>
          <w:lang w:val="en-US"/>
        </w:rPr>
      </w:pPr>
    </w:p>
    <w:p w:rsidR="00DC34EF" w:rsidRPr="00DC34EF" w:rsidRDefault="00DC34EF" w:rsidP="00456F4D">
      <w:pPr>
        <w:pStyle w:val="ListParagraph"/>
        <w:numPr>
          <w:ilvl w:val="3"/>
          <w:numId w:val="25"/>
        </w:numPr>
        <w:spacing w:after="0" w:line="240" w:lineRule="auto"/>
        <w:jc w:val="both"/>
        <w:rPr>
          <w:rFonts w:ascii="Garamond" w:hAnsi="Garamond" w:cstheme="minorHAnsi"/>
          <w:sz w:val="24"/>
          <w:szCs w:val="24"/>
        </w:rPr>
      </w:pPr>
      <w:r w:rsidRPr="00DC34EF">
        <w:rPr>
          <w:rFonts w:ascii="Garamond" w:hAnsi="Garamond" w:cstheme="minorHAnsi"/>
          <w:sz w:val="24"/>
          <w:szCs w:val="24"/>
        </w:rPr>
        <w:t xml:space="preserve">Given benefits that accrue to investors through dematerialization of securities, the following issuances by listed companies are allowed only in demat mode; </w:t>
      </w:r>
    </w:p>
    <w:p w:rsidR="00DC34EF" w:rsidRPr="00DC34EF" w:rsidRDefault="00DC34EF" w:rsidP="00456F4D">
      <w:pPr>
        <w:pStyle w:val="ListParagraph"/>
        <w:numPr>
          <w:ilvl w:val="0"/>
          <w:numId w:val="23"/>
        </w:numPr>
        <w:spacing w:after="0" w:line="240" w:lineRule="auto"/>
        <w:jc w:val="both"/>
        <w:rPr>
          <w:rFonts w:ascii="Garamond" w:hAnsi="Garamond" w:cstheme="minorHAnsi"/>
          <w:sz w:val="24"/>
          <w:szCs w:val="24"/>
        </w:rPr>
      </w:pPr>
      <w:r w:rsidRPr="00DC34EF">
        <w:rPr>
          <w:rFonts w:ascii="Garamond" w:hAnsi="Garamond" w:cstheme="minorHAnsi"/>
          <w:sz w:val="24"/>
          <w:szCs w:val="24"/>
        </w:rPr>
        <w:t>Transfer of physical shares - w.e.f. April 01, 2019</w:t>
      </w:r>
      <w:r w:rsidRPr="00DC34EF">
        <w:rPr>
          <w:rStyle w:val="FootnoteReference"/>
          <w:rFonts w:ascii="Garamond" w:hAnsi="Garamond" w:cstheme="minorHAnsi"/>
          <w:sz w:val="24"/>
          <w:szCs w:val="24"/>
        </w:rPr>
        <w:footnoteReference w:id="28"/>
      </w:r>
    </w:p>
    <w:p w:rsidR="00DC34EF" w:rsidRPr="00DC34EF" w:rsidRDefault="00DC34EF" w:rsidP="00456F4D">
      <w:pPr>
        <w:pStyle w:val="ListParagraph"/>
        <w:numPr>
          <w:ilvl w:val="0"/>
          <w:numId w:val="23"/>
        </w:numPr>
        <w:spacing w:after="0" w:line="240" w:lineRule="auto"/>
        <w:jc w:val="both"/>
        <w:rPr>
          <w:rFonts w:ascii="Garamond" w:hAnsi="Garamond" w:cstheme="minorHAnsi"/>
          <w:sz w:val="24"/>
          <w:szCs w:val="24"/>
        </w:rPr>
      </w:pPr>
      <w:r w:rsidRPr="00DC34EF">
        <w:rPr>
          <w:rFonts w:ascii="Garamond" w:hAnsi="Garamond" w:cstheme="minorHAnsi"/>
          <w:sz w:val="24"/>
          <w:szCs w:val="24"/>
        </w:rPr>
        <w:t>Transfer of re-lodged shares - w.e.f. September 07, 2020</w:t>
      </w:r>
      <w:r w:rsidRPr="00DC34EF">
        <w:rPr>
          <w:rStyle w:val="FootnoteReference"/>
          <w:rFonts w:ascii="Garamond" w:hAnsi="Garamond" w:cstheme="minorHAnsi"/>
          <w:sz w:val="24"/>
          <w:szCs w:val="24"/>
        </w:rPr>
        <w:footnoteReference w:id="29"/>
      </w:r>
    </w:p>
    <w:p w:rsidR="00DC34EF" w:rsidRPr="00DC34EF" w:rsidRDefault="00DC34EF" w:rsidP="00B31643">
      <w:pPr>
        <w:ind w:left="1440"/>
        <w:jc w:val="both"/>
        <w:rPr>
          <w:rFonts w:ascii="Garamond" w:hAnsi="Garamond" w:cstheme="minorHAnsi"/>
          <w:lang w:val="en-US"/>
        </w:rPr>
      </w:pPr>
      <w:r w:rsidRPr="00DC34EF">
        <w:rPr>
          <w:rFonts w:ascii="Garamond" w:hAnsi="Garamond" w:cstheme="minorHAnsi"/>
          <w:lang w:val="en-US"/>
        </w:rPr>
        <w:t xml:space="preserve">Further, the proposal to issue of bonus and duplicate shares in demat mode is also under consideration.  </w:t>
      </w:r>
    </w:p>
    <w:p w:rsidR="00DC34EF" w:rsidRDefault="00DC34EF" w:rsidP="00DC34EF">
      <w:pPr>
        <w:jc w:val="both"/>
        <w:rPr>
          <w:rFonts w:ascii="Garamond" w:hAnsi="Garamond" w:cstheme="minorHAnsi"/>
          <w:lang w:val="en-US"/>
        </w:rPr>
      </w:pPr>
    </w:p>
    <w:p w:rsidR="00A20B1A" w:rsidRDefault="00A20B1A" w:rsidP="00DC34EF">
      <w:pPr>
        <w:jc w:val="both"/>
        <w:rPr>
          <w:rFonts w:ascii="Garamond" w:hAnsi="Garamond" w:cstheme="minorHAnsi"/>
          <w:lang w:val="en-US"/>
        </w:rPr>
      </w:pPr>
    </w:p>
    <w:p w:rsidR="00A20B1A" w:rsidRPr="00DC34EF" w:rsidRDefault="00A20B1A" w:rsidP="00DC34EF">
      <w:pPr>
        <w:jc w:val="both"/>
        <w:rPr>
          <w:rFonts w:ascii="Garamond" w:hAnsi="Garamond" w:cstheme="minorHAnsi"/>
          <w:lang w:val="en-US"/>
        </w:rPr>
      </w:pPr>
    </w:p>
    <w:p w:rsidR="00DC34EF" w:rsidRPr="00DC34EF" w:rsidRDefault="00DC34EF" w:rsidP="00456F4D">
      <w:pPr>
        <w:pStyle w:val="ListParagraph"/>
        <w:numPr>
          <w:ilvl w:val="2"/>
          <w:numId w:val="25"/>
        </w:numPr>
        <w:spacing w:after="0"/>
        <w:jc w:val="both"/>
        <w:rPr>
          <w:rFonts w:ascii="Garamond" w:hAnsi="Garamond" w:cstheme="minorHAnsi"/>
          <w:sz w:val="24"/>
          <w:szCs w:val="24"/>
        </w:rPr>
      </w:pPr>
      <w:bookmarkStart w:id="35" w:name="_Ref60307650"/>
      <w:r w:rsidRPr="00DC34EF">
        <w:rPr>
          <w:rFonts w:ascii="Garamond" w:hAnsi="Garamond" w:cstheme="minorHAnsi"/>
          <w:sz w:val="24"/>
          <w:szCs w:val="24"/>
        </w:rPr>
        <w:lastRenderedPageBreak/>
        <w:t>Size of Unclaimed securities:</w:t>
      </w:r>
      <w:bookmarkEnd w:id="35"/>
    </w:p>
    <w:p w:rsidR="00DC34EF" w:rsidRPr="00DC34EF" w:rsidRDefault="00B31643" w:rsidP="00DC34EF">
      <w:pPr>
        <w:ind w:left="720"/>
        <w:jc w:val="both"/>
        <w:rPr>
          <w:rFonts w:ascii="Garamond" w:hAnsi="Garamond" w:cstheme="minorHAnsi"/>
          <w:lang w:val="en-US"/>
        </w:rPr>
      </w:pPr>
      <w:r>
        <w:rPr>
          <w:rFonts w:ascii="Garamond" w:hAnsi="Garamond" w:cstheme="minorHAnsi"/>
          <w:lang w:val="en-US"/>
        </w:rPr>
        <w:t xml:space="preserve">The size and </w:t>
      </w:r>
      <w:r w:rsidRPr="00A20B1A">
        <w:rPr>
          <w:rFonts w:ascii="Garamond" w:hAnsi="Garamond" w:cstheme="minorHAnsi"/>
          <w:lang w:val="en-US"/>
        </w:rPr>
        <w:t>extent</w:t>
      </w:r>
      <w:r w:rsidR="00DC34EF" w:rsidRPr="00DC34EF">
        <w:rPr>
          <w:rFonts w:ascii="Garamond" w:hAnsi="Garamond" w:cstheme="minorHAnsi"/>
          <w:lang w:val="en-US"/>
        </w:rPr>
        <w:t xml:space="preserve"> of shares transferred to IEPF, where the dividend payment is unclaimed for seven years are given in table below</w:t>
      </w:r>
      <w:r w:rsidR="00DC34EF" w:rsidRPr="00DC34EF">
        <w:rPr>
          <w:rStyle w:val="FootnoteReference"/>
          <w:rFonts w:ascii="Garamond" w:hAnsi="Garamond" w:cstheme="minorHAnsi"/>
        </w:rPr>
        <w:footnoteReference w:id="30"/>
      </w:r>
      <w:r w:rsidR="00DC34EF" w:rsidRPr="00DC34EF">
        <w:rPr>
          <w:rFonts w:ascii="Garamond" w:hAnsi="Garamond" w:cstheme="minorHAnsi"/>
          <w:lang w:val="en-US"/>
        </w:rPr>
        <w:t xml:space="preserve"> </w:t>
      </w:r>
    </w:p>
    <w:p w:rsidR="00DC34EF" w:rsidRPr="00DC34EF" w:rsidRDefault="00DC34EF" w:rsidP="00DC34EF">
      <w:pPr>
        <w:pStyle w:val="Caption"/>
        <w:spacing w:after="0"/>
        <w:jc w:val="center"/>
        <w:rPr>
          <w:rFonts w:ascii="Garamond" w:hAnsi="Garamond" w:cstheme="minorHAnsi"/>
          <w:sz w:val="24"/>
          <w:szCs w:val="24"/>
        </w:rPr>
      </w:pPr>
    </w:p>
    <w:p w:rsidR="00DC34EF" w:rsidRPr="00DC34EF" w:rsidRDefault="00DC34EF" w:rsidP="00DC34EF">
      <w:pPr>
        <w:pStyle w:val="Caption"/>
        <w:spacing w:after="0"/>
        <w:jc w:val="center"/>
        <w:rPr>
          <w:rFonts w:ascii="Garamond" w:hAnsi="Garamond" w:cstheme="minorHAnsi"/>
          <w:sz w:val="24"/>
          <w:szCs w:val="24"/>
        </w:rPr>
      </w:pPr>
      <w:bookmarkStart w:id="36" w:name="_Ref66181459"/>
      <w:bookmarkStart w:id="37" w:name="_Toc66185881"/>
      <w:r w:rsidRPr="00DC34EF">
        <w:rPr>
          <w:rFonts w:ascii="Garamond" w:hAnsi="Garamond" w:cstheme="minorHAnsi"/>
          <w:sz w:val="24"/>
          <w:szCs w:val="24"/>
        </w:rPr>
        <w:t xml:space="preserve">Table </w:t>
      </w:r>
      <w:r w:rsidRPr="00DC34EF">
        <w:rPr>
          <w:rFonts w:ascii="Garamond" w:hAnsi="Garamond" w:cstheme="minorHAnsi"/>
          <w:sz w:val="24"/>
          <w:szCs w:val="24"/>
        </w:rPr>
        <w:fldChar w:fldCharType="begin"/>
      </w:r>
      <w:r w:rsidRPr="00DC34EF">
        <w:rPr>
          <w:rFonts w:ascii="Garamond" w:hAnsi="Garamond" w:cstheme="minorHAnsi"/>
          <w:sz w:val="24"/>
          <w:szCs w:val="24"/>
        </w:rPr>
        <w:instrText xml:space="preserve"> SEQ Table \* ARABIC </w:instrText>
      </w:r>
      <w:r w:rsidRPr="00DC34EF">
        <w:rPr>
          <w:rFonts w:ascii="Garamond" w:hAnsi="Garamond" w:cstheme="minorHAnsi"/>
          <w:sz w:val="24"/>
          <w:szCs w:val="24"/>
        </w:rPr>
        <w:fldChar w:fldCharType="separate"/>
      </w:r>
      <w:r w:rsidRPr="00DC34EF">
        <w:rPr>
          <w:rFonts w:ascii="Garamond" w:hAnsi="Garamond" w:cstheme="minorHAnsi"/>
          <w:noProof/>
          <w:sz w:val="24"/>
          <w:szCs w:val="24"/>
        </w:rPr>
        <w:t>6</w:t>
      </w:r>
      <w:r w:rsidRPr="00DC34EF">
        <w:rPr>
          <w:rFonts w:ascii="Garamond" w:hAnsi="Garamond" w:cstheme="minorHAnsi"/>
          <w:sz w:val="24"/>
          <w:szCs w:val="24"/>
        </w:rPr>
        <w:fldChar w:fldCharType="end"/>
      </w:r>
      <w:bookmarkEnd w:id="36"/>
      <w:r w:rsidRPr="00DC34EF">
        <w:rPr>
          <w:rFonts w:ascii="Garamond" w:hAnsi="Garamond" w:cstheme="minorHAnsi"/>
          <w:sz w:val="24"/>
          <w:szCs w:val="24"/>
        </w:rPr>
        <w:t xml:space="preserve">: </w:t>
      </w:r>
      <w:bookmarkStart w:id="38" w:name="_Ref60143466"/>
      <w:bookmarkStart w:id="39" w:name="_Ref66181441"/>
      <w:r w:rsidRPr="00DC34EF">
        <w:rPr>
          <w:rFonts w:ascii="Garamond" w:hAnsi="Garamond" w:cstheme="minorHAnsi"/>
          <w:sz w:val="24"/>
          <w:szCs w:val="24"/>
        </w:rPr>
        <w:t>Shares of Listed Companies transferred to IEPF</w:t>
      </w:r>
      <w:bookmarkEnd w:id="38"/>
      <w:r w:rsidRPr="00DC34EF">
        <w:rPr>
          <w:rFonts w:ascii="Garamond" w:hAnsi="Garamond" w:cstheme="minorHAnsi"/>
          <w:sz w:val="24"/>
          <w:szCs w:val="24"/>
        </w:rPr>
        <w:t xml:space="preserve"> as on March 31, 2020</w:t>
      </w:r>
      <w:bookmarkEnd w:id="37"/>
      <w:bookmarkEnd w:id="39"/>
    </w:p>
    <w:p w:rsidR="00DC34EF" w:rsidRPr="00DC34EF" w:rsidRDefault="00DC34EF" w:rsidP="00DC34EF">
      <w:pPr>
        <w:pStyle w:val="Caption"/>
        <w:spacing w:after="0"/>
        <w:jc w:val="center"/>
        <w:rPr>
          <w:rFonts w:ascii="Garamond" w:hAnsi="Garamond" w:cstheme="minorHAnsi"/>
          <w:sz w:val="24"/>
          <w:szCs w:val="24"/>
        </w:rPr>
      </w:pPr>
    </w:p>
    <w:tbl>
      <w:tblPr>
        <w:tblStyle w:val="TableGrid"/>
        <w:tblW w:w="0" w:type="auto"/>
        <w:jc w:val="center"/>
        <w:tblLook w:val="04A0" w:firstRow="1" w:lastRow="0" w:firstColumn="1" w:lastColumn="0" w:noHBand="0" w:noVBand="1"/>
      </w:tblPr>
      <w:tblGrid>
        <w:gridCol w:w="3432"/>
        <w:gridCol w:w="1660"/>
        <w:gridCol w:w="1516"/>
      </w:tblGrid>
      <w:tr w:rsidR="00DC34EF" w:rsidRPr="00B31643" w:rsidTr="00DC34EF">
        <w:trPr>
          <w:jc w:val="center"/>
        </w:trPr>
        <w:tc>
          <w:tcPr>
            <w:tcW w:w="0" w:type="auto"/>
          </w:tcPr>
          <w:p w:rsidR="00DC34EF" w:rsidRPr="00B31643" w:rsidRDefault="00DC34EF" w:rsidP="00DC34EF">
            <w:pPr>
              <w:jc w:val="both"/>
              <w:rPr>
                <w:rFonts w:ascii="Garamond" w:hAnsi="Garamond" w:cstheme="minorHAnsi"/>
                <w:sz w:val="22"/>
                <w:szCs w:val="22"/>
              </w:rPr>
            </w:pPr>
          </w:p>
        </w:tc>
        <w:tc>
          <w:tcPr>
            <w:tcW w:w="0" w:type="auto"/>
          </w:tcPr>
          <w:p w:rsidR="00DC34EF" w:rsidRPr="00B31643" w:rsidRDefault="00DC34EF" w:rsidP="00DC34EF">
            <w:pPr>
              <w:jc w:val="center"/>
              <w:rPr>
                <w:rFonts w:ascii="Garamond" w:hAnsi="Garamond" w:cstheme="minorHAnsi"/>
                <w:b/>
                <w:sz w:val="22"/>
                <w:szCs w:val="22"/>
              </w:rPr>
            </w:pPr>
            <w:r w:rsidRPr="00B31643">
              <w:rPr>
                <w:rFonts w:ascii="Garamond" w:hAnsi="Garamond" w:cstheme="minorHAnsi"/>
                <w:b/>
                <w:sz w:val="22"/>
                <w:szCs w:val="22"/>
              </w:rPr>
              <w:t>Physical Shares</w:t>
            </w:r>
          </w:p>
        </w:tc>
        <w:tc>
          <w:tcPr>
            <w:tcW w:w="0" w:type="auto"/>
          </w:tcPr>
          <w:p w:rsidR="00DC34EF" w:rsidRPr="00B31643" w:rsidRDefault="00DC34EF" w:rsidP="00DC34EF">
            <w:pPr>
              <w:jc w:val="center"/>
              <w:rPr>
                <w:rFonts w:ascii="Garamond" w:hAnsi="Garamond" w:cstheme="minorHAnsi"/>
                <w:b/>
                <w:sz w:val="22"/>
                <w:szCs w:val="22"/>
              </w:rPr>
            </w:pPr>
            <w:r w:rsidRPr="00B31643">
              <w:rPr>
                <w:rFonts w:ascii="Garamond" w:hAnsi="Garamond" w:cstheme="minorHAnsi"/>
                <w:b/>
                <w:sz w:val="22"/>
                <w:szCs w:val="22"/>
              </w:rPr>
              <w:t xml:space="preserve">Demat Shares </w:t>
            </w:r>
          </w:p>
        </w:tc>
      </w:tr>
      <w:tr w:rsidR="00DC34EF" w:rsidRPr="00B31643" w:rsidTr="00DC34EF">
        <w:trPr>
          <w:jc w:val="center"/>
        </w:trPr>
        <w:tc>
          <w:tcPr>
            <w:tcW w:w="0" w:type="auto"/>
          </w:tcPr>
          <w:p w:rsidR="00DC34EF" w:rsidRPr="00B31643" w:rsidRDefault="00DC34EF" w:rsidP="00DC34EF">
            <w:pPr>
              <w:jc w:val="both"/>
              <w:rPr>
                <w:rFonts w:ascii="Garamond" w:hAnsi="Garamond" w:cstheme="minorHAnsi"/>
                <w:sz w:val="22"/>
                <w:szCs w:val="22"/>
              </w:rPr>
            </w:pPr>
            <w:r w:rsidRPr="00B31643">
              <w:rPr>
                <w:rFonts w:ascii="Garamond" w:hAnsi="Garamond" w:cstheme="minorHAnsi"/>
                <w:sz w:val="22"/>
                <w:szCs w:val="22"/>
              </w:rPr>
              <w:t>Number of Shares</w:t>
            </w:r>
          </w:p>
        </w:tc>
        <w:tc>
          <w:tcPr>
            <w:tcW w:w="0" w:type="auto"/>
          </w:tcPr>
          <w:p w:rsidR="00DC34EF" w:rsidRPr="00B31643" w:rsidRDefault="00DC34EF" w:rsidP="00DC34EF">
            <w:pPr>
              <w:jc w:val="right"/>
              <w:rPr>
                <w:rFonts w:ascii="Garamond" w:hAnsi="Garamond" w:cstheme="minorHAnsi"/>
                <w:sz w:val="22"/>
                <w:szCs w:val="22"/>
              </w:rPr>
            </w:pPr>
            <w:r w:rsidRPr="00B31643">
              <w:rPr>
                <w:rFonts w:ascii="Garamond" w:hAnsi="Garamond" w:cstheme="minorHAnsi"/>
                <w:sz w:val="22"/>
                <w:szCs w:val="22"/>
              </w:rPr>
              <w:t xml:space="preserve">  31,11,65,384  </w:t>
            </w:r>
          </w:p>
        </w:tc>
        <w:tc>
          <w:tcPr>
            <w:tcW w:w="0" w:type="auto"/>
          </w:tcPr>
          <w:p w:rsidR="00DC34EF" w:rsidRPr="00B31643" w:rsidRDefault="00DC34EF" w:rsidP="00DC34EF">
            <w:pPr>
              <w:jc w:val="right"/>
              <w:rPr>
                <w:rFonts w:ascii="Garamond" w:hAnsi="Garamond" w:cstheme="minorHAnsi"/>
                <w:sz w:val="22"/>
                <w:szCs w:val="22"/>
              </w:rPr>
            </w:pPr>
            <w:r w:rsidRPr="00B31643">
              <w:rPr>
                <w:rFonts w:ascii="Garamond" w:hAnsi="Garamond" w:cstheme="minorHAnsi"/>
                <w:sz w:val="22"/>
                <w:szCs w:val="22"/>
              </w:rPr>
              <w:t>-</w:t>
            </w:r>
          </w:p>
        </w:tc>
      </w:tr>
      <w:tr w:rsidR="00DC34EF" w:rsidRPr="00B31643" w:rsidTr="00DC34EF">
        <w:trPr>
          <w:jc w:val="center"/>
        </w:trPr>
        <w:tc>
          <w:tcPr>
            <w:tcW w:w="0" w:type="auto"/>
          </w:tcPr>
          <w:p w:rsidR="00DC34EF" w:rsidRPr="00B31643" w:rsidRDefault="00DC34EF" w:rsidP="00DC34EF">
            <w:pPr>
              <w:jc w:val="both"/>
              <w:rPr>
                <w:rFonts w:ascii="Garamond" w:hAnsi="Garamond" w:cstheme="minorHAnsi"/>
                <w:sz w:val="22"/>
                <w:szCs w:val="22"/>
              </w:rPr>
            </w:pPr>
            <w:r w:rsidRPr="00B31643">
              <w:rPr>
                <w:rFonts w:ascii="Garamond" w:hAnsi="Garamond" w:cstheme="minorHAnsi"/>
                <w:sz w:val="22"/>
                <w:szCs w:val="22"/>
              </w:rPr>
              <w:t>Number of Folios / Demat Accounts</w:t>
            </w:r>
          </w:p>
        </w:tc>
        <w:tc>
          <w:tcPr>
            <w:tcW w:w="0" w:type="auto"/>
          </w:tcPr>
          <w:p w:rsidR="00DC34EF" w:rsidRPr="00B31643" w:rsidRDefault="00DC34EF" w:rsidP="00DC34EF">
            <w:pPr>
              <w:jc w:val="right"/>
              <w:rPr>
                <w:rFonts w:ascii="Garamond" w:hAnsi="Garamond" w:cstheme="minorHAnsi"/>
                <w:sz w:val="22"/>
                <w:szCs w:val="22"/>
              </w:rPr>
            </w:pPr>
            <w:r w:rsidRPr="00B31643">
              <w:rPr>
                <w:rFonts w:ascii="Garamond" w:hAnsi="Garamond" w:cstheme="minorHAnsi"/>
                <w:sz w:val="22"/>
                <w:szCs w:val="22"/>
              </w:rPr>
              <w:t xml:space="preserve">  17,60,175</w:t>
            </w:r>
          </w:p>
        </w:tc>
        <w:tc>
          <w:tcPr>
            <w:tcW w:w="0" w:type="auto"/>
          </w:tcPr>
          <w:p w:rsidR="00DC34EF" w:rsidRPr="00B31643" w:rsidRDefault="00DC34EF" w:rsidP="00DC34EF">
            <w:pPr>
              <w:jc w:val="right"/>
              <w:rPr>
                <w:rFonts w:ascii="Garamond" w:hAnsi="Garamond" w:cstheme="minorHAnsi"/>
                <w:sz w:val="22"/>
                <w:szCs w:val="22"/>
              </w:rPr>
            </w:pPr>
            <w:r w:rsidRPr="00B31643">
              <w:rPr>
                <w:rFonts w:ascii="Garamond" w:hAnsi="Garamond" w:cstheme="minorHAnsi"/>
                <w:sz w:val="22"/>
                <w:szCs w:val="22"/>
              </w:rPr>
              <w:t>-</w:t>
            </w:r>
          </w:p>
        </w:tc>
      </w:tr>
      <w:tr w:rsidR="00DC34EF" w:rsidRPr="00B31643" w:rsidTr="00DC34EF">
        <w:trPr>
          <w:jc w:val="center"/>
        </w:trPr>
        <w:tc>
          <w:tcPr>
            <w:tcW w:w="0" w:type="auto"/>
          </w:tcPr>
          <w:p w:rsidR="00DC34EF" w:rsidRPr="00B31643" w:rsidRDefault="00DC34EF" w:rsidP="00DC34EF">
            <w:pPr>
              <w:rPr>
                <w:rFonts w:ascii="Garamond" w:hAnsi="Garamond" w:cstheme="minorHAnsi"/>
                <w:sz w:val="22"/>
                <w:szCs w:val="22"/>
              </w:rPr>
            </w:pPr>
            <w:r w:rsidRPr="00B31643">
              <w:rPr>
                <w:rFonts w:ascii="Garamond" w:hAnsi="Garamond" w:cstheme="minorHAnsi"/>
                <w:sz w:val="22"/>
                <w:szCs w:val="22"/>
              </w:rPr>
              <w:t>Value of Shares (Rs. crore)</w:t>
            </w:r>
          </w:p>
        </w:tc>
        <w:tc>
          <w:tcPr>
            <w:tcW w:w="0" w:type="auto"/>
          </w:tcPr>
          <w:p w:rsidR="00DC34EF" w:rsidRPr="00B31643" w:rsidRDefault="00DC34EF" w:rsidP="00DC34EF">
            <w:pPr>
              <w:jc w:val="right"/>
              <w:rPr>
                <w:rFonts w:ascii="Garamond" w:hAnsi="Garamond" w:cstheme="minorHAnsi"/>
                <w:sz w:val="22"/>
                <w:szCs w:val="22"/>
              </w:rPr>
            </w:pPr>
            <w:r w:rsidRPr="00B31643">
              <w:rPr>
                <w:rFonts w:ascii="Garamond" w:hAnsi="Garamond" w:cstheme="minorHAnsi"/>
                <w:sz w:val="22"/>
                <w:szCs w:val="22"/>
              </w:rPr>
              <w:t xml:space="preserve">  5,048</w:t>
            </w:r>
          </w:p>
        </w:tc>
        <w:tc>
          <w:tcPr>
            <w:tcW w:w="0" w:type="auto"/>
          </w:tcPr>
          <w:p w:rsidR="00DC34EF" w:rsidRPr="00B31643" w:rsidRDefault="00DC34EF" w:rsidP="00DC34EF">
            <w:pPr>
              <w:jc w:val="right"/>
              <w:rPr>
                <w:rFonts w:ascii="Garamond" w:hAnsi="Garamond" w:cstheme="minorHAnsi"/>
                <w:sz w:val="22"/>
                <w:szCs w:val="22"/>
              </w:rPr>
            </w:pPr>
            <w:r w:rsidRPr="00B31643">
              <w:rPr>
                <w:rFonts w:ascii="Garamond" w:hAnsi="Garamond" w:cstheme="minorHAnsi"/>
                <w:sz w:val="22"/>
                <w:szCs w:val="22"/>
              </w:rPr>
              <w:t>12,278</w:t>
            </w:r>
          </w:p>
        </w:tc>
      </w:tr>
    </w:tbl>
    <w:p w:rsidR="00DC34EF" w:rsidRPr="00DC34EF" w:rsidRDefault="00DC34EF" w:rsidP="00DC34EF">
      <w:pPr>
        <w:jc w:val="right"/>
        <w:rPr>
          <w:rFonts w:ascii="Garamond" w:hAnsi="Garamond" w:cstheme="minorHAnsi"/>
          <w:lang w:val="en-US"/>
        </w:rPr>
      </w:pPr>
    </w:p>
    <w:p w:rsidR="00DC34EF" w:rsidRPr="00DC34EF" w:rsidRDefault="00DC34EF" w:rsidP="00DC34EF">
      <w:pPr>
        <w:jc w:val="both"/>
        <w:rPr>
          <w:rFonts w:ascii="Garamond" w:hAnsi="Garamond" w:cstheme="minorHAnsi"/>
          <w:lang w:val="en-US"/>
        </w:rPr>
      </w:pPr>
    </w:p>
    <w:p w:rsidR="00DC34EF" w:rsidRPr="003B166C" w:rsidRDefault="00DC34EF" w:rsidP="00456F4D">
      <w:pPr>
        <w:pStyle w:val="ListParagraph"/>
        <w:numPr>
          <w:ilvl w:val="1"/>
          <w:numId w:val="25"/>
        </w:numPr>
        <w:spacing w:after="0"/>
        <w:jc w:val="both"/>
        <w:rPr>
          <w:rFonts w:ascii="Garamond" w:hAnsi="Garamond" w:cstheme="minorHAnsi"/>
          <w:b/>
          <w:bCs/>
          <w:sz w:val="24"/>
          <w:szCs w:val="24"/>
        </w:rPr>
      </w:pPr>
      <w:bookmarkStart w:id="40" w:name="_Ref59966026"/>
      <w:r w:rsidRPr="003B166C">
        <w:rPr>
          <w:rFonts w:ascii="Garamond" w:hAnsi="Garamond" w:cstheme="minorHAnsi"/>
          <w:b/>
          <w:bCs/>
          <w:sz w:val="24"/>
          <w:szCs w:val="24"/>
        </w:rPr>
        <w:t xml:space="preserve">Recommendations </w:t>
      </w:r>
      <w:bookmarkEnd w:id="40"/>
    </w:p>
    <w:p w:rsidR="00DC34EF" w:rsidRPr="00DC34EF" w:rsidRDefault="00DC34EF" w:rsidP="00DC34EF">
      <w:pPr>
        <w:ind w:left="360"/>
        <w:jc w:val="both"/>
        <w:rPr>
          <w:rFonts w:ascii="Garamond" w:hAnsi="Garamond" w:cstheme="minorHAnsi"/>
          <w:lang w:val="en-US"/>
        </w:rPr>
      </w:pPr>
      <w:r w:rsidRPr="00DC34EF">
        <w:rPr>
          <w:rFonts w:ascii="Garamond" w:hAnsi="Garamond" w:cstheme="minorHAnsi"/>
          <w:lang w:val="en-US"/>
        </w:rPr>
        <w:t xml:space="preserve"> </w:t>
      </w:r>
      <w:bookmarkStart w:id="41" w:name="_Ref60136410"/>
    </w:p>
    <w:p w:rsidR="00DC34EF" w:rsidRPr="00DC34EF" w:rsidRDefault="00DC34EF" w:rsidP="00456F4D">
      <w:pPr>
        <w:pStyle w:val="ListParagraph"/>
        <w:numPr>
          <w:ilvl w:val="2"/>
          <w:numId w:val="25"/>
        </w:numPr>
        <w:spacing w:after="0"/>
        <w:jc w:val="both"/>
        <w:rPr>
          <w:rFonts w:ascii="Garamond" w:hAnsi="Garamond" w:cstheme="minorHAnsi"/>
          <w:sz w:val="24"/>
          <w:szCs w:val="24"/>
        </w:rPr>
      </w:pPr>
      <w:bookmarkStart w:id="42" w:name="_Ref64382294"/>
      <w:r w:rsidRPr="00DC34EF">
        <w:rPr>
          <w:rFonts w:ascii="Garamond" w:hAnsi="Garamond" w:cstheme="minorHAnsi"/>
          <w:sz w:val="24"/>
          <w:szCs w:val="24"/>
        </w:rPr>
        <w:t>Demographic</w:t>
      </w:r>
      <w:r w:rsidRPr="00DC34EF">
        <w:rPr>
          <w:rFonts w:ascii="Garamond" w:hAnsi="Garamond" w:cstheme="minorHAnsi"/>
          <w:b/>
          <w:sz w:val="24"/>
          <w:szCs w:val="24"/>
        </w:rPr>
        <w:t xml:space="preserve"> </w:t>
      </w:r>
      <w:r w:rsidRPr="00DC34EF">
        <w:rPr>
          <w:rFonts w:ascii="Garamond" w:hAnsi="Garamond" w:cstheme="minorHAnsi"/>
          <w:sz w:val="24"/>
          <w:szCs w:val="24"/>
        </w:rPr>
        <w:t>details</w:t>
      </w:r>
      <w:bookmarkEnd w:id="41"/>
      <w:bookmarkEnd w:id="42"/>
    </w:p>
    <w:p w:rsidR="00DC34EF" w:rsidRPr="00DC34EF" w:rsidRDefault="00DC34EF" w:rsidP="00456F4D">
      <w:pPr>
        <w:pStyle w:val="ListParagraph"/>
        <w:numPr>
          <w:ilvl w:val="3"/>
          <w:numId w:val="25"/>
        </w:numPr>
        <w:spacing w:after="0"/>
        <w:jc w:val="both"/>
        <w:rPr>
          <w:rFonts w:ascii="Garamond" w:hAnsi="Garamond" w:cstheme="minorHAnsi"/>
          <w:sz w:val="24"/>
          <w:szCs w:val="24"/>
        </w:rPr>
      </w:pPr>
      <w:bookmarkStart w:id="43" w:name="_Ref60133616"/>
      <w:r w:rsidRPr="00DC34EF">
        <w:rPr>
          <w:rFonts w:ascii="Garamond" w:hAnsi="Garamond" w:cstheme="minorHAnsi"/>
          <w:sz w:val="24"/>
          <w:szCs w:val="24"/>
        </w:rPr>
        <w:t>Compulsory furnishing of demographic by investors:</w:t>
      </w:r>
      <w:bookmarkEnd w:id="43"/>
    </w:p>
    <w:p w:rsidR="00DC34EF" w:rsidRPr="00DC34EF" w:rsidRDefault="00DC34EF" w:rsidP="00B31643">
      <w:pPr>
        <w:ind w:left="1080"/>
        <w:jc w:val="both"/>
        <w:rPr>
          <w:rFonts w:ascii="Garamond" w:hAnsi="Garamond" w:cstheme="minorHAnsi"/>
          <w:lang w:val="en-US"/>
        </w:rPr>
      </w:pPr>
      <w:r w:rsidRPr="00DC34EF">
        <w:rPr>
          <w:rFonts w:ascii="Garamond" w:hAnsi="Garamond" w:cstheme="minorHAnsi"/>
          <w:lang w:val="en-US"/>
        </w:rPr>
        <w:t xml:space="preserve">From the data presented in the </w:t>
      </w:r>
      <w:r w:rsidRPr="00DC34EF">
        <w:rPr>
          <w:rFonts w:ascii="Garamond" w:hAnsi="Garamond" w:cstheme="minorHAnsi"/>
          <w:lang w:val="en-US"/>
        </w:rPr>
        <w:fldChar w:fldCharType="begin"/>
      </w:r>
      <w:r w:rsidRPr="00DC34EF">
        <w:rPr>
          <w:rFonts w:ascii="Garamond" w:hAnsi="Garamond" w:cstheme="minorHAnsi"/>
          <w:lang w:val="en-US"/>
        </w:rPr>
        <w:instrText xml:space="preserve"> REF _Ref66181381 \h  \* MERGEFORMAT </w:instrText>
      </w:r>
      <w:r w:rsidRPr="00DC34EF">
        <w:rPr>
          <w:rFonts w:ascii="Garamond" w:hAnsi="Garamond" w:cstheme="minorHAnsi"/>
          <w:lang w:val="en-US"/>
        </w:rPr>
      </w:r>
      <w:r w:rsidRPr="00DC34EF">
        <w:rPr>
          <w:rFonts w:ascii="Garamond" w:hAnsi="Garamond" w:cstheme="minorHAnsi"/>
          <w:lang w:val="en-US"/>
        </w:rPr>
        <w:fldChar w:fldCharType="separate"/>
      </w:r>
      <w:r w:rsidRPr="00DC34EF">
        <w:rPr>
          <w:rFonts w:ascii="Garamond" w:hAnsi="Garamond" w:cstheme="minorHAnsi"/>
        </w:rPr>
        <w:t xml:space="preserve">Table </w:t>
      </w:r>
      <w:r w:rsidRPr="00DC34EF">
        <w:rPr>
          <w:rFonts w:ascii="Garamond" w:hAnsi="Garamond" w:cstheme="minorHAnsi"/>
          <w:noProof/>
        </w:rPr>
        <w:t>1</w:t>
      </w:r>
      <w:r w:rsidRPr="00DC34EF">
        <w:rPr>
          <w:rFonts w:ascii="Garamond" w:hAnsi="Garamond" w:cstheme="minorHAnsi"/>
          <w:lang w:val="en-US"/>
        </w:rPr>
        <w:fldChar w:fldCharType="end"/>
      </w:r>
      <w:r w:rsidRPr="00DC34EF">
        <w:rPr>
          <w:rFonts w:ascii="Garamond" w:hAnsi="Garamond" w:cstheme="minorHAnsi"/>
          <w:lang w:val="en-US"/>
        </w:rPr>
        <w:t xml:space="preserve">, </w:t>
      </w:r>
      <w:r w:rsidRPr="00DC34EF">
        <w:rPr>
          <w:rFonts w:ascii="Garamond" w:hAnsi="Garamond" w:cstheme="minorHAnsi"/>
          <w:lang w:val="en-US"/>
        </w:rPr>
        <w:fldChar w:fldCharType="begin"/>
      </w:r>
      <w:r w:rsidRPr="00DC34EF">
        <w:rPr>
          <w:rFonts w:ascii="Garamond" w:hAnsi="Garamond" w:cstheme="minorHAnsi"/>
          <w:lang w:val="en-US"/>
        </w:rPr>
        <w:instrText xml:space="preserve"> REF _Ref66181398 \h  \* MERGEFORMAT </w:instrText>
      </w:r>
      <w:r w:rsidRPr="00DC34EF">
        <w:rPr>
          <w:rFonts w:ascii="Garamond" w:hAnsi="Garamond" w:cstheme="minorHAnsi"/>
          <w:lang w:val="en-US"/>
        </w:rPr>
      </w:r>
      <w:r w:rsidRPr="00DC34EF">
        <w:rPr>
          <w:rFonts w:ascii="Garamond" w:hAnsi="Garamond" w:cstheme="minorHAnsi"/>
          <w:lang w:val="en-US"/>
        </w:rPr>
        <w:fldChar w:fldCharType="separate"/>
      </w:r>
      <w:r w:rsidRPr="00DC34EF">
        <w:rPr>
          <w:rFonts w:ascii="Garamond" w:hAnsi="Garamond" w:cstheme="minorHAnsi"/>
        </w:rPr>
        <w:t xml:space="preserve">Table </w:t>
      </w:r>
      <w:r w:rsidRPr="00DC34EF">
        <w:rPr>
          <w:rFonts w:ascii="Garamond" w:hAnsi="Garamond" w:cstheme="minorHAnsi"/>
          <w:noProof/>
        </w:rPr>
        <w:t>2</w:t>
      </w:r>
      <w:r w:rsidRPr="00DC34EF">
        <w:rPr>
          <w:rFonts w:ascii="Garamond" w:hAnsi="Garamond" w:cstheme="minorHAnsi"/>
          <w:lang w:val="en-US"/>
        </w:rPr>
        <w:fldChar w:fldCharType="end"/>
      </w:r>
      <w:r w:rsidRPr="00DC34EF">
        <w:rPr>
          <w:rFonts w:ascii="Garamond" w:hAnsi="Garamond" w:cstheme="minorHAnsi"/>
          <w:lang w:val="en-US"/>
        </w:rPr>
        <w:t xml:space="preserve">, </w:t>
      </w:r>
      <w:r w:rsidRPr="00DC34EF">
        <w:rPr>
          <w:rFonts w:ascii="Garamond" w:hAnsi="Garamond" w:cstheme="minorHAnsi"/>
          <w:lang w:val="en-US"/>
        </w:rPr>
        <w:fldChar w:fldCharType="begin"/>
      </w:r>
      <w:r w:rsidRPr="00DC34EF">
        <w:rPr>
          <w:rFonts w:ascii="Garamond" w:hAnsi="Garamond" w:cstheme="minorHAnsi"/>
          <w:lang w:val="en-US"/>
        </w:rPr>
        <w:instrText xml:space="preserve"> REF _Ref66181457 \h  \* MERGEFORMAT </w:instrText>
      </w:r>
      <w:r w:rsidRPr="00DC34EF">
        <w:rPr>
          <w:rFonts w:ascii="Garamond" w:hAnsi="Garamond" w:cstheme="minorHAnsi"/>
          <w:lang w:val="en-US"/>
        </w:rPr>
      </w:r>
      <w:r w:rsidRPr="00DC34EF">
        <w:rPr>
          <w:rFonts w:ascii="Garamond" w:hAnsi="Garamond" w:cstheme="minorHAnsi"/>
          <w:lang w:val="en-US"/>
        </w:rPr>
        <w:fldChar w:fldCharType="separate"/>
      </w:r>
      <w:r w:rsidRPr="00DC34EF">
        <w:rPr>
          <w:rFonts w:ascii="Garamond" w:hAnsi="Garamond" w:cstheme="minorHAnsi"/>
        </w:rPr>
        <w:t xml:space="preserve">Table </w:t>
      </w:r>
      <w:r w:rsidRPr="00DC34EF">
        <w:rPr>
          <w:rFonts w:ascii="Garamond" w:hAnsi="Garamond" w:cstheme="minorHAnsi"/>
          <w:noProof/>
        </w:rPr>
        <w:t>5</w:t>
      </w:r>
      <w:r w:rsidRPr="00DC34EF">
        <w:rPr>
          <w:rFonts w:ascii="Garamond" w:hAnsi="Garamond" w:cstheme="minorHAnsi"/>
          <w:lang w:val="en-US"/>
        </w:rPr>
        <w:fldChar w:fldCharType="end"/>
      </w:r>
      <w:r w:rsidRPr="00DC34EF">
        <w:rPr>
          <w:rFonts w:ascii="Garamond" w:hAnsi="Garamond" w:cstheme="minorHAnsi"/>
          <w:lang w:val="en-US"/>
        </w:rPr>
        <w:t xml:space="preserve"> and </w:t>
      </w:r>
      <w:r w:rsidRPr="00DC34EF">
        <w:rPr>
          <w:rFonts w:ascii="Garamond" w:hAnsi="Garamond" w:cstheme="minorHAnsi"/>
          <w:lang w:val="en-US"/>
        </w:rPr>
        <w:fldChar w:fldCharType="begin"/>
      </w:r>
      <w:r w:rsidRPr="00DC34EF">
        <w:rPr>
          <w:rFonts w:ascii="Garamond" w:hAnsi="Garamond" w:cstheme="minorHAnsi"/>
          <w:lang w:val="en-US"/>
        </w:rPr>
        <w:instrText xml:space="preserve"> REF _Ref66181459 \h  \* MERGEFORMAT </w:instrText>
      </w:r>
      <w:r w:rsidRPr="00DC34EF">
        <w:rPr>
          <w:rFonts w:ascii="Garamond" w:hAnsi="Garamond" w:cstheme="minorHAnsi"/>
          <w:lang w:val="en-US"/>
        </w:rPr>
      </w:r>
      <w:r w:rsidRPr="00DC34EF">
        <w:rPr>
          <w:rFonts w:ascii="Garamond" w:hAnsi="Garamond" w:cstheme="minorHAnsi"/>
          <w:lang w:val="en-US"/>
        </w:rPr>
        <w:fldChar w:fldCharType="separate"/>
      </w:r>
      <w:r w:rsidRPr="00DC34EF">
        <w:rPr>
          <w:rFonts w:ascii="Garamond" w:hAnsi="Garamond" w:cstheme="minorHAnsi"/>
        </w:rPr>
        <w:t xml:space="preserve">Table </w:t>
      </w:r>
      <w:r w:rsidRPr="00DC34EF">
        <w:rPr>
          <w:rFonts w:ascii="Garamond" w:hAnsi="Garamond" w:cstheme="minorHAnsi"/>
          <w:noProof/>
        </w:rPr>
        <w:t>6</w:t>
      </w:r>
      <w:r w:rsidRPr="00DC34EF">
        <w:rPr>
          <w:rFonts w:ascii="Garamond" w:hAnsi="Garamond" w:cstheme="minorHAnsi"/>
          <w:lang w:val="en-US"/>
        </w:rPr>
        <w:fldChar w:fldCharType="end"/>
      </w:r>
      <w:r w:rsidRPr="00DC34EF">
        <w:rPr>
          <w:rFonts w:ascii="Garamond" w:hAnsi="Garamond" w:cstheme="minorHAnsi"/>
          <w:lang w:val="en-US"/>
        </w:rPr>
        <w:t>, there is an inherent case to make it compulsory for investors to furnish the following demographic details to the RTA / DP</w:t>
      </w:r>
      <w:r w:rsidRPr="00DC34EF">
        <w:rPr>
          <w:rStyle w:val="FootnoteReference"/>
          <w:rFonts w:ascii="Garamond" w:hAnsi="Garamond" w:cstheme="minorHAnsi"/>
          <w:lang w:val="en-US"/>
        </w:rPr>
        <w:footnoteReference w:id="31"/>
      </w:r>
      <w:r w:rsidRPr="00DC34EF">
        <w:rPr>
          <w:rFonts w:ascii="Garamond" w:hAnsi="Garamond" w:cstheme="minorHAnsi"/>
          <w:lang w:val="en-US"/>
        </w:rPr>
        <w:t xml:space="preserve">.  </w:t>
      </w:r>
    </w:p>
    <w:p w:rsidR="00DC34EF" w:rsidRPr="00DC34EF" w:rsidRDefault="00DC34EF" w:rsidP="00456F4D">
      <w:pPr>
        <w:pStyle w:val="ListParagraph"/>
        <w:numPr>
          <w:ilvl w:val="0"/>
          <w:numId w:val="19"/>
        </w:numPr>
        <w:spacing w:after="0" w:line="240" w:lineRule="auto"/>
        <w:jc w:val="both"/>
        <w:rPr>
          <w:rFonts w:ascii="Garamond" w:hAnsi="Garamond" w:cstheme="minorHAnsi"/>
          <w:sz w:val="24"/>
          <w:szCs w:val="24"/>
        </w:rPr>
      </w:pPr>
      <w:r w:rsidRPr="00DC34EF">
        <w:rPr>
          <w:rFonts w:ascii="Garamond" w:hAnsi="Garamond" w:cstheme="minorHAnsi"/>
          <w:sz w:val="24"/>
          <w:szCs w:val="24"/>
        </w:rPr>
        <w:t>Present and Permanent full postal address with PIN</w:t>
      </w:r>
    </w:p>
    <w:p w:rsidR="00DC34EF" w:rsidRPr="00DC34EF" w:rsidRDefault="00DC34EF" w:rsidP="00456F4D">
      <w:pPr>
        <w:pStyle w:val="ListParagraph"/>
        <w:numPr>
          <w:ilvl w:val="0"/>
          <w:numId w:val="19"/>
        </w:numPr>
        <w:spacing w:after="0" w:line="240" w:lineRule="auto"/>
        <w:jc w:val="both"/>
        <w:rPr>
          <w:rFonts w:ascii="Garamond" w:hAnsi="Garamond" w:cstheme="minorHAnsi"/>
          <w:sz w:val="24"/>
          <w:szCs w:val="24"/>
        </w:rPr>
      </w:pPr>
      <w:r w:rsidRPr="00DC34EF">
        <w:rPr>
          <w:rFonts w:ascii="Garamond" w:hAnsi="Garamond" w:cstheme="minorHAnsi"/>
          <w:sz w:val="24"/>
          <w:szCs w:val="24"/>
        </w:rPr>
        <w:t>E-mail address</w:t>
      </w:r>
    </w:p>
    <w:p w:rsidR="00DC34EF" w:rsidRPr="00DC34EF" w:rsidRDefault="00DC34EF" w:rsidP="00456F4D">
      <w:pPr>
        <w:pStyle w:val="ListParagraph"/>
        <w:numPr>
          <w:ilvl w:val="0"/>
          <w:numId w:val="19"/>
        </w:numPr>
        <w:spacing w:after="0" w:line="240" w:lineRule="auto"/>
        <w:jc w:val="both"/>
        <w:rPr>
          <w:rFonts w:ascii="Garamond" w:hAnsi="Garamond" w:cstheme="minorHAnsi"/>
          <w:sz w:val="24"/>
          <w:szCs w:val="24"/>
        </w:rPr>
      </w:pPr>
      <w:r w:rsidRPr="00DC34EF">
        <w:rPr>
          <w:rFonts w:ascii="Garamond" w:hAnsi="Garamond" w:cstheme="minorHAnsi"/>
          <w:sz w:val="24"/>
          <w:szCs w:val="24"/>
        </w:rPr>
        <w:t>Mobile number</w:t>
      </w:r>
    </w:p>
    <w:p w:rsidR="00DC34EF" w:rsidRPr="00DC34EF" w:rsidRDefault="00DC34EF" w:rsidP="00456F4D">
      <w:pPr>
        <w:pStyle w:val="ListParagraph"/>
        <w:numPr>
          <w:ilvl w:val="0"/>
          <w:numId w:val="19"/>
        </w:numPr>
        <w:spacing w:after="0" w:line="240" w:lineRule="auto"/>
        <w:jc w:val="both"/>
        <w:rPr>
          <w:rFonts w:ascii="Garamond" w:hAnsi="Garamond" w:cstheme="minorHAnsi"/>
          <w:sz w:val="24"/>
          <w:szCs w:val="24"/>
        </w:rPr>
      </w:pPr>
      <w:r w:rsidRPr="00DC34EF">
        <w:rPr>
          <w:rFonts w:ascii="Garamond" w:hAnsi="Garamond" w:cstheme="minorHAnsi"/>
          <w:sz w:val="24"/>
          <w:szCs w:val="24"/>
        </w:rPr>
        <w:t>PAN</w:t>
      </w:r>
    </w:p>
    <w:p w:rsidR="00DC34EF" w:rsidRPr="00DC34EF" w:rsidRDefault="00DC34EF" w:rsidP="00456F4D">
      <w:pPr>
        <w:pStyle w:val="ListParagraph"/>
        <w:numPr>
          <w:ilvl w:val="0"/>
          <w:numId w:val="19"/>
        </w:numPr>
        <w:spacing w:after="0" w:line="240" w:lineRule="auto"/>
        <w:jc w:val="both"/>
        <w:rPr>
          <w:rFonts w:ascii="Garamond" w:hAnsi="Garamond" w:cstheme="minorHAnsi"/>
          <w:sz w:val="24"/>
          <w:szCs w:val="24"/>
        </w:rPr>
      </w:pPr>
      <w:r w:rsidRPr="00DC34EF">
        <w:rPr>
          <w:rFonts w:ascii="Garamond" w:hAnsi="Garamond" w:cstheme="minorHAnsi"/>
          <w:sz w:val="24"/>
          <w:szCs w:val="24"/>
        </w:rPr>
        <w:t>Bank account details (Bank Name and Branch, Bank Account Number, IFS Code or UPI number)</w:t>
      </w:r>
    </w:p>
    <w:p w:rsidR="00D91B4B" w:rsidRDefault="00DC34EF" w:rsidP="009C7E5E">
      <w:pPr>
        <w:pStyle w:val="ListParagraph"/>
        <w:numPr>
          <w:ilvl w:val="0"/>
          <w:numId w:val="19"/>
        </w:numPr>
        <w:spacing w:after="0" w:line="240" w:lineRule="auto"/>
        <w:jc w:val="both"/>
        <w:rPr>
          <w:rFonts w:ascii="Garamond" w:hAnsi="Garamond" w:cstheme="minorHAnsi"/>
          <w:sz w:val="24"/>
          <w:szCs w:val="24"/>
        </w:rPr>
      </w:pPr>
      <w:r w:rsidRPr="00D91B4B">
        <w:rPr>
          <w:rFonts w:ascii="Garamond" w:hAnsi="Garamond" w:cstheme="minorHAnsi"/>
          <w:b/>
          <w:bCs/>
          <w:sz w:val="24"/>
          <w:szCs w:val="24"/>
        </w:rPr>
        <w:t>Nomination</w:t>
      </w:r>
      <w:r w:rsidRPr="00D91B4B">
        <w:rPr>
          <w:rFonts w:ascii="Garamond" w:hAnsi="Garamond" w:cstheme="minorHAnsi"/>
          <w:sz w:val="24"/>
          <w:szCs w:val="24"/>
        </w:rPr>
        <w:t xml:space="preserve"> </w:t>
      </w:r>
    </w:p>
    <w:p w:rsidR="00DC34EF" w:rsidRPr="00D91B4B" w:rsidRDefault="00DC34EF" w:rsidP="009C7E5E">
      <w:pPr>
        <w:pStyle w:val="ListParagraph"/>
        <w:numPr>
          <w:ilvl w:val="0"/>
          <w:numId w:val="19"/>
        </w:numPr>
        <w:spacing w:after="0" w:line="240" w:lineRule="auto"/>
        <w:jc w:val="both"/>
        <w:rPr>
          <w:rFonts w:ascii="Garamond" w:hAnsi="Garamond" w:cstheme="minorHAnsi"/>
          <w:sz w:val="24"/>
          <w:szCs w:val="24"/>
        </w:rPr>
      </w:pPr>
      <w:r w:rsidRPr="00D91B4B">
        <w:rPr>
          <w:rFonts w:ascii="Garamond" w:hAnsi="Garamond" w:cstheme="minorHAnsi"/>
          <w:sz w:val="24"/>
          <w:szCs w:val="24"/>
        </w:rPr>
        <w:t xml:space="preserve">Specimen signature in folios </w:t>
      </w:r>
    </w:p>
    <w:p w:rsidR="00DC34EF" w:rsidRPr="00DC34EF" w:rsidRDefault="00DC34EF" w:rsidP="00B31643">
      <w:pPr>
        <w:jc w:val="both"/>
        <w:rPr>
          <w:rFonts w:ascii="Garamond" w:hAnsi="Garamond" w:cstheme="minorHAnsi"/>
          <w:lang w:val="en-US"/>
        </w:rPr>
      </w:pPr>
    </w:p>
    <w:p w:rsidR="00DC34EF" w:rsidRPr="00DC34EF" w:rsidRDefault="00DC34EF" w:rsidP="00B31643">
      <w:pPr>
        <w:ind w:left="1080"/>
        <w:jc w:val="both"/>
        <w:rPr>
          <w:rFonts w:ascii="Garamond" w:hAnsi="Garamond" w:cstheme="minorHAnsi"/>
          <w:lang w:val="en-US"/>
        </w:rPr>
      </w:pPr>
      <w:r w:rsidRPr="00DC34EF">
        <w:rPr>
          <w:rFonts w:ascii="Garamond" w:hAnsi="Garamond" w:cstheme="minorHAnsi"/>
          <w:lang w:val="en-US"/>
        </w:rPr>
        <w:t>It is recommended that regulations may make it compulsory for the investor to furnish complete demographic details 1) initially, 2) and on an ongoing basis as and when there is a change, or 3) in the case of existing holdings / accounts, if it is not fully available. It is proposed</w:t>
      </w:r>
      <w:r w:rsidRPr="00DC34EF">
        <w:rPr>
          <w:rStyle w:val="FootnoteReference"/>
          <w:rFonts w:ascii="Garamond" w:hAnsi="Garamond" w:cstheme="minorHAnsi"/>
          <w:lang w:val="en-US"/>
        </w:rPr>
        <w:footnoteReference w:id="32"/>
      </w:r>
      <w:r w:rsidRPr="00DC34EF">
        <w:rPr>
          <w:rFonts w:ascii="Garamond" w:hAnsi="Garamond" w:cstheme="minorHAnsi"/>
          <w:lang w:val="en-US"/>
        </w:rPr>
        <w:t xml:space="preserve"> that if the investor does not provide all the above information after due notice, the physical shares would be frozen and kept in suspense demat account which the investor can claim only in demat mode. In case of demat holdings, the account may be frozen till receipt of entire demographic details. </w:t>
      </w:r>
    </w:p>
    <w:p w:rsidR="00DC34EF" w:rsidRPr="00DC34EF" w:rsidRDefault="00DC34EF" w:rsidP="00B31643">
      <w:pPr>
        <w:ind w:left="1080"/>
        <w:jc w:val="both"/>
        <w:rPr>
          <w:rFonts w:ascii="Garamond" w:hAnsi="Garamond" w:cstheme="minorHAnsi"/>
          <w:lang w:val="en-US"/>
        </w:rPr>
      </w:pPr>
    </w:p>
    <w:p w:rsidR="00DC34EF" w:rsidRPr="00DC34EF" w:rsidRDefault="00DC34EF" w:rsidP="00B31643">
      <w:pPr>
        <w:ind w:left="1080"/>
        <w:jc w:val="both"/>
        <w:rPr>
          <w:rFonts w:ascii="Garamond" w:hAnsi="Garamond" w:cstheme="minorHAnsi"/>
          <w:lang w:val="en-US"/>
        </w:rPr>
      </w:pPr>
      <w:r w:rsidRPr="00DC34EF">
        <w:rPr>
          <w:rFonts w:ascii="Garamond" w:hAnsi="Garamond" w:cstheme="minorHAnsi"/>
          <w:lang w:val="en-US"/>
        </w:rPr>
        <w:t xml:space="preserve">Apart from eliminating the creation of fresh new unclaimed assets, the aforesaid proposal would </w:t>
      </w:r>
    </w:p>
    <w:p w:rsidR="00DC34EF" w:rsidRPr="00DC34EF" w:rsidRDefault="00DC34EF" w:rsidP="00456F4D">
      <w:pPr>
        <w:pStyle w:val="ListParagraph"/>
        <w:numPr>
          <w:ilvl w:val="0"/>
          <w:numId w:val="20"/>
        </w:numPr>
        <w:spacing w:after="0" w:line="240" w:lineRule="auto"/>
        <w:ind w:left="1440"/>
        <w:jc w:val="both"/>
        <w:rPr>
          <w:rFonts w:ascii="Garamond" w:hAnsi="Garamond" w:cstheme="minorHAnsi"/>
          <w:sz w:val="24"/>
          <w:szCs w:val="24"/>
        </w:rPr>
      </w:pPr>
      <w:r w:rsidRPr="00DC34EF">
        <w:rPr>
          <w:rFonts w:ascii="Garamond" w:hAnsi="Garamond" w:cstheme="minorHAnsi"/>
          <w:sz w:val="24"/>
          <w:szCs w:val="24"/>
        </w:rPr>
        <w:t xml:space="preserve">eliminate payment through physical instruments in securities markets, there by conforming with the desired policy objective of the Government of India </w:t>
      </w:r>
    </w:p>
    <w:p w:rsidR="00DC34EF" w:rsidRPr="00DC34EF" w:rsidRDefault="00DC34EF" w:rsidP="00456F4D">
      <w:pPr>
        <w:pStyle w:val="ListParagraph"/>
        <w:numPr>
          <w:ilvl w:val="0"/>
          <w:numId w:val="20"/>
        </w:numPr>
        <w:spacing w:after="0" w:line="240" w:lineRule="auto"/>
        <w:ind w:left="1440"/>
        <w:jc w:val="both"/>
        <w:rPr>
          <w:rFonts w:ascii="Garamond" w:hAnsi="Garamond" w:cstheme="minorHAnsi"/>
          <w:sz w:val="24"/>
          <w:szCs w:val="24"/>
        </w:rPr>
      </w:pPr>
      <w:r w:rsidRPr="00DC34EF">
        <w:rPr>
          <w:rFonts w:ascii="Garamond" w:hAnsi="Garamond" w:cstheme="minorHAnsi"/>
          <w:sz w:val="24"/>
          <w:szCs w:val="24"/>
        </w:rPr>
        <w:t>expose benami holding of securities, thereby enhancing India’s ranking viz PMLA / FATF compliance</w:t>
      </w:r>
    </w:p>
    <w:p w:rsidR="00DC34EF" w:rsidRPr="00DC34EF" w:rsidRDefault="00DC34EF" w:rsidP="00456F4D">
      <w:pPr>
        <w:pStyle w:val="ListParagraph"/>
        <w:numPr>
          <w:ilvl w:val="0"/>
          <w:numId w:val="20"/>
        </w:numPr>
        <w:spacing w:after="0" w:line="240" w:lineRule="auto"/>
        <w:ind w:left="1440"/>
        <w:jc w:val="both"/>
        <w:rPr>
          <w:rFonts w:ascii="Garamond" w:hAnsi="Garamond" w:cstheme="minorHAnsi"/>
          <w:sz w:val="24"/>
          <w:szCs w:val="24"/>
        </w:rPr>
      </w:pPr>
      <w:r w:rsidRPr="00DC34EF">
        <w:rPr>
          <w:rFonts w:ascii="Garamond" w:hAnsi="Garamond" w:cstheme="minorHAnsi"/>
          <w:sz w:val="24"/>
          <w:szCs w:val="24"/>
        </w:rPr>
        <w:t xml:space="preserve">enhance corporate governance as </w:t>
      </w:r>
    </w:p>
    <w:p w:rsidR="00DC34EF" w:rsidRPr="00DC34EF" w:rsidRDefault="00DC34EF" w:rsidP="00456F4D">
      <w:pPr>
        <w:pStyle w:val="ListParagraph"/>
        <w:numPr>
          <w:ilvl w:val="1"/>
          <w:numId w:val="20"/>
        </w:numPr>
        <w:spacing w:after="0" w:line="240" w:lineRule="auto"/>
        <w:ind w:left="2160"/>
        <w:jc w:val="both"/>
        <w:rPr>
          <w:rFonts w:ascii="Garamond" w:hAnsi="Garamond" w:cstheme="minorHAnsi"/>
          <w:sz w:val="24"/>
          <w:szCs w:val="24"/>
        </w:rPr>
      </w:pPr>
      <w:r w:rsidRPr="00DC34EF">
        <w:rPr>
          <w:rFonts w:ascii="Garamond" w:hAnsi="Garamond" w:cstheme="minorHAnsi"/>
          <w:sz w:val="24"/>
          <w:szCs w:val="24"/>
        </w:rPr>
        <w:t>all communication, either through physical or electronic mode would reach the investors</w:t>
      </w:r>
    </w:p>
    <w:p w:rsidR="00DC34EF" w:rsidRPr="00DC34EF" w:rsidRDefault="00DC34EF" w:rsidP="00456F4D">
      <w:pPr>
        <w:pStyle w:val="ListParagraph"/>
        <w:numPr>
          <w:ilvl w:val="1"/>
          <w:numId w:val="20"/>
        </w:numPr>
        <w:spacing w:after="0" w:line="240" w:lineRule="auto"/>
        <w:ind w:left="2160"/>
        <w:jc w:val="both"/>
        <w:rPr>
          <w:rFonts w:ascii="Garamond" w:hAnsi="Garamond" w:cstheme="minorHAnsi"/>
          <w:sz w:val="24"/>
          <w:szCs w:val="24"/>
        </w:rPr>
      </w:pPr>
      <w:r w:rsidRPr="00DC34EF">
        <w:rPr>
          <w:rFonts w:ascii="Garamond" w:hAnsi="Garamond" w:cstheme="minorHAnsi"/>
          <w:sz w:val="24"/>
          <w:szCs w:val="24"/>
        </w:rPr>
        <w:lastRenderedPageBreak/>
        <w:t>there could be higher participation by investors in AGM / EGMs through electronic mode</w:t>
      </w:r>
    </w:p>
    <w:p w:rsidR="00DC34EF" w:rsidRPr="00DC34EF" w:rsidRDefault="00DC34EF" w:rsidP="00456F4D">
      <w:pPr>
        <w:pStyle w:val="ListParagraph"/>
        <w:numPr>
          <w:ilvl w:val="0"/>
          <w:numId w:val="20"/>
        </w:numPr>
        <w:spacing w:after="0" w:line="240" w:lineRule="auto"/>
        <w:ind w:left="1440"/>
        <w:jc w:val="both"/>
        <w:rPr>
          <w:rFonts w:ascii="Garamond" w:hAnsi="Garamond" w:cstheme="minorHAnsi"/>
          <w:sz w:val="24"/>
          <w:szCs w:val="24"/>
        </w:rPr>
      </w:pPr>
      <w:r w:rsidRPr="00DC34EF">
        <w:rPr>
          <w:rFonts w:ascii="Garamond" w:hAnsi="Garamond" w:cstheme="minorHAnsi"/>
          <w:sz w:val="24"/>
          <w:szCs w:val="24"/>
        </w:rPr>
        <w:t xml:space="preserve">prevent fresh creation of unclaimed securities of investors due to compulsory nomination </w:t>
      </w:r>
    </w:p>
    <w:p w:rsidR="00DC34EF" w:rsidRPr="00DC34EF" w:rsidRDefault="00DC34EF" w:rsidP="00DC34EF">
      <w:pPr>
        <w:ind w:left="360"/>
        <w:jc w:val="both"/>
        <w:rPr>
          <w:rFonts w:ascii="Garamond" w:hAnsi="Garamond" w:cstheme="minorHAnsi"/>
          <w:lang w:val="en-US"/>
        </w:rPr>
      </w:pPr>
    </w:p>
    <w:p w:rsidR="00DC34EF" w:rsidRPr="00DC34EF" w:rsidRDefault="00DC34EF" w:rsidP="00DC34EF">
      <w:pPr>
        <w:ind w:left="1080"/>
        <w:jc w:val="both"/>
        <w:rPr>
          <w:rFonts w:ascii="Garamond" w:eastAsia="Calibri" w:hAnsi="Garamond" w:cstheme="minorHAnsi"/>
        </w:rPr>
      </w:pPr>
      <w:r w:rsidRPr="00DC34EF">
        <w:rPr>
          <w:rFonts w:ascii="Garamond" w:hAnsi="Garamond" w:cstheme="minorHAnsi"/>
          <w:lang w:val="en-US"/>
        </w:rPr>
        <w:t xml:space="preserve">Incidentally, it may be mentioned that the Employees’ State Insurance Corporation </w:t>
      </w:r>
      <w:r w:rsidRPr="00DC34EF">
        <w:rPr>
          <w:rFonts w:ascii="Garamond" w:eastAsia="Calibri" w:hAnsi="Garamond" w:cstheme="minorHAnsi"/>
        </w:rPr>
        <w:t>has made it mandatory w.e.f. July 01, 2020</w:t>
      </w:r>
      <w:r w:rsidRPr="00DC34EF">
        <w:rPr>
          <w:rStyle w:val="FootnoteReference"/>
          <w:rFonts w:ascii="Garamond" w:eastAsia="Calibri" w:hAnsi="Garamond" w:cstheme="minorHAnsi"/>
        </w:rPr>
        <w:footnoteReference w:id="33"/>
      </w:r>
      <w:r w:rsidRPr="00DC34EF">
        <w:rPr>
          <w:rFonts w:ascii="Garamond" w:eastAsia="Calibri" w:hAnsi="Garamond" w:cstheme="minorHAnsi"/>
        </w:rPr>
        <w:t>, for all its new constituents to furnish bank account details and mobile number.</w:t>
      </w:r>
    </w:p>
    <w:p w:rsidR="00DC34EF" w:rsidRPr="00DC34EF" w:rsidRDefault="00DC34EF" w:rsidP="00DC34EF">
      <w:pPr>
        <w:ind w:left="720"/>
        <w:jc w:val="both"/>
        <w:rPr>
          <w:rFonts w:ascii="Garamond" w:hAnsi="Garamond" w:cstheme="minorHAnsi"/>
          <w:lang w:val="en-US"/>
        </w:rPr>
      </w:pPr>
    </w:p>
    <w:p w:rsidR="00DC34EF" w:rsidRPr="00DC34EF" w:rsidRDefault="00DC34EF" w:rsidP="00DC34EF">
      <w:pPr>
        <w:ind w:left="1080"/>
        <w:jc w:val="both"/>
        <w:rPr>
          <w:rFonts w:ascii="Garamond" w:hAnsi="Garamond" w:cstheme="minorHAnsi"/>
          <w:lang w:val="en-US"/>
        </w:rPr>
      </w:pPr>
      <w:r w:rsidRPr="00DC34EF">
        <w:rPr>
          <w:rFonts w:ascii="Garamond" w:hAnsi="Garamond" w:cstheme="minorHAnsi"/>
          <w:lang w:val="en-US"/>
        </w:rPr>
        <w:t>The aforesaid compulsory furnishing of demographic details would be applicable for MFs too.</w:t>
      </w:r>
    </w:p>
    <w:p w:rsidR="00DC34EF" w:rsidRPr="00DC34EF" w:rsidRDefault="00DC34EF" w:rsidP="00DC34EF">
      <w:pPr>
        <w:jc w:val="both"/>
        <w:rPr>
          <w:rFonts w:ascii="Garamond" w:hAnsi="Garamond" w:cstheme="minorHAnsi"/>
          <w:lang w:val="en-US"/>
        </w:rPr>
      </w:pPr>
    </w:p>
    <w:p w:rsidR="00DC34EF" w:rsidRPr="00DC34EF" w:rsidRDefault="00DC34EF" w:rsidP="00456F4D">
      <w:pPr>
        <w:pStyle w:val="ListParagraph"/>
        <w:numPr>
          <w:ilvl w:val="3"/>
          <w:numId w:val="25"/>
        </w:numPr>
        <w:spacing w:after="0"/>
        <w:jc w:val="both"/>
        <w:rPr>
          <w:rFonts w:ascii="Garamond" w:hAnsi="Garamond" w:cstheme="minorHAnsi"/>
          <w:sz w:val="24"/>
          <w:szCs w:val="24"/>
          <w:u w:val="single"/>
        </w:rPr>
      </w:pPr>
      <w:bookmarkStart w:id="44" w:name="_Ref60133650"/>
      <w:r w:rsidRPr="00DC34EF">
        <w:rPr>
          <w:rFonts w:ascii="Garamond" w:hAnsi="Garamond" w:cstheme="minorHAnsi"/>
          <w:sz w:val="24"/>
          <w:szCs w:val="24"/>
        </w:rPr>
        <w:t>Nomination</w:t>
      </w:r>
    </w:p>
    <w:bookmarkEnd w:id="44"/>
    <w:p w:rsidR="00DC34EF" w:rsidRPr="00DC34EF" w:rsidRDefault="00DC34EF" w:rsidP="00456F4D">
      <w:pPr>
        <w:pStyle w:val="ListParagraph"/>
        <w:numPr>
          <w:ilvl w:val="4"/>
          <w:numId w:val="25"/>
        </w:numPr>
        <w:spacing w:after="0"/>
        <w:jc w:val="both"/>
        <w:rPr>
          <w:rFonts w:ascii="Garamond" w:hAnsi="Garamond" w:cstheme="minorHAnsi"/>
          <w:sz w:val="24"/>
          <w:szCs w:val="24"/>
          <w:u w:val="single"/>
        </w:rPr>
      </w:pPr>
    </w:p>
    <w:p w:rsidR="00DC34EF" w:rsidRPr="00DC34EF" w:rsidRDefault="00DC34EF" w:rsidP="00DC34EF">
      <w:pPr>
        <w:ind w:left="1440"/>
        <w:jc w:val="both"/>
        <w:rPr>
          <w:rFonts w:ascii="Garamond" w:hAnsi="Garamond" w:cstheme="minorHAnsi"/>
          <w:lang w:val="en-US"/>
        </w:rPr>
      </w:pPr>
      <w:r w:rsidRPr="00DC34EF">
        <w:rPr>
          <w:rFonts w:ascii="Garamond" w:hAnsi="Garamond" w:cstheme="minorHAnsi"/>
          <w:lang w:val="en-US"/>
        </w:rPr>
        <w:t>The Companies (Share Capital and Debenture Amendment) Rules, 2015, notified on March 18, 2015, provides the form for nomination. However, there is no legal / regulatory norm for it to be insisted. As regards demat accounts, from January 2009 onwards the account opening form provides the option to the investor to either provide nomination or alternatively choose, ‘I do not wish to nominate’</w:t>
      </w:r>
      <w:r w:rsidRPr="00DC34EF">
        <w:rPr>
          <w:rStyle w:val="FootnoteReference"/>
          <w:rFonts w:ascii="Garamond" w:hAnsi="Garamond" w:cstheme="minorHAnsi"/>
          <w:lang w:val="en-US"/>
        </w:rPr>
        <w:footnoteReference w:id="34"/>
      </w:r>
      <w:r w:rsidRPr="00DC34EF">
        <w:rPr>
          <w:rFonts w:ascii="Garamond" w:hAnsi="Garamond" w:cstheme="minorHAnsi"/>
          <w:lang w:val="en-US"/>
        </w:rPr>
        <w:t xml:space="preserve">. The outcome of these policy stances are reflected in the less than desirable level of nomination in folios and demat accounts, as given in </w:t>
      </w:r>
      <w:r w:rsidRPr="00DC34EF">
        <w:rPr>
          <w:rFonts w:ascii="Garamond" w:hAnsi="Garamond" w:cstheme="minorHAnsi"/>
          <w:lang w:val="en-US"/>
        </w:rPr>
        <w:fldChar w:fldCharType="begin"/>
      </w:r>
      <w:r w:rsidRPr="00DC34EF">
        <w:rPr>
          <w:rFonts w:ascii="Garamond" w:hAnsi="Garamond" w:cstheme="minorHAnsi"/>
          <w:lang w:val="en-US"/>
        </w:rPr>
        <w:instrText xml:space="preserve"> REF _Ref66181457 \h  \* MERGEFORMAT </w:instrText>
      </w:r>
      <w:r w:rsidRPr="00DC34EF">
        <w:rPr>
          <w:rFonts w:ascii="Garamond" w:hAnsi="Garamond" w:cstheme="minorHAnsi"/>
          <w:lang w:val="en-US"/>
        </w:rPr>
      </w:r>
      <w:r w:rsidRPr="00DC34EF">
        <w:rPr>
          <w:rFonts w:ascii="Garamond" w:hAnsi="Garamond" w:cstheme="minorHAnsi"/>
          <w:lang w:val="en-US"/>
        </w:rPr>
        <w:fldChar w:fldCharType="separate"/>
      </w:r>
      <w:r w:rsidRPr="00DC34EF">
        <w:rPr>
          <w:rFonts w:ascii="Garamond" w:hAnsi="Garamond" w:cstheme="minorHAnsi"/>
        </w:rPr>
        <w:t xml:space="preserve">Table </w:t>
      </w:r>
      <w:r w:rsidRPr="00DC34EF">
        <w:rPr>
          <w:rFonts w:ascii="Garamond" w:hAnsi="Garamond" w:cstheme="minorHAnsi"/>
          <w:noProof/>
        </w:rPr>
        <w:t>5</w:t>
      </w:r>
      <w:r w:rsidRPr="00DC34EF">
        <w:rPr>
          <w:rFonts w:ascii="Garamond" w:hAnsi="Garamond" w:cstheme="minorHAnsi"/>
          <w:lang w:val="en-US"/>
        </w:rPr>
        <w:fldChar w:fldCharType="end"/>
      </w:r>
      <w:r w:rsidRPr="00DC34EF">
        <w:rPr>
          <w:rFonts w:ascii="Garamond" w:hAnsi="Garamond" w:cstheme="minorHAnsi"/>
          <w:lang w:val="en-US"/>
        </w:rPr>
        <w:t>.</w:t>
      </w:r>
    </w:p>
    <w:p w:rsidR="00DC34EF" w:rsidRPr="00DC34EF" w:rsidRDefault="00DC34EF" w:rsidP="00DC34EF">
      <w:pPr>
        <w:ind w:left="1440"/>
        <w:jc w:val="both"/>
        <w:rPr>
          <w:rFonts w:ascii="Garamond" w:hAnsi="Garamond" w:cstheme="minorHAnsi"/>
          <w:lang w:val="en-US"/>
        </w:rPr>
      </w:pPr>
    </w:p>
    <w:p w:rsidR="00DC34EF" w:rsidRPr="00DC34EF" w:rsidRDefault="00DC34EF" w:rsidP="00DC34EF">
      <w:pPr>
        <w:ind w:left="1440"/>
        <w:jc w:val="both"/>
        <w:rPr>
          <w:rFonts w:ascii="Garamond" w:hAnsi="Garamond" w:cstheme="minorHAnsi"/>
          <w:lang w:val="en-US"/>
        </w:rPr>
      </w:pPr>
      <w:r w:rsidRPr="00DC34EF">
        <w:rPr>
          <w:rFonts w:ascii="Garamond" w:hAnsi="Garamond" w:cstheme="minorHAnsi"/>
          <w:lang w:val="en-US"/>
        </w:rPr>
        <w:t>Contextually, it would be relevant to delve into aspects of behavioral economics to formulate an optimal policy stance. The Economic Survey, 2018-19</w:t>
      </w:r>
      <w:r w:rsidRPr="00DC34EF">
        <w:rPr>
          <w:rStyle w:val="FootnoteReference"/>
          <w:rFonts w:ascii="Garamond" w:hAnsi="Garamond" w:cstheme="minorHAnsi"/>
          <w:lang w:val="en-US"/>
        </w:rPr>
        <w:footnoteReference w:id="35"/>
      </w:r>
      <w:r w:rsidRPr="00DC34EF">
        <w:rPr>
          <w:rFonts w:ascii="Garamond" w:hAnsi="Garamond" w:cstheme="minorHAnsi"/>
          <w:lang w:val="en-US"/>
        </w:rPr>
        <w:t xml:space="preserve">, describes the grades in the spectrum of public policy as 1) </w:t>
      </w:r>
      <w:r w:rsidRPr="00DC34EF">
        <w:rPr>
          <w:rFonts w:ascii="Garamond" w:hAnsi="Garamond" w:cstheme="minorHAnsi"/>
          <w:i/>
          <w:iCs/>
          <w:lang w:val="en-US"/>
        </w:rPr>
        <w:t>Laisse faire</w:t>
      </w:r>
      <w:r w:rsidRPr="00DC34EF">
        <w:rPr>
          <w:rFonts w:ascii="Garamond" w:hAnsi="Garamond" w:cstheme="minorHAnsi"/>
          <w:lang w:val="en-US"/>
        </w:rPr>
        <w:t xml:space="preserve"> 2) Nudge</w:t>
      </w:r>
      <w:r w:rsidRPr="00DC34EF">
        <w:rPr>
          <w:rStyle w:val="FootnoteReference"/>
          <w:rFonts w:ascii="Garamond" w:hAnsi="Garamond" w:cstheme="minorHAnsi"/>
          <w:lang w:val="en-US"/>
        </w:rPr>
        <w:footnoteReference w:id="36"/>
      </w:r>
      <w:r w:rsidRPr="00DC34EF">
        <w:rPr>
          <w:rFonts w:ascii="Garamond" w:hAnsi="Garamond" w:cstheme="minorHAnsi"/>
          <w:lang w:val="en-US"/>
        </w:rPr>
        <w:t xml:space="preserve"> 3) Incentive and 4) Mandate. It also states that, “</w:t>
      </w:r>
      <w:r w:rsidRPr="00DC34EF">
        <w:rPr>
          <w:rFonts w:ascii="Garamond" w:hAnsi="Garamond" w:cstheme="minorHAnsi"/>
          <w:i/>
          <w:iCs/>
          <w:lang w:val="en-US"/>
        </w:rPr>
        <w:t>as people are given to tremendous inertia when making a choice, they prefer sticking to default option</w:t>
      </w:r>
      <w:r w:rsidRPr="00DC34EF">
        <w:rPr>
          <w:rFonts w:ascii="Garamond" w:hAnsi="Garamond" w:cstheme="minorHAnsi"/>
          <w:lang w:val="en-US"/>
        </w:rPr>
        <w:t>”.</w:t>
      </w:r>
    </w:p>
    <w:p w:rsidR="00DC34EF" w:rsidRPr="00DC34EF" w:rsidRDefault="00DC34EF" w:rsidP="00DC34EF">
      <w:pPr>
        <w:ind w:left="1080"/>
        <w:jc w:val="both"/>
        <w:rPr>
          <w:rFonts w:ascii="Garamond" w:hAnsi="Garamond" w:cstheme="minorHAnsi"/>
          <w:lang w:val="en-US"/>
        </w:rPr>
      </w:pPr>
      <w:r w:rsidRPr="00DC34EF">
        <w:rPr>
          <w:rFonts w:ascii="Garamond" w:hAnsi="Garamond" w:cstheme="minorHAnsi"/>
          <w:lang w:val="en-US"/>
        </w:rPr>
        <w:t xml:space="preserve"> </w:t>
      </w:r>
    </w:p>
    <w:p w:rsidR="00DC34EF" w:rsidRPr="00DC34EF" w:rsidRDefault="00DC34EF" w:rsidP="00DC34EF">
      <w:pPr>
        <w:ind w:left="1440"/>
        <w:jc w:val="both"/>
        <w:rPr>
          <w:rFonts w:ascii="Garamond" w:hAnsi="Garamond" w:cstheme="minorHAnsi"/>
          <w:lang w:val="en-US"/>
        </w:rPr>
      </w:pPr>
      <w:r w:rsidRPr="00DC34EF">
        <w:rPr>
          <w:rFonts w:ascii="Garamond" w:hAnsi="Garamond" w:cstheme="minorHAnsi"/>
          <w:lang w:val="en-US"/>
        </w:rPr>
        <w:t xml:space="preserve">Clearly, the first and second of the foregoing options have not been effective in shoring up the levels of nomination in the case of physical shares and demat accounts, respectively. Hence, it is recommended to escalate the policy stance to ‘mandate’ i.e. it shall be compulsory for investors to provide nomination for their single holding folios / demat accounts. Investors who do not wish to nominate, shall have to separately furnish a hand written declaration that effect, to the concerned RTA / DP. The format of the demat account opening form of the Depositories will have to be suitably modified to remove the choice available at present.  </w:t>
      </w:r>
    </w:p>
    <w:p w:rsidR="00DC34EF" w:rsidRPr="00DC34EF" w:rsidRDefault="00DC34EF" w:rsidP="00DC34EF">
      <w:pPr>
        <w:ind w:left="360"/>
        <w:jc w:val="both"/>
        <w:rPr>
          <w:rFonts w:ascii="Garamond" w:hAnsi="Garamond" w:cstheme="minorHAnsi"/>
          <w:lang w:val="en-US"/>
        </w:rPr>
      </w:pPr>
    </w:p>
    <w:p w:rsidR="00DC34EF" w:rsidRPr="00DC34EF" w:rsidRDefault="00DC34EF" w:rsidP="00DC34EF">
      <w:pPr>
        <w:ind w:left="1440"/>
        <w:jc w:val="both"/>
        <w:rPr>
          <w:rFonts w:ascii="Garamond" w:hAnsi="Garamond" w:cstheme="minorHAnsi"/>
          <w:lang w:val="en-US"/>
        </w:rPr>
      </w:pPr>
      <w:r w:rsidRPr="00DC34EF">
        <w:rPr>
          <w:rFonts w:ascii="Garamond" w:hAnsi="Garamond" w:cstheme="minorHAnsi"/>
          <w:lang w:val="en-US"/>
        </w:rPr>
        <w:t xml:space="preserve">It is posited that the </w:t>
      </w:r>
      <w:r w:rsidRPr="00D91B4B">
        <w:rPr>
          <w:rFonts w:ascii="Garamond" w:hAnsi="Garamond" w:cstheme="minorHAnsi"/>
          <w:lang w:val="en-US"/>
        </w:rPr>
        <w:t xml:space="preserve">sheer </w:t>
      </w:r>
      <w:r w:rsidR="00FC7F9B" w:rsidRPr="00D91B4B">
        <w:rPr>
          <w:rFonts w:ascii="Garamond" w:hAnsi="Garamond" w:cstheme="minorHAnsi"/>
          <w:lang w:val="en-US"/>
        </w:rPr>
        <w:t>‘inertia</w:t>
      </w:r>
      <w:r w:rsidRPr="00D91B4B">
        <w:rPr>
          <w:rFonts w:ascii="Garamond" w:hAnsi="Garamond" w:cstheme="minorHAnsi"/>
          <w:lang w:val="en-US"/>
        </w:rPr>
        <w:t>’</w:t>
      </w:r>
      <w:r w:rsidRPr="00A20B1A">
        <w:rPr>
          <w:rFonts w:ascii="Garamond" w:hAnsi="Garamond" w:cstheme="minorHAnsi"/>
          <w:lang w:val="en-US"/>
        </w:rPr>
        <w:t>, as</w:t>
      </w:r>
      <w:r w:rsidRPr="00DC34EF">
        <w:rPr>
          <w:rFonts w:ascii="Garamond" w:hAnsi="Garamond" w:cstheme="minorHAnsi"/>
          <w:lang w:val="en-US"/>
        </w:rPr>
        <w:t xml:space="preserve"> mentioned in the Economic Survey, will deter investors from furnishing a separate hand written declaration not to avail nomination, thus ushering in the desired outcome of total nomination in securities market.  </w:t>
      </w:r>
    </w:p>
    <w:p w:rsidR="00DC34EF" w:rsidRPr="00DC34EF" w:rsidRDefault="00DC34EF" w:rsidP="00DC34EF">
      <w:pPr>
        <w:ind w:left="1440"/>
        <w:jc w:val="both"/>
        <w:rPr>
          <w:rFonts w:ascii="Garamond" w:hAnsi="Garamond" w:cstheme="minorHAnsi"/>
          <w:lang w:val="en-US"/>
        </w:rPr>
      </w:pPr>
    </w:p>
    <w:p w:rsidR="00DC34EF" w:rsidRPr="00DC34EF" w:rsidRDefault="00DC34EF" w:rsidP="00DC34EF">
      <w:pPr>
        <w:ind w:left="1440"/>
        <w:jc w:val="both"/>
        <w:rPr>
          <w:rFonts w:ascii="Garamond" w:hAnsi="Garamond" w:cstheme="minorHAnsi"/>
          <w:lang w:val="en-US"/>
        </w:rPr>
      </w:pPr>
      <w:r w:rsidRPr="00DC34EF">
        <w:rPr>
          <w:rFonts w:ascii="Garamond" w:hAnsi="Garamond" w:cstheme="minorHAnsi"/>
          <w:lang w:val="en-US"/>
        </w:rPr>
        <w:lastRenderedPageBreak/>
        <w:t xml:space="preserve">The foregoing would also be applicable for MFs too, as AMCs are at present only required to promote nomination.   </w:t>
      </w:r>
    </w:p>
    <w:p w:rsidR="00DC34EF" w:rsidRPr="00DC34EF" w:rsidRDefault="00DC34EF" w:rsidP="00DC34EF">
      <w:pPr>
        <w:pStyle w:val="ListParagraph"/>
        <w:spacing w:after="0"/>
        <w:ind w:left="1440"/>
        <w:jc w:val="both"/>
        <w:rPr>
          <w:rFonts w:ascii="Garamond" w:hAnsi="Garamond" w:cstheme="minorHAnsi"/>
          <w:sz w:val="24"/>
          <w:szCs w:val="24"/>
        </w:rPr>
      </w:pPr>
    </w:p>
    <w:p w:rsidR="00DC34EF" w:rsidRPr="00DC34EF" w:rsidRDefault="00DC34EF" w:rsidP="00456F4D">
      <w:pPr>
        <w:pStyle w:val="ListParagraph"/>
        <w:numPr>
          <w:ilvl w:val="4"/>
          <w:numId w:val="25"/>
        </w:numPr>
        <w:spacing w:after="0"/>
        <w:jc w:val="both"/>
        <w:rPr>
          <w:rFonts w:ascii="Garamond" w:hAnsi="Garamond" w:cstheme="minorHAnsi"/>
          <w:sz w:val="24"/>
          <w:szCs w:val="24"/>
        </w:rPr>
      </w:pPr>
      <w:r w:rsidRPr="00DC34EF">
        <w:rPr>
          <w:rFonts w:ascii="Garamond" w:hAnsi="Garamond" w:cstheme="minorHAnsi"/>
          <w:sz w:val="24"/>
          <w:szCs w:val="24"/>
        </w:rPr>
        <w:t xml:space="preserve">E-nomination </w:t>
      </w:r>
    </w:p>
    <w:p w:rsidR="00DC34EF" w:rsidRPr="00DC34EF" w:rsidRDefault="00DC34EF" w:rsidP="00DC34EF">
      <w:pPr>
        <w:ind w:left="1440"/>
        <w:jc w:val="both"/>
        <w:rPr>
          <w:rFonts w:ascii="Garamond" w:hAnsi="Garamond" w:cstheme="minorHAnsi"/>
          <w:lang w:val="en-US"/>
        </w:rPr>
      </w:pPr>
      <w:r w:rsidRPr="00DC34EF">
        <w:rPr>
          <w:rFonts w:ascii="Garamond" w:hAnsi="Garamond" w:cstheme="minorHAnsi"/>
          <w:lang w:val="en-US"/>
        </w:rPr>
        <w:t>The availability of E-nomination would enhance the level of nomination. Under the Rules</w:t>
      </w:r>
      <w:r w:rsidRPr="00DC34EF">
        <w:rPr>
          <w:rStyle w:val="FootnoteReference"/>
          <w:rFonts w:ascii="Garamond" w:hAnsi="Garamond" w:cstheme="minorHAnsi"/>
          <w:lang w:val="en-US"/>
        </w:rPr>
        <w:footnoteReference w:id="37"/>
      </w:r>
      <w:r w:rsidRPr="00DC34EF">
        <w:rPr>
          <w:rFonts w:ascii="Garamond" w:hAnsi="Garamond" w:cstheme="minorHAnsi"/>
          <w:lang w:val="en-US"/>
        </w:rPr>
        <w:t xml:space="preserve"> under Companies Act, 2013, witness along with signature is required for nomination of physical shares and this is a barrier for seamless e-nomination. It is noted that witness for nomination is not a requirement in MF units, savings bank accounts and fixed deposits with banks and also for insurance policies. Similarly, </w:t>
      </w:r>
      <w:r w:rsidRPr="00A20B1A">
        <w:rPr>
          <w:rFonts w:ascii="Garamond" w:hAnsi="Garamond" w:cstheme="minorHAnsi"/>
          <w:lang w:val="en-US"/>
        </w:rPr>
        <w:t>New Pension Scheme (NPS) also</w:t>
      </w:r>
      <w:r w:rsidRPr="00DC34EF">
        <w:rPr>
          <w:rFonts w:ascii="Garamond" w:hAnsi="Garamond" w:cstheme="minorHAnsi"/>
          <w:lang w:val="en-US"/>
        </w:rPr>
        <w:t xml:space="preserve"> allows change in nominee details on-line through login credentials</w:t>
      </w:r>
      <w:r w:rsidRPr="00DC34EF">
        <w:rPr>
          <w:rStyle w:val="FootnoteReference"/>
          <w:rFonts w:ascii="Garamond" w:hAnsi="Garamond" w:cstheme="minorHAnsi"/>
          <w:lang w:val="en-US"/>
        </w:rPr>
        <w:footnoteReference w:id="38"/>
      </w:r>
      <w:r w:rsidRPr="00DC34EF">
        <w:rPr>
          <w:rFonts w:ascii="Garamond" w:hAnsi="Garamond" w:cstheme="minorHAnsi"/>
          <w:lang w:val="en-US"/>
        </w:rPr>
        <w:t xml:space="preserve">.   </w:t>
      </w:r>
    </w:p>
    <w:p w:rsidR="00DC34EF" w:rsidRPr="00DC34EF" w:rsidRDefault="00DC34EF" w:rsidP="00DC34EF">
      <w:pPr>
        <w:ind w:left="1440"/>
        <w:jc w:val="both"/>
        <w:rPr>
          <w:rFonts w:ascii="Garamond" w:hAnsi="Garamond" w:cstheme="minorHAnsi"/>
          <w:lang w:val="en-US"/>
        </w:rPr>
      </w:pPr>
    </w:p>
    <w:p w:rsidR="00DC34EF" w:rsidRPr="00DC34EF" w:rsidRDefault="00DC34EF" w:rsidP="00DC34EF">
      <w:pPr>
        <w:ind w:left="1440"/>
        <w:jc w:val="both"/>
        <w:rPr>
          <w:rFonts w:ascii="Garamond" w:hAnsi="Garamond" w:cstheme="minorHAnsi"/>
          <w:lang w:val="en-US"/>
        </w:rPr>
      </w:pPr>
      <w:r w:rsidRPr="00DC34EF">
        <w:rPr>
          <w:rFonts w:ascii="Garamond" w:hAnsi="Garamond" w:cstheme="minorHAnsi"/>
          <w:lang w:val="en-US"/>
        </w:rPr>
        <w:t>The facility of e-KYC through Aadhaar authentication has been allowed for opening of trading, demat and MF accounts</w:t>
      </w:r>
      <w:r w:rsidRPr="00DC34EF">
        <w:rPr>
          <w:rStyle w:val="FootnoteReference"/>
          <w:rFonts w:ascii="Garamond" w:hAnsi="Garamond" w:cstheme="minorHAnsi"/>
          <w:lang w:val="en-US"/>
        </w:rPr>
        <w:footnoteReference w:id="39"/>
      </w:r>
      <w:r w:rsidRPr="00DC34EF">
        <w:rPr>
          <w:rFonts w:ascii="Garamond" w:hAnsi="Garamond" w:cstheme="minorHAnsi"/>
          <w:lang w:val="en-US"/>
        </w:rPr>
        <w:t>. It is</w:t>
      </w:r>
      <w:r w:rsidRPr="00DC34EF">
        <w:rPr>
          <w:rFonts w:ascii="Garamond" w:hAnsi="Garamond" w:cstheme="minorHAnsi"/>
          <w:b/>
          <w:bCs/>
          <w:color w:val="0070C0"/>
          <w:lang w:val="en-US"/>
        </w:rPr>
        <w:t xml:space="preserve"> </w:t>
      </w:r>
      <w:r w:rsidRPr="00DC34EF">
        <w:rPr>
          <w:rFonts w:ascii="Garamond" w:hAnsi="Garamond" w:cstheme="minorHAnsi"/>
          <w:lang w:val="en-US"/>
        </w:rPr>
        <w:t xml:space="preserve">recommended adapting from this procedure, that e-nomination with e-witness be ushered for entire securities market and not just for demat accounts alone.  </w:t>
      </w:r>
    </w:p>
    <w:p w:rsidR="00DC34EF" w:rsidRPr="00DC34EF" w:rsidRDefault="00DC34EF" w:rsidP="00DC34EF">
      <w:pPr>
        <w:ind w:left="1440"/>
        <w:jc w:val="both"/>
        <w:rPr>
          <w:rFonts w:ascii="Garamond" w:hAnsi="Garamond" w:cstheme="minorHAnsi"/>
          <w:lang w:val="en-US"/>
        </w:rPr>
      </w:pPr>
    </w:p>
    <w:p w:rsidR="00DC34EF" w:rsidRPr="00DC34EF" w:rsidRDefault="00DC34EF" w:rsidP="00DC34EF">
      <w:pPr>
        <w:jc w:val="both"/>
        <w:rPr>
          <w:rFonts w:ascii="Garamond" w:hAnsi="Garamond" w:cstheme="minorHAnsi"/>
          <w:lang w:val="en-US"/>
        </w:rPr>
      </w:pPr>
    </w:p>
    <w:p w:rsidR="00DC34EF" w:rsidRPr="00DC34EF" w:rsidRDefault="00DC34EF" w:rsidP="00456F4D">
      <w:pPr>
        <w:pStyle w:val="ListParagraph"/>
        <w:numPr>
          <w:ilvl w:val="3"/>
          <w:numId w:val="25"/>
        </w:numPr>
        <w:spacing w:after="0"/>
        <w:jc w:val="both"/>
        <w:rPr>
          <w:rFonts w:ascii="Garamond" w:hAnsi="Garamond" w:cstheme="minorHAnsi"/>
          <w:bCs/>
          <w:sz w:val="24"/>
          <w:szCs w:val="24"/>
        </w:rPr>
      </w:pPr>
      <w:bookmarkStart w:id="45" w:name="_Ref60133661"/>
      <w:r w:rsidRPr="00DC34EF">
        <w:rPr>
          <w:rFonts w:ascii="Garamond" w:hAnsi="Garamond" w:cstheme="minorHAnsi"/>
          <w:sz w:val="24"/>
          <w:szCs w:val="24"/>
        </w:rPr>
        <w:t>Interoperability</w:t>
      </w:r>
      <w:r w:rsidRPr="00DC34EF">
        <w:rPr>
          <w:rFonts w:ascii="Garamond" w:hAnsi="Garamond" w:cstheme="minorHAnsi"/>
          <w:bCs/>
          <w:sz w:val="24"/>
          <w:szCs w:val="24"/>
        </w:rPr>
        <w:t xml:space="preserve"> of KYC for physical holdings:</w:t>
      </w:r>
      <w:bookmarkEnd w:id="45"/>
    </w:p>
    <w:p w:rsidR="00DC34EF" w:rsidRPr="00DC34EF" w:rsidRDefault="00DC34EF" w:rsidP="00DC34EF">
      <w:pPr>
        <w:ind w:left="1080"/>
        <w:jc w:val="both"/>
        <w:rPr>
          <w:rFonts w:ascii="Garamond" w:hAnsi="Garamond" w:cstheme="minorHAnsi"/>
          <w:lang w:val="en-US"/>
        </w:rPr>
      </w:pPr>
      <w:r w:rsidRPr="00DC34EF">
        <w:rPr>
          <w:rFonts w:ascii="Garamond" w:hAnsi="Garamond" w:cstheme="minorHAnsi"/>
          <w:lang w:val="en-US"/>
        </w:rPr>
        <w:t>It is recommended</w:t>
      </w:r>
      <w:r w:rsidRPr="00DC34EF">
        <w:rPr>
          <w:rStyle w:val="FootnoteReference"/>
          <w:rFonts w:ascii="Garamond" w:hAnsi="Garamond" w:cstheme="minorHAnsi"/>
          <w:lang w:val="en-US"/>
        </w:rPr>
        <w:footnoteReference w:id="40"/>
      </w:r>
      <w:r w:rsidRPr="00DC34EF">
        <w:rPr>
          <w:rFonts w:ascii="Garamond" w:hAnsi="Garamond" w:cstheme="minorHAnsi"/>
          <w:lang w:val="en-US"/>
        </w:rPr>
        <w:t xml:space="preserve"> that investors be allowed to provide or update their demographic details to / with the RTAs, with that which is already available with the KRA or CKYCRR</w:t>
      </w:r>
      <w:r w:rsidRPr="00DC34EF">
        <w:rPr>
          <w:rStyle w:val="FootnoteReference"/>
          <w:rFonts w:ascii="Garamond" w:hAnsi="Garamond" w:cstheme="minorHAnsi"/>
          <w:lang w:val="en-US"/>
        </w:rPr>
        <w:footnoteReference w:id="41"/>
      </w:r>
      <w:r w:rsidRPr="00DC34EF">
        <w:rPr>
          <w:rFonts w:ascii="Garamond" w:hAnsi="Garamond" w:cstheme="minorHAnsi"/>
          <w:lang w:val="en-US"/>
        </w:rPr>
        <w:t>. The KYC of physical shareholders, pertaining to his / her bank is already available with CKYCRR. Further, if the physical shareholder has investment in, say, mutual fund, his / her KYC is available with the KRA. It is proposed that with proper authentication mechanism, the investor be enabled to authorize the RTA to fetch and link this aforesaid KYC to his folio</w:t>
      </w:r>
      <w:r w:rsidRPr="00DC34EF">
        <w:rPr>
          <w:rStyle w:val="FootnoteReference"/>
          <w:rFonts w:ascii="Garamond" w:hAnsi="Garamond" w:cstheme="minorHAnsi"/>
          <w:lang w:val="en-US"/>
        </w:rPr>
        <w:footnoteReference w:id="42"/>
      </w:r>
      <w:r w:rsidRPr="00DC34EF">
        <w:rPr>
          <w:rFonts w:ascii="Garamond" w:hAnsi="Garamond" w:cstheme="minorHAnsi"/>
          <w:lang w:val="en-US"/>
        </w:rPr>
        <w:t xml:space="preserve">. This will eliminate the need for physical shareholders to repeat KYC with all the RTAs which have their folios. </w:t>
      </w:r>
    </w:p>
    <w:p w:rsidR="00DC34EF" w:rsidRPr="00DC34EF" w:rsidRDefault="00DC34EF" w:rsidP="00DC34EF">
      <w:pPr>
        <w:jc w:val="both"/>
        <w:rPr>
          <w:rFonts w:ascii="Garamond" w:hAnsi="Garamond" w:cstheme="minorHAnsi"/>
          <w:lang w:val="en-US"/>
        </w:rPr>
      </w:pPr>
    </w:p>
    <w:p w:rsidR="00DC34EF" w:rsidRPr="00DC34EF" w:rsidRDefault="00DC34EF" w:rsidP="00456F4D">
      <w:pPr>
        <w:pStyle w:val="ListParagraph"/>
        <w:numPr>
          <w:ilvl w:val="3"/>
          <w:numId w:val="25"/>
        </w:numPr>
        <w:spacing w:after="0"/>
        <w:jc w:val="both"/>
        <w:rPr>
          <w:rFonts w:ascii="Garamond" w:hAnsi="Garamond" w:cstheme="minorHAnsi"/>
          <w:sz w:val="24"/>
          <w:szCs w:val="24"/>
        </w:rPr>
      </w:pPr>
      <w:bookmarkStart w:id="46" w:name="_Ref60133685"/>
      <w:r w:rsidRPr="00DC34EF">
        <w:rPr>
          <w:rFonts w:ascii="Garamond" w:hAnsi="Garamond" w:cstheme="minorHAnsi"/>
          <w:sz w:val="24"/>
          <w:szCs w:val="24"/>
        </w:rPr>
        <w:t xml:space="preserve">KYC with </w:t>
      </w:r>
      <w:r w:rsidRPr="00DC34EF">
        <w:rPr>
          <w:rFonts w:ascii="Garamond" w:hAnsi="Garamond" w:cstheme="minorHAnsi"/>
          <w:bCs/>
          <w:sz w:val="24"/>
          <w:szCs w:val="24"/>
        </w:rPr>
        <w:t>KRA</w:t>
      </w:r>
      <w:r w:rsidRPr="00DC34EF">
        <w:rPr>
          <w:rFonts w:ascii="Garamond" w:hAnsi="Garamond" w:cstheme="minorHAnsi"/>
          <w:sz w:val="24"/>
          <w:szCs w:val="24"/>
        </w:rPr>
        <w:t xml:space="preserve"> and CKYCRR to also capture nomination:</w:t>
      </w:r>
      <w:bookmarkEnd w:id="46"/>
      <w:r w:rsidRPr="00DC34EF">
        <w:rPr>
          <w:rFonts w:ascii="Garamond" w:hAnsi="Garamond" w:cstheme="minorHAnsi"/>
          <w:sz w:val="24"/>
          <w:szCs w:val="24"/>
        </w:rPr>
        <w:t xml:space="preserve"> </w:t>
      </w:r>
    </w:p>
    <w:p w:rsidR="00DC34EF" w:rsidRPr="00DC34EF" w:rsidRDefault="00DC34EF" w:rsidP="00DC34EF">
      <w:pPr>
        <w:ind w:left="1080"/>
        <w:jc w:val="both"/>
        <w:rPr>
          <w:rFonts w:ascii="Garamond" w:hAnsi="Garamond" w:cstheme="minorHAnsi"/>
          <w:lang w:val="en-US"/>
        </w:rPr>
      </w:pPr>
      <w:r w:rsidRPr="00DC34EF">
        <w:rPr>
          <w:rFonts w:ascii="Garamond" w:hAnsi="Garamond" w:cstheme="minorHAnsi"/>
          <w:lang w:val="en-US"/>
        </w:rPr>
        <w:t xml:space="preserve">It is also recommended that KRA and CKYCRR may be mandated to additionally capture nomination details in KYC, which would also be compulsory, as described earlier. This will substantially prevent the creation of unclaimed assets, across the </w:t>
      </w:r>
      <w:r w:rsidRPr="00B31643">
        <w:rPr>
          <w:rFonts w:ascii="Garamond" w:hAnsi="Garamond" w:cstheme="minorHAnsi"/>
          <w:lang w:val="en-US"/>
        </w:rPr>
        <w:t>entire financial services sector</w:t>
      </w:r>
      <w:r w:rsidRPr="00DC34EF">
        <w:rPr>
          <w:rFonts w:ascii="Garamond" w:hAnsi="Garamond" w:cstheme="minorHAnsi"/>
          <w:lang w:val="en-US"/>
        </w:rPr>
        <w:t xml:space="preserve">.   </w:t>
      </w:r>
    </w:p>
    <w:p w:rsidR="00DC34EF" w:rsidRPr="00DC34EF" w:rsidRDefault="00DC34EF" w:rsidP="00DC34EF">
      <w:pPr>
        <w:jc w:val="both"/>
        <w:rPr>
          <w:rFonts w:ascii="Garamond" w:hAnsi="Garamond" w:cstheme="minorHAnsi"/>
          <w:highlight w:val="yellow"/>
          <w:lang w:val="en-US"/>
        </w:rPr>
      </w:pPr>
    </w:p>
    <w:p w:rsidR="00DC34EF" w:rsidRPr="00DC34EF" w:rsidRDefault="00DC34EF" w:rsidP="00DC34EF">
      <w:pPr>
        <w:jc w:val="both"/>
        <w:rPr>
          <w:rFonts w:ascii="Garamond" w:hAnsi="Garamond" w:cstheme="minorHAnsi"/>
          <w:highlight w:val="yellow"/>
          <w:lang w:val="en-US"/>
        </w:rPr>
      </w:pPr>
    </w:p>
    <w:p w:rsidR="00DC34EF" w:rsidRPr="00DC34EF" w:rsidRDefault="00DC34EF" w:rsidP="00456F4D">
      <w:pPr>
        <w:pStyle w:val="ListParagraph"/>
        <w:numPr>
          <w:ilvl w:val="2"/>
          <w:numId w:val="25"/>
        </w:numPr>
        <w:spacing w:after="0"/>
        <w:jc w:val="both"/>
        <w:rPr>
          <w:rFonts w:ascii="Garamond" w:hAnsi="Garamond" w:cstheme="minorHAnsi"/>
          <w:sz w:val="24"/>
          <w:szCs w:val="24"/>
        </w:rPr>
      </w:pPr>
      <w:bookmarkStart w:id="47" w:name="_Ref60133832"/>
      <w:r w:rsidRPr="00DC34EF">
        <w:rPr>
          <w:rFonts w:ascii="Garamond" w:hAnsi="Garamond" w:cstheme="minorHAnsi"/>
          <w:sz w:val="24"/>
          <w:szCs w:val="24"/>
        </w:rPr>
        <w:t xml:space="preserve">Simplification of norms </w:t>
      </w:r>
    </w:p>
    <w:p w:rsidR="00DC34EF" w:rsidRPr="00DC34EF" w:rsidRDefault="00DC34EF" w:rsidP="00456F4D">
      <w:pPr>
        <w:pStyle w:val="ListParagraph"/>
        <w:numPr>
          <w:ilvl w:val="3"/>
          <w:numId w:val="25"/>
        </w:numPr>
        <w:spacing w:after="0"/>
        <w:jc w:val="both"/>
        <w:rPr>
          <w:rFonts w:ascii="Garamond" w:hAnsi="Garamond" w:cstheme="minorHAnsi"/>
          <w:sz w:val="24"/>
          <w:szCs w:val="24"/>
        </w:rPr>
      </w:pPr>
      <w:r w:rsidRPr="00DC34EF">
        <w:rPr>
          <w:rFonts w:ascii="Garamond" w:hAnsi="Garamond" w:cstheme="minorHAnsi"/>
          <w:sz w:val="24"/>
          <w:szCs w:val="24"/>
        </w:rPr>
        <w:t>for Transmission:</w:t>
      </w:r>
      <w:bookmarkEnd w:id="47"/>
      <w:r w:rsidRPr="00DC34EF">
        <w:rPr>
          <w:rFonts w:ascii="Garamond" w:hAnsi="Garamond" w:cstheme="minorHAnsi"/>
          <w:sz w:val="24"/>
          <w:szCs w:val="24"/>
        </w:rPr>
        <w:t xml:space="preserve"> </w:t>
      </w:r>
    </w:p>
    <w:p w:rsidR="00DC34EF" w:rsidRPr="00DC34EF" w:rsidRDefault="00DC34EF" w:rsidP="00DC34EF">
      <w:pPr>
        <w:ind w:left="1080"/>
        <w:jc w:val="both"/>
        <w:rPr>
          <w:rFonts w:ascii="Garamond" w:hAnsi="Garamond" w:cstheme="minorHAnsi"/>
          <w:lang w:val="en-US"/>
        </w:rPr>
      </w:pPr>
      <w:r w:rsidRPr="00DC34EF">
        <w:rPr>
          <w:rFonts w:ascii="Garamond" w:hAnsi="Garamond" w:cstheme="minorHAnsi"/>
          <w:lang w:val="en-US"/>
        </w:rPr>
        <w:t>Legal heir certificate, issued by the Tashildhar after due process, is also used in transmission of immovable assets. It is proposed</w:t>
      </w:r>
      <w:r w:rsidRPr="00DC34EF">
        <w:rPr>
          <w:rStyle w:val="FootnoteReference"/>
          <w:rFonts w:ascii="Garamond" w:hAnsi="Garamond" w:cstheme="minorHAnsi"/>
          <w:lang w:val="en-US"/>
        </w:rPr>
        <w:footnoteReference w:id="43"/>
      </w:r>
      <w:r w:rsidRPr="00DC34EF">
        <w:rPr>
          <w:rFonts w:ascii="Garamond" w:hAnsi="Garamond" w:cstheme="minorHAnsi"/>
          <w:lang w:val="en-US"/>
        </w:rPr>
        <w:t xml:space="preserve"> to include legal heir certificate as one of the acceptable document for transmission as it will simplify the process. </w:t>
      </w:r>
    </w:p>
    <w:p w:rsidR="00DC34EF" w:rsidRPr="00DC34EF" w:rsidRDefault="00DC34EF" w:rsidP="00DC34EF">
      <w:pPr>
        <w:ind w:left="1080"/>
        <w:jc w:val="both"/>
        <w:rPr>
          <w:rFonts w:ascii="Garamond" w:hAnsi="Garamond" w:cstheme="minorHAnsi"/>
          <w:lang w:val="en-US"/>
        </w:rPr>
      </w:pPr>
    </w:p>
    <w:p w:rsidR="00DC34EF" w:rsidRPr="00DC34EF" w:rsidRDefault="00DC34EF" w:rsidP="00DC34EF">
      <w:pPr>
        <w:ind w:left="1080"/>
        <w:jc w:val="both"/>
        <w:rPr>
          <w:rFonts w:ascii="Garamond" w:hAnsi="Garamond" w:cstheme="minorHAnsi"/>
          <w:lang w:val="en-US"/>
        </w:rPr>
      </w:pPr>
      <w:r w:rsidRPr="00DC34EF">
        <w:rPr>
          <w:rFonts w:ascii="Garamond" w:hAnsi="Garamond" w:cstheme="minorHAnsi"/>
          <w:lang w:val="en-US"/>
        </w:rPr>
        <w:t xml:space="preserve">Further, as norms on investor requests / services have to be uniform across securities market, the forgoing would be applicable for demat accounts and MF investments too. </w:t>
      </w:r>
    </w:p>
    <w:p w:rsidR="00DC34EF" w:rsidRPr="00DC34EF" w:rsidRDefault="00DC34EF" w:rsidP="00DC34EF">
      <w:pPr>
        <w:ind w:left="1080"/>
        <w:jc w:val="both"/>
        <w:rPr>
          <w:rFonts w:ascii="Garamond" w:hAnsi="Garamond" w:cstheme="minorHAnsi"/>
          <w:lang w:val="en-US"/>
        </w:rPr>
      </w:pPr>
    </w:p>
    <w:p w:rsidR="00DC34EF" w:rsidRPr="00DC34EF" w:rsidRDefault="00DC34EF" w:rsidP="00DC34EF">
      <w:pPr>
        <w:ind w:left="1080"/>
        <w:jc w:val="both"/>
        <w:rPr>
          <w:rFonts w:ascii="Garamond" w:hAnsi="Garamond" w:cstheme="minorHAnsi"/>
          <w:color w:val="FF0000"/>
          <w:lang w:val="en-US"/>
        </w:rPr>
      </w:pPr>
      <w:r w:rsidRPr="00DC34EF">
        <w:rPr>
          <w:rFonts w:ascii="Garamond" w:hAnsi="Garamond" w:cstheme="minorHAnsi"/>
          <w:lang w:val="en-US"/>
        </w:rPr>
        <w:t xml:space="preserve">Transmission of MF units to nominee or joint account holder is allowed through scanned documents as detailed in the chapter, ‘Mutual Funds’ (paragraph </w:t>
      </w:r>
      <w:r w:rsidRPr="00DC34EF">
        <w:rPr>
          <w:rFonts w:ascii="Garamond" w:hAnsi="Garamond" w:cstheme="minorHAnsi"/>
          <w:lang w:val="en-US"/>
        </w:rPr>
        <w:fldChar w:fldCharType="begin"/>
      </w:r>
      <w:r w:rsidRPr="00DC34EF">
        <w:rPr>
          <w:rFonts w:ascii="Garamond" w:hAnsi="Garamond" w:cstheme="minorHAnsi"/>
          <w:lang w:val="en-US"/>
        </w:rPr>
        <w:instrText xml:space="preserve"> REF _Ref65766380 \r \h  \* MERGEFORMAT </w:instrText>
      </w:r>
      <w:r w:rsidRPr="00DC34EF">
        <w:rPr>
          <w:rFonts w:ascii="Garamond" w:hAnsi="Garamond" w:cstheme="minorHAnsi"/>
          <w:lang w:val="en-US"/>
        </w:rPr>
      </w:r>
      <w:r w:rsidRPr="00DC34EF">
        <w:rPr>
          <w:rFonts w:ascii="Garamond" w:hAnsi="Garamond" w:cstheme="minorHAnsi"/>
          <w:lang w:val="en-US"/>
        </w:rPr>
        <w:fldChar w:fldCharType="separate"/>
      </w:r>
      <w:r w:rsidRPr="00DC34EF">
        <w:rPr>
          <w:rFonts w:ascii="Garamond" w:hAnsi="Garamond" w:cstheme="minorHAnsi"/>
          <w:lang w:val="en-US"/>
        </w:rPr>
        <w:t>IV.6.1</w:t>
      </w:r>
      <w:r w:rsidRPr="00DC34EF">
        <w:rPr>
          <w:rFonts w:ascii="Garamond" w:hAnsi="Garamond" w:cstheme="minorHAnsi"/>
          <w:lang w:val="en-US"/>
        </w:rPr>
        <w:fldChar w:fldCharType="end"/>
      </w:r>
      <w:r w:rsidRPr="00DC34EF">
        <w:rPr>
          <w:rFonts w:ascii="Garamond" w:hAnsi="Garamond" w:cstheme="minorHAnsi"/>
          <w:lang w:val="en-US"/>
        </w:rPr>
        <w:t xml:space="preserve">). This pro-investor facility is recommended to be made available for corporate securities and demat accounts also. </w:t>
      </w:r>
    </w:p>
    <w:p w:rsidR="00DC34EF" w:rsidRPr="00DC34EF" w:rsidRDefault="00DC34EF" w:rsidP="00DC34EF">
      <w:pPr>
        <w:ind w:left="720"/>
        <w:jc w:val="both"/>
        <w:rPr>
          <w:rFonts w:ascii="Garamond" w:hAnsi="Garamond" w:cstheme="minorHAnsi"/>
          <w:lang w:val="en-US"/>
        </w:rPr>
      </w:pPr>
    </w:p>
    <w:p w:rsidR="00DC34EF" w:rsidRPr="00DC34EF" w:rsidRDefault="00DC34EF" w:rsidP="00456F4D">
      <w:pPr>
        <w:pStyle w:val="ListParagraph"/>
        <w:numPr>
          <w:ilvl w:val="3"/>
          <w:numId w:val="25"/>
        </w:numPr>
        <w:spacing w:after="0"/>
        <w:jc w:val="both"/>
        <w:rPr>
          <w:rFonts w:ascii="Garamond" w:hAnsi="Garamond" w:cstheme="minorHAnsi"/>
          <w:sz w:val="24"/>
          <w:szCs w:val="24"/>
        </w:rPr>
      </w:pPr>
      <w:r w:rsidRPr="00DC34EF">
        <w:rPr>
          <w:rFonts w:ascii="Garamond" w:hAnsi="Garamond" w:cstheme="minorHAnsi"/>
          <w:sz w:val="24"/>
          <w:szCs w:val="24"/>
        </w:rPr>
        <w:t>Common norms and common forms for investor services</w:t>
      </w:r>
      <w:r w:rsidRPr="00DC34EF">
        <w:rPr>
          <w:rStyle w:val="FootnoteReference"/>
          <w:rFonts w:ascii="Garamond" w:hAnsi="Garamond" w:cstheme="minorHAnsi"/>
          <w:sz w:val="24"/>
          <w:szCs w:val="24"/>
        </w:rPr>
        <w:footnoteReference w:id="44"/>
      </w:r>
      <w:r w:rsidRPr="00DC34EF">
        <w:rPr>
          <w:rFonts w:ascii="Garamond" w:hAnsi="Garamond" w:cstheme="minorHAnsi"/>
          <w:sz w:val="24"/>
          <w:szCs w:val="24"/>
        </w:rPr>
        <w:t xml:space="preserve"> </w:t>
      </w:r>
    </w:p>
    <w:p w:rsidR="00DC34EF" w:rsidRPr="00DC34EF" w:rsidRDefault="00DC34EF" w:rsidP="00DC34EF">
      <w:pPr>
        <w:ind w:left="1080"/>
        <w:jc w:val="both"/>
        <w:rPr>
          <w:rFonts w:ascii="Garamond" w:hAnsi="Garamond" w:cstheme="minorHAnsi"/>
          <w:lang w:val="en-US"/>
        </w:rPr>
      </w:pPr>
      <w:r w:rsidRPr="00DC34EF">
        <w:rPr>
          <w:rFonts w:ascii="Garamond" w:hAnsi="Garamond" w:cstheme="minorHAnsi"/>
          <w:lang w:val="en-US"/>
        </w:rPr>
        <w:t xml:space="preserve">Common norms and common form, as provided in the regulatory framework for MF units (elaborated at paragraph </w:t>
      </w:r>
      <w:r w:rsidRPr="00DC34EF">
        <w:rPr>
          <w:rFonts w:ascii="Garamond" w:hAnsi="Garamond" w:cstheme="minorHAnsi"/>
          <w:lang w:val="en-US"/>
        </w:rPr>
        <w:fldChar w:fldCharType="begin"/>
      </w:r>
      <w:r w:rsidRPr="00DC34EF">
        <w:rPr>
          <w:rFonts w:ascii="Garamond" w:hAnsi="Garamond" w:cstheme="minorHAnsi"/>
          <w:lang w:val="en-US"/>
        </w:rPr>
        <w:instrText xml:space="preserve"> REF _Ref65766380 \r \h  \* MERGEFORMAT </w:instrText>
      </w:r>
      <w:r w:rsidRPr="00DC34EF">
        <w:rPr>
          <w:rFonts w:ascii="Garamond" w:hAnsi="Garamond" w:cstheme="minorHAnsi"/>
          <w:lang w:val="en-US"/>
        </w:rPr>
      </w:r>
      <w:r w:rsidRPr="00DC34EF">
        <w:rPr>
          <w:rFonts w:ascii="Garamond" w:hAnsi="Garamond" w:cstheme="minorHAnsi"/>
          <w:lang w:val="en-US"/>
        </w:rPr>
        <w:fldChar w:fldCharType="separate"/>
      </w:r>
      <w:r w:rsidRPr="00DC34EF">
        <w:rPr>
          <w:rFonts w:ascii="Garamond" w:hAnsi="Garamond" w:cstheme="minorHAnsi"/>
          <w:lang w:val="en-US"/>
        </w:rPr>
        <w:t>IV.6.1</w:t>
      </w:r>
      <w:r w:rsidRPr="00DC34EF">
        <w:rPr>
          <w:rFonts w:ascii="Garamond" w:hAnsi="Garamond" w:cstheme="minorHAnsi"/>
          <w:lang w:val="en-US"/>
        </w:rPr>
        <w:fldChar w:fldCharType="end"/>
      </w:r>
      <w:r w:rsidRPr="00DC34EF">
        <w:rPr>
          <w:rFonts w:ascii="Garamond" w:hAnsi="Garamond" w:cstheme="minorHAnsi"/>
          <w:lang w:val="en-US"/>
        </w:rPr>
        <w:t>), is recommended to be made applicable to corporate securities as well</w:t>
      </w:r>
      <w:r w:rsidRPr="00DC34EF">
        <w:rPr>
          <w:rStyle w:val="FootnoteReference"/>
          <w:rFonts w:ascii="Garamond" w:hAnsi="Garamond" w:cstheme="minorHAnsi"/>
          <w:lang w:val="en-US"/>
        </w:rPr>
        <w:footnoteReference w:id="45"/>
      </w:r>
      <w:r w:rsidRPr="00DC34EF">
        <w:rPr>
          <w:rFonts w:ascii="Garamond" w:hAnsi="Garamond" w:cstheme="minorHAnsi"/>
          <w:lang w:val="en-US"/>
        </w:rPr>
        <w:t xml:space="preserve">. Simplification of investor service norms will have positive impact on preventing the creation of unclaimed assets. </w:t>
      </w:r>
    </w:p>
    <w:p w:rsidR="00DC34EF" w:rsidRPr="00DC34EF" w:rsidRDefault="00DC34EF" w:rsidP="00DC34EF">
      <w:pPr>
        <w:ind w:left="1080"/>
        <w:jc w:val="both"/>
        <w:rPr>
          <w:rFonts w:ascii="Garamond" w:hAnsi="Garamond" w:cstheme="minorHAnsi"/>
          <w:lang w:val="en-US"/>
        </w:rPr>
      </w:pPr>
    </w:p>
    <w:p w:rsidR="00DC34EF" w:rsidRPr="00DC34EF" w:rsidRDefault="00DC34EF" w:rsidP="00DC34EF">
      <w:pPr>
        <w:ind w:left="1080"/>
        <w:jc w:val="both"/>
        <w:rPr>
          <w:rFonts w:ascii="Garamond" w:hAnsi="Garamond" w:cstheme="minorHAnsi"/>
          <w:lang w:val="en-US"/>
        </w:rPr>
      </w:pPr>
      <w:r w:rsidRPr="00DC34EF">
        <w:rPr>
          <w:rFonts w:ascii="Garamond" w:hAnsi="Garamond" w:cstheme="minorHAnsi"/>
          <w:lang w:val="en-US"/>
        </w:rPr>
        <w:t xml:space="preserve">Further, synchronization of these norms between securities in physical mode and those held in demat mode is also recommended.  </w:t>
      </w:r>
    </w:p>
    <w:p w:rsidR="00DC34EF" w:rsidRPr="00DC34EF" w:rsidRDefault="00DC34EF" w:rsidP="00DC34EF">
      <w:pPr>
        <w:jc w:val="both"/>
        <w:rPr>
          <w:rFonts w:ascii="Garamond" w:hAnsi="Garamond" w:cstheme="minorHAnsi"/>
          <w:lang w:val="en-US"/>
        </w:rPr>
      </w:pPr>
    </w:p>
    <w:p w:rsidR="00DC34EF" w:rsidRPr="00DC34EF" w:rsidRDefault="00DC34EF" w:rsidP="00456F4D">
      <w:pPr>
        <w:pStyle w:val="ListParagraph"/>
        <w:numPr>
          <w:ilvl w:val="2"/>
          <w:numId w:val="25"/>
        </w:numPr>
        <w:spacing w:after="0"/>
        <w:jc w:val="both"/>
        <w:rPr>
          <w:rFonts w:ascii="Garamond" w:hAnsi="Garamond" w:cstheme="minorHAnsi"/>
          <w:bCs/>
          <w:sz w:val="24"/>
          <w:szCs w:val="24"/>
        </w:rPr>
      </w:pPr>
      <w:bookmarkStart w:id="48" w:name="_Ref60133353"/>
      <w:r w:rsidRPr="00DC34EF">
        <w:rPr>
          <w:rFonts w:ascii="Garamond" w:hAnsi="Garamond" w:cstheme="minorHAnsi"/>
          <w:sz w:val="24"/>
          <w:szCs w:val="24"/>
        </w:rPr>
        <w:t>Embargo</w:t>
      </w:r>
      <w:r w:rsidRPr="00DC34EF">
        <w:rPr>
          <w:rFonts w:ascii="Garamond" w:hAnsi="Garamond" w:cstheme="minorHAnsi"/>
          <w:bCs/>
          <w:sz w:val="24"/>
          <w:szCs w:val="24"/>
        </w:rPr>
        <w:t xml:space="preserve"> on fresh issue of physical certificates by listed companies:</w:t>
      </w:r>
      <w:bookmarkEnd w:id="48"/>
      <w:r w:rsidRPr="00DC34EF">
        <w:rPr>
          <w:rFonts w:ascii="Garamond" w:hAnsi="Garamond" w:cstheme="minorHAnsi"/>
          <w:bCs/>
          <w:sz w:val="24"/>
          <w:szCs w:val="24"/>
        </w:rPr>
        <w:t xml:space="preserve"> </w:t>
      </w:r>
    </w:p>
    <w:p w:rsidR="00DC34EF" w:rsidRDefault="00DC34EF" w:rsidP="00DC34EF">
      <w:pPr>
        <w:ind w:left="720"/>
        <w:jc w:val="both"/>
        <w:rPr>
          <w:rFonts w:ascii="Garamond" w:hAnsi="Garamond" w:cstheme="minorHAnsi"/>
          <w:lang w:val="en-US"/>
        </w:rPr>
      </w:pPr>
      <w:r w:rsidRPr="00DC34EF">
        <w:rPr>
          <w:rFonts w:ascii="Garamond" w:hAnsi="Garamond" w:cstheme="minorHAnsi"/>
          <w:lang w:val="en-US"/>
        </w:rPr>
        <w:t>Whereas, public issue of securities is mandated to be only in demat mode</w:t>
      </w:r>
      <w:r w:rsidRPr="00DC34EF">
        <w:rPr>
          <w:rStyle w:val="FootnoteReference"/>
          <w:rFonts w:ascii="Garamond" w:hAnsi="Garamond" w:cstheme="minorHAnsi"/>
          <w:lang w:val="en-US"/>
        </w:rPr>
        <w:footnoteReference w:id="46"/>
      </w:r>
      <w:r w:rsidRPr="00DC34EF">
        <w:rPr>
          <w:rFonts w:ascii="Garamond" w:hAnsi="Garamond" w:cstheme="minorHAnsi"/>
          <w:lang w:val="en-US"/>
        </w:rPr>
        <w:t xml:space="preserve">, new securities certificates are being issued by listed companies, </w:t>
      </w:r>
      <w:r w:rsidRPr="00DC34EF">
        <w:rPr>
          <w:rFonts w:ascii="Garamond" w:hAnsi="Garamond" w:cstheme="minorHAnsi"/>
          <w:i/>
          <w:iCs/>
          <w:lang w:val="en-US"/>
        </w:rPr>
        <w:t>inter-alia</w:t>
      </w:r>
      <w:r w:rsidR="002E1041">
        <w:rPr>
          <w:rFonts w:ascii="Garamond" w:hAnsi="Garamond" w:cstheme="minorHAnsi"/>
          <w:lang w:val="en-US"/>
        </w:rPr>
        <w:t>, for the following:</w:t>
      </w:r>
    </w:p>
    <w:p w:rsidR="002E1041" w:rsidRDefault="002E1041" w:rsidP="00DC34EF">
      <w:pPr>
        <w:ind w:left="720"/>
        <w:jc w:val="both"/>
        <w:rPr>
          <w:rFonts w:ascii="Garamond" w:hAnsi="Garamond" w:cstheme="minorHAnsi"/>
          <w:lang w:val="en-US"/>
        </w:rPr>
      </w:pPr>
    </w:p>
    <w:p w:rsidR="00DC34EF" w:rsidRPr="00DC34EF" w:rsidRDefault="00DC34EF" w:rsidP="00DC34EF">
      <w:pPr>
        <w:jc w:val="both"/>
        <w:rPr>
          <w:rFonts w:ascii="Garamond" w:hAnsi="Garamond" w:cstheme="minorHAnsi"/>
          <w:lang w:val="en-US"/>
        </w:rPr>
      </w:pPr>
    </w:p>
    <w:tbl>
      <w:tblPr>
        <w:tblStyle w:val="TableGrid"/>
        <w:tblW w:w="0" w:type="auto"/>
        <w:jc w:val="center"/>
        <w:tblLook w:val="04A0" w:firstRow="1" w:lastRow="0" w:firstColumn="1" w:lastColumn="0" w:noHBand="0" w:noVBand="1"/>
      </w:tblPr>
      <w:tblGrid>
        <w:gridCol w:w="5755"/>
        <w:gridCol w:w="2359"/>
      </w:tblGrid>
      <w:tr w:rsidR="00DC34EF" w:rsidRPr="00BA2473" w:rsidTr="00DC34EF">
        <w:trPr>
          <w:jc w:val="center"/>
        </w:trPr>
        <w:tc>
          <w:tcPr>
            <w:tcW w:w="0" w:type="auto"/>
          </w:tcPr>
          <w:p w:rsidR="00DC34EF" w:rsidRPr="00BA2473" w:rsidRDefault="00DC34EF" w:rsidP="00DC34EF">
            <w:pPr>
              <w:jc w:val="center"/>
              <w:rPr>
                <w:rFonts w:ascii="Garamond" w:hAnsi="Garamond" w:cstheme="minorHAnsi"/>
                <w:b/>
                <w:bCs/>
                <w:sz w:val="22"/>
                <w:szCs w:val="22"/>
              </w:rPr>
            </w:pPr>
            <w:r w:rsidRPr="00BA2473">
              <w:rPr>
                <w:rFonts w:ascii="Garamond" w:hAnsi="Garamond" w:cstheme="minorHAnsi"/>
                <w:b/>
                <w:bCs/>
                <w:sz w:val="22"/>
                <w:szCs w:val="22"/>
              </w:rPr>
              <w:t>Corporate Action</w:t>
            </w:r>
          </w:p>
        </w:tc>
        <w:tc>
          <w:tcPr>
            <w:tcW w:w="0" w:type="auto"/>
          </w:tcPr>
          <w:p w:rsidR="00DC34EF" w:rsidRPr="00BA2473" w:rsidRDefault="00DC34EF" w:rsidP="00DC34EF">
            <w:pPr>
              <w:jc w:val="center"/>
              <w:rPr>
                <w:rFonts w:ascii="Garamond" w:hAnsi="Garamond" w:cstheme="minorHAnsi"/>
                <w:b/>
                <w:bCs/>
                <w:sz w:val="22"/>
                <w:szCs w:val="22"/>
              </w:rPr>
            </w:pPr>
            <w:r w:rsidRPr="00BA2473">
              <w:rPr>
                <w:rFonts w:ascii="Garamond" w:hAnsi="Garamond" w:cstheme="minorHAnsi"/>
                <w:b/>
                <w:bCs/>
                <w:sz w:val="22"/>
                <w:szCs w:val="22"/>
              </w:rPr>
              <w:t>Investor request</w:t>
            </w:r>
          </w:p>
        </w:tc>
      </w:tr>
      <w:tr w:rsidR="00DC34EF" w:rsidRPr="00BA2473" w:rsidTr="00DC34EF">
        <w:trPr>
          <w:jc w:val="center"/>
        </w:trPr>
        <w:tc>
          <w:tcPr>
            <w:tcW w:w="0" w:type="auto"/>
          </w:tcPr>
          <w:p w:rsidR="00DC34EF" w:rsidRPr="00BA2473" w:rsidRDefault="00DC34EF" w:rsidP="00DC34EF">
            <w:pPr>
              <w:jc w:val="both"/>
              <w:rPr>
                <w:rFonts w:ascii="Garamond" w:hAnsi="Garamond" w:cstheme="minorHAnsi"/>
                <w:sz w:val="22"/>
                <w:szCs w:val="22"/>
              </w:rPr>
            </w:pPr>
            <w:r w:rsidRPr="00BA2473">
              <w:rPr>
                <w:rFonts w:ascii="Garamond" w:hAnsi="Garamond" w:cstheme="minorHAnsi"/>
                <w:sz w:val="22"/>
                <w:szCs w:val="22"/>
              </w:rPr>
              <w:t>Bonus shares</w:t>
            </w:r>
            <w:r w:rsidRPr="00BA2473">
              <w:rPr>
                <w:rStyle w:val="FootnoteReference"/>
                <w:rFonts w:ascii="Garamond" w:hAnsi="Garamond" w:cstheme="minorHAnsi"/>
                <w:sz w:val="22"/>
                <w:szCs w:val="22"/>
              </w:rPr>
              <w:footnoteReference w:id="47"/>
            </w:r>
          </w:p>
        </w:tc>
        <w:tc>
          <w:tcPr>
            <w:tcW w:w="0" w:type="auto"/>
          </w:tcPr>
          <w:p w:rsidR="00DC34EF" w:rsidRPr="00BA2473" w:rsidRDefault="00DC34EF" w:rsidP="00DC34EF">
            <w:pPr>
              <w:jc w:val="both"/>
              <w:rPr>
                <w:rFonts w:ascii="Garamond" w:hAnsi="Garamond" w:cstheme="minorHAnsi"/>
                <w:sz w:val="22"/>
                <w:szCs w:val="22"/>
              </w:rPr>
            </w:pPr>
            <w:r w:rsidRPr="00BA2473">
              <w:rPr>
                <w:rFonts w:ascii="Garamond" w:hAnsi="Garamond" w:cstheme="minorHAnsi"/>
                <w:sz w:val="22"/>
                <w:szCs w:val="22"/>
              </w:rPr>
              <w:t>Duplicate securities</w:t>
            </w:r>
          </w:p>
        </w:tc>
      </w:tr>
      <w:tr w:rsidR="00DC34EF" w:rsidRPr="00BA2473" w:rsidTr="00DC34EF">
        <w:trPr>
          <w:jc w:val="center"/>
        </w:trPr>
        <w:tc>
          <w:tcPr>
            <w:tcW w:w="0" w:type="auto"/>
          </w:tcPr>
          <w:p w:rsidR="00DC34EF" w:rsidRPr="00BA2473" w:rsidRDefault="00DC34EF" w:rsidP="00DC34EF">
            <w:pPr>
              <w:jc w:val="both"/>
              <w:rPr>
                <w:rFonts w:ascii="Garamond" w:hAnsi="Garamond" w:cstheme="minorHAnsi"/>
                <w:sz w:val="22"/>
                <w:szCs w:val="22"/>
              </w:rPr>
            </w:pPr>
            <w:r w:rsidRPr="00BA2473">
              <w:rPr>
                <w:rFonts w:ascii="Garamond" w:hAnsi="Garamond" w:cstheme="minorHAnsi"/>
                <w:sz w:val="22"/>
                <w:szCs w:val="22"/>
              </w:rPr>
              <w:t>Re-issue</w:t>
            </w:r>
          </w:p>
        </w:tc>
        <w:tc>
          <w:tcPr>
            <w:tcW w:w="0" w:type="auto"/>
          </w:tcPr>
          <w:p w:rsidR="00DC34EF" w:rsidRPr="00BA2473" w:rsidRDefault="00DC34EF" w:rsidP="00DC34EF">
            <w:pPr>
              <w:jc w:val="both"/>
              <w:rPr>
                <w:rFonts w:ascii="Garamond" w:hAnsi="Garamond" w:cstheme="minorHAnsi"/>
                <w:sz w:val="22"/>
                <w:szCs w:val="22"/>
              </w:rPr>
            </w:pPr>
            <w:r w:rsidRPr="00BA2473">
              <w:rPr>
                <w:rFonts w:ascii="Garamond" w:hAnsi="Garamond" w:cstheme="minorHAnsi"/>
                <w:sz w:val="22"/>
                <w:szCs w:val="22"/>
              </w:rPr>
              <w:t>Transmission</w:t>
            </w:r>
          </w:p>
        </w:tc>
      </w:tr>
      <w:tr w:rsidR="00DC34EF" w:rsidRPr="00BA2473" w:rsidTr="00DC34EF">
        <w:trPr>
          <w:jc w:val="center"/>
        </w:trPr>
        <w:tc>
          <w:tcPr>
            <w:tcW w:w="0" w:type="auto"/>
          </w:tcPr>
          <w:p w:rsidR="00DC34EF" w:rsidRPr="00BA2473" w:rsidRDefault="00DC34EF" w:rsidP="00DC34EF">
            <w:pPr>
              <w:jc w:val="both"/>
              <w:rPr>
                <w:rFonts w:ascii="Garamond" w:hAnsi="Garamond" w:cstheme="minorHAnsi"/>
                <w:sz w:val="22"/>
                <w:szCs w:val="22"/>
              </w:rPr>
            </w:pPr>
            <w:r w:rsidRPr="00BA2473">
              <w:rPr>
                <w:rFonts w:ascii="Garamond" w:hAnsi="Garamond" w:cstheme="minorHAnsi"/>
                <w:sz w:val="22"/>
                <w:szCs w:val="22"/>
              </w:rPr>
              <w:t>Consolidation</w:t>
            </w:r>
          </w:p>
        </w:tc>
        <w:tc>
          <w:tcPr>
            <w:tcW w:w="0" w:type="auto"/>
          </w:tcPr>
          <w:p w:rsidR="00DC34EF" w:rsidRPr="00BA2473" w:rsidRDefault="00DC34EF" w:rsidP="00DC34EF">
            <w:pPr>
              <w:jc w:val="both"/>
              <w:rPr>
                <w:rFonts w:ascii="Garamond" w:hAnsi="Garamond" w:cstheme="minorHAnsi"/>
                <w:sz w:val="22"/>
                <w:szCs w:val="22"/>
              </w:rPr>
            </w:pPr>
            <w:r w:rsidRPr="00BA2473">
              <w:rPr>
                <w:rFonts w:ascii="Garamond" w:hAnsi="Garamond" w:cstheme="minorHAnsi"/>
                <w:sz w:val="22"/>
                <w:szCs w:val="22"/>
              </w:rPr>
              <w:t xml:space="preserve">Transposition </w:t>
            </w:r>
          </w:p>
        </w:tc>
      </w:tr>
      <w:tr w:rsidR="00DC34EF" w:rsidRPr="00BA2473" w:rsidTr="00DC34EF">
        <w:trPr>
          <w:jc w:val="center"/>
        </w:trPr>
        <w:tc>
          <w:tcPr>
            <w:tcW w:w="0" w:type="auto"/>
          </w:tcPr>
          <w:p w:rsidR="00DC34EF" w:rsidRPr="00BA2473" w:rsidRDefault="00DC34EF" w:rsidP="00DC34EF">
            <w:pPr>
              <w:jc w:val="both"/>
              <w:rPr>
                <w:rFonts w:ascii="Garamond" w:hAnsi="Garamond" w:cstheme="minorHAnsi"/>
                <w:sz w:val="22"/>
                <w:szCs w:val="22"/>
              </w:rPr>
            </w:pPr>
            <w:r w:rsidRPr="00BA2473">
              <w:rPr>
                <w:rFonts w:ascii="Garamond" w:hAnsi="Garamond" w:cstheme="minorHAnsi"/>
                <w:sz w:val="22"/>
                <w:szCs w:val="22"/>
              </w:rPr>
              <w:t>Sub-division / share split</w:t>
            </w:r>
          </w:p>
        </w:tc>
        <w:tc>
          <w:tcPr>
            <w:tcW w:w="0" w:type="auto"/>
          </w:tcPr>
          <w:p w:rsidR="00DC34EF" w:rsidRPr="00BA2473" w:rsidRDefault="00DC34EF" w:rsidP="00DC34EF">
            <w:pPr>
              <w:jc w:val="both"/>
              <w:rPr>
                <w:rFonts w:ascii="Garamond" w:hAnsi="Garamond" w:cstheme="minorHAnsi"/>
                <w:sz w:val="22"/>
                <w:szCs w:val="22"/>
              </w:rPr>
            </w:pPr>
            <w:r w:rsidRPr="00BA2473">
              <w:rPr>
                <w:rFonts w:ascii="Garamond" w:hAnsi="Garamond" w:cstheme="minorHAnsi"/>
                <w:sz w:val="22"/>
                <w:szCs w:val="22"/>
              </w:rPr>
              <w:t>Consolidation</w:t>
            </w:r>
          </w:p>
        </w:tc>
      </w:tr>
      <w:tr w:rsidR="00DC34EF" w:rsidRPr="00BA2473" w:rsidTr="00DC34EF">
        <w:trPr>
          <w:jc w:val="center"/>
        </w:trPr>
        <w:tc>
          <w:tcPr>
            <w:tcW w:w="0" w:type="auto"/>
          </w:tcPr>
          <w:p w:rsidR="00DC34EF" w:rsidRPr="00BA2473" w:rsidRDefault="00DC34EF" w:rsidP="00DC34EF">
            <w:pPr>
              <w:jc w:val="both"/>
              <w:rPr>
                <w:rFonts w:ascii="Garamond" w:hAnsi="Garamond" w:cstheme="minorHAnsi"/>
                <w:sz w:val="22"/>
                <w:szCs w:val="22"/>
              </w:rPr>
            </w:pPr>
            <w:r w:rsidRPr="00BA2473">
              <w:rPr>
                <w:rFonts w:ascii="Garamond" w:hAnsi="Garamond" w:cstheme="minorHAnsi"/>
                <w:sz w:val="22"/>
                <w:szCs w:val="22"/>
              </w:rPr>
              <w:t>Scheme of arrangement viz merger, demerger and reconstruction</w:t>
            </w:r>
          </w:p>
        </w:tc>
        <w:tc>
          <w:tcPr>
            <w:tcW w:w="0" w:type="auto"/>
          </w:tcPr>
          <w:p w:rsidR="00DC34EF" w:rsidRPr="00BA2473" w:rsidRDefault="00DC34EF" w:rsidP="00DC34EF">
            <w:pPr>
              <w:jc w:val="both"/>
              <w:rPr>
                <w:rFonts w:ascii="Garamond" w:hAnsi="Garamond" w:cstheme="minorHAnsi"/>
                <w:sz w:val="22"/>
                <w:szCs w:val="22"/>
              </w:rPr>
            </w:pPr>
            <w:r w:rsidRPr="00BA2473">
              <w:rPr>
                <w:rFonts w:ascii="Garamond" w:hAnsi="Garamond" w:cstheme="minorHAnsi"/>
                <w:sz w:val="22"/>
                <w:szCs w:val="22"/>
              </w:rPr>
              <w:t>Sub-division / share split</w:t>
            </w:r>
          </w:p>
        </w:tc>
      </w:tr>
    </w:tbl>
    <w:p w:rsidR="00DC34EF" w:rsidRPr="00DC34EF" w:rsidRDefault="00DC34EF" w:rsidP="00DC34EF">
      <w:pPr>
        <w:jc w:val="both"/>
        <w:rPr>
          <w:rFonts w:ascii="Garamond" w:hAnsi="Garamond" w:cstheme="minorHAnsi"/>
          <w:highlight w:val="yellow"/>
          <w:lang w:val="en-US"/>
        </w:rPr>
      </w:pPr>
    </w:p>
    <w:p w:rsidR="00DC34EF" w:rsidRPr="00DC34EF" w:rsidRDefault="00DC34EF" w:rsidP="00DC34EF">
      <w:pPr>
        <w:ind w:left="720"/>
        <w:jc w:val="both"/>
        <w:rPr>
          <w:rFonts w:ascii="Garamond" w:hAnsi="Garamond" w:cstheme="minorHAnsi"/>
          <w:lang w:val="en-US"/>
        </w:rPr>
      </w:pPr>
      <w:r w:rsidRPr="00DC34EF">
        <w:rPr>
          <w:rFonts w:ascii="Garamond" w:hAnsi="Garamond" w:cstheme="minorHAnsi"/>
          <w:lang w:val="en-US"/>
        </w:rPr>
        <w:t xml:space="preserve">From the data in </w:t>
      </w:r>
      <w:r w:rsidRPr="00DC34EF">
        <w:rPr>
          <w:rFonts w:ascii="Garamond" w:hAnsi="Garamond" w:cstheme="minorHAnsi"/>
          <w:lang w:val="en-US"/>
        </w:rPr>
        <w:fldChar w:fldCharType="begin"/>
      </w:r>
      <w:r w:rsidRPr="00DC34EF">
        <w:rPr>
          <w:rFonts w:ascii="Garamond" w:hAnsi="Garamond" w:cstheme="minorHAnsi"/>
          <w:lang w:val="en-US"/>
        </w:rPr>
        <w:instrText xml:space="preserve"> REF _Ref66181381 \h  \* MERGEFORMAT </w:instrText>
      </w:r>
      <w:r w:rsidRPr="00DC34EF">
        <w:rPr>
          <w:rFonts w:ascii="Garamond" w:hAnsi="Garamond" w:cstheme="minorHAnsi"/>
          <w:lang w:val="en-US"/>
        </w:rPr>
      </w:r>
      <w:r w:rsidRPr="00DC34EF">
        <w:rPr>
          <w:rFonts w:ascii="Garamond" w:hAnsi="Garamond" w:cstheme="minorHAnsi"/>
          <w:lang w:val="en-US"/>
        </w:rPr>
        <w:fldChar w:fldCharType="separate"/>
      </w:r>
      <w:r w:rsidRPr="00DC34EF">
        <w:rPr>
          <w:rFonts w:ascii="Garamond" w:hAnsi="Garamond" w:cstheme="minorHAnsi"/>
        </w:rPr>
        <w:t xml:space="preserve">Table </w:t>
      </w:r>
      <w:r w:rsidRPr="00DC34EF">
        <w:rPr>
          <w:rFonts w:ascii="Garamond" w:hAnsi="Garamond" w:cstheme="minorHAnsi"/>
          <w:noProof/>
        </w:rPr>
        <w:t>1</w:t>
      </w:r>
      <w:r w:rsidRPr="00DC34EF">
        <w:rPr>
          <w:rFonts w:ascii="Garamond" w:hAnsi="Garamond" w:cstheme="minorHAnsi"/>
          <w:lang w:val="en-US"/>
        </w:rPr>
        <w:fldChar w:fldCharType="end"/>
      </w:r>
      <w:r w:rsidRPr="00DC34EF">
        <w:rPr>
          <w:rFonts w:ascii="Garamond" w:hAnsi="Garamond" w:cstheme="minorHAnsi"/>
          <w:lang w:val="en-US"/>
        </w:rPr>
        <w:t xml:space="preserve">, </w:t>
      </w:r>
      <w:r w:rsidRPr="00DC34EF">
        <w:rPr>
          <w:rFonts w:ascii="Garamond" w:hAnsi="Garamond" w:cstheme="minorHAnsi"/>
          <w:lang w:val="en-US"/>
        </w:rPr>
        <w:fldChar w:fldCharType="begin"/>
      </w:r>
      <w:r w:rsidRPr="00DC34EF">
        <w:rPr>
          <w:rFonts w:ascii="Garamond" w:hAnsi="Garamond" w:cstheme="minorHAnsi"/>
          <w:lang w:val="en-US"/>
        </w:rPr>
        <w:instrText xml:space="preserve"> REF _Ref66181398 \h  \* MERGEFORMAT </w:instrText>
      </w:r>
      <w:r w:rsidRPr="00DC34EF">
        <w:rPr>
          <w:rFonts w:ascii="Garamond" w:hAnsi="Garamond" w:cstheme="minorHAnsi"/>
          <w:lang w:val="en-US"/>
        </w:rPr>
      </w:r>
      <w:r w:rsidRPr="00DC34EF">
        <w:rPr>
          <w:rFonts w:ascii="Garamond" w:hAnsi="Garamond" w:cstheme="minorHAnsi"/>
          <w:lang w:val="en-US"/>
        </w:rPr>
        <w:fldChar w:fldCharType="separate"/>
      </w:r>
      <w:r w:rsidRPr="00DC34EF">
        <w:rPr>
          <w:rFonts w:ascii="Garamond" w:hAnsi="Garamond" w:cstheme="minorHAnsi"/>
        </w:rPr>
        <w:t xml:space="preserve">Table </w:t>
      </w:r>
      <w:r w:rsidRPr="00DC34EF">
        <w:rPr>
          <w:rFonts w:ascii="Garamond" w:hAnsi="Garamond" w:cstheme="minorHAnsi"/>
          <w:noProof/>
        </w:rPr>
        <w:t>2</w:t>
      </w:r>
      <w:r w:rsidRPr="00DC34EF">
        <w:rPr>
          <w:rFonts w:ascii="Garamond" w:hAnsi="Garamond" w:cstheme="minorHAnsi"/>
          <w:lang w:val="en-US"/>
        </w:rPr>
        <w:fldChar w:fldCharType="end"/>
      </w:r>
      <w:r w:rsidRPr="00DC34EF">
        <w:rPr>
          <w:rFonts w:ascii="Garamond" w:hAnsi="Garamond" w:cstheme="minorHAnsi"/>
          <w:lang w:val="en-US"/>
        </w:rPr>
        <w:t xml:space="preserve">, </w:t>
      </w:r>
      <w:r w:rsidRPr="00DC34EF">
        <w:rPr>
          <w:rFonts w:ascii="Garamond" w:hAnsi="Garamond" w:cstheme="minorHAnsi"/>
          <w:lang w:val="en-US"/>
        </w:rPr>
        <w:fldChar w:fldCharType="begin"/>
      </w:r>
      <w:r w:rsidRPr="00DC34EF">
        <w:rPr>
          <w:rFonts w:ascii="Garamond" w:hAnsi="Garamond" w:cstheme="minorHAnsi"/>
          <w:lang w:val="en-US"/>
        </w:rPr>
        <w:instrText xml:space="preserve"> REF _Ref66181457 \h  \* MERGEFORMAT </w:instrText>
      </w:r>
      <w:r w:rsidRPr="00DC34EF">
        <w:rPr>
          <w:rFonts w:ascii="Garamond" w:hAnsi="Garamond" w:cstheme="minorHAnsi"/>
          <w:lang w:val="en-US"/>
        </w:rPr>
      </w:r>
      <w:r w:rsidRPr="00DC34EF">
        <w:rPr>
          <w:rFonts w:ascii="Garamond" w:hAnsi="Garamond" w:cstheme="minorHAnsi"/>
          <w:lang w:val="en-US"/>
        </w:rPr>
        <w:fldChar w:fldCharType="separate"/>
      </w:r>
      <w:r w:rsidRPr="00DC34EF">
        <w:rPr>
          <w:rFonts w:ascii="Garamond" w:hAnsi="Garamond" w:cstheme="minorHAnsi"/>
        </w:rPr>
        <w:t xml:space="preserve">Table </w:t>
      </w:r>
      <w:r w:rsidRPr="00DC34EF">
        <w:rPr>
          <w:rFonts w:ascii="Garamond" w:hAnsi="Garamond" w:cstheme="minorHAnsi"/>
          <w:noProof/>
        </w:rPr>
        <w:t>5</w:t>
      </w:r>
      <w:r w:rsidRPr="00DC34EF">
        <w:rPr>
          <w:rFonts w:ascii="Garamond" w:hAnsi="Garamond" w:cstheme="minorHAnsi"/>
          <w:lang w:val="en-US"/>
        </w:rPr>
        <w:fldChar w:fldCharType="end"/>
      </w:r>
      <w:r w:rsidRPr="00DC34EF">
        <w:rPr>
          <w:rFonts w:ascii="Garamond" w:hAnsi="Garamond" w:cstheme="minorHAnsi"/>
          <w:lang w:val="en-US"/>
        </w:rPr>
        <w:t xml:space="preserve"> and </w:t>
      </w:r>
      <w:r w:rsidRPr="00DC34EF">
        <w:rPr>
          <w:rFonts w:ascii="Garamond" w:hAnsi="Garamond" w:cstheme="minorHAnsi"/>
          <w:lang w:val="en-US"/>
        </w:rPr>
        <w:fldChar w:fldCharType="begin"/>
      </w:r>
      <w:r w:rsidRPr="00DC34EF">
        <w:rPr>
          <w:rFonts w:ascii="Garamond" w:hAnsi="Garamond" w:cstheme="minorHAnsi"/>
          <w:lang w:val="en-US"/>
        </w:rPr>
        <w:instrText xml:space="preserve"> REF _Ref66181459 \h  \* MERGEFORMAT </w:instrText>
      </w:r>
      <w:r w:rsidRPr="00DC34EF">
        <w:rPr>
          <w:rFonts w:ascii="Garamond" w:hAnsi="Garamond" w:cstheme="minorHAnsi"/>
          <w:lang w:val="en-US"/>
        </w:rPr>
      </w:r>
      <w:r w:rsidRPr="00DC34EF">
        <w:rPr>
          <w:rFonts w:ascii="Garamond" w:hAnsi="Garamond" w:cstheme="minorHAnsi"/>
          <w:lang w:val="en-US"/>
        </w:rPr>
        <w:fldChar w:fldCharType="separate"/>
      </w:r>
      <w:r w:rsidRPr="00DC34EF">
        <w:rPr>
          <w:rFonts w:ascii="Garamond" w:hAnsi="Garamond" w:cstheme="minorHAnsi"/>
        </w:rPr>
        <w:t xml:space="preserve">Table </w:t>
      </w:r>
      <w:r w:rsidRPr="00DC34EF">
        <w:rPr>
          <w:rFonts w:ascii="Garamond" w:hAnsi="Garamond" w:cstheme="minorHAnsi"/>
          <w:noProof/>
        </w:rPr>
        <w:t>6</w:t>
      </w:r>
      <w:r w:rsidRPr="00DC34EF">
        <w:rPr>
          <w:rFonts w:ascii="Garamond" w:hAnsi="Garamond" w:cstheme="minorHAnsi"/>
          <w:lang w:val="en-US"/>
        </w:rPr>
        <w:fldChar w:fldCharType="end"/>
      </w:r>
      <w:r w:rsidRPr="00DC34EF">
        <w:rPr>
          <w:rFonts w:ascii="Garamond" w:hAnsi="Garamond" w:cstheme="minorHAnsi"/>
          <w:lang w:val="en-US"/>
        </w:rPr>
        <w:t>, it may be fairly inferred that holding in physical mode is in itself a source of unclaimed assets. And given the advantages of dematerialization of securities, it is recommended that listed companies may be prohibited from issuing fresh physical certificates</w:t>
      </w:r>
      <w:r w:rsidRPr="00DC34EF">
        <w:rPr>
          <w:rStyle w:val="FootnoteReference"/>
          <w:rFonts w:ascii="Garamond" w:hAnsi="Garamond" w:cstheme="minorHAnsi"/>
          <w:lang w:val="en-US"/>
        </w:rPr>
        <w:footnoteReference w:id="48"/>
      </w:r>
      <w:r w:rsidRPr="00DC34EF">
        <w:rPr>
          <w:rFonts w:ascii="Garamond" w:hAnsi="Garamond" w:cstheme="minorHAnsi"/>
          <w:lang w:val="en-US"/>
        </w:rPr>
        <w:t xml:space="preserve">. </w:t>
      </w:r>
    </w:p>
    <w:p w:rsidR="00DC34EF" w:rsidRPr="00DC34EF" w:rsidRDefault="00DC34EF" w:rsidP="00DC34EF">
      <w:pPr>
        <w:pStyle w:val="ListParagraph"/>
        <w:rPr>
          <w:rFonts w:ascii="Garamond" w:hAnsi="Garamond" w:cstheme="minorHAnsi"/>
          <w:sz w:val="24"/>
          <w:szCs w:val="24"/>
        </w:rPr>
      </w:pPr>
    </w:p>
    <w:p w:rsidR="00DC34EF" w:rsidRPr="00DC34EF" w:rsidRDefault="00DC34EF" w:rsidP="00456F4D">
      <w:pPr>
        <w:pStyle w:val="ListParagraph"/>
        <w:numPr>
          <w:ilvl w:val="2"/>
          <w:numId w:val="25"/>
        </w:numPr>
        <w:spacing w:after="0"/>
        <w:jc w:val="both"/>
        <w:rPr>
          <w:rFonts w:ascii="Garamond" w:hAnsi="Garamond" w:cstheme="minorHAnsi"/>
          <w:bCs/>
          <w:sz w:val="24"/>
          <w:szCs w:val="24"/>
        </w:rPr>
      </w:pPr>
      <w:r w:rsidRPr="00DC34EF">
        <w:rPr>
          <w:rFonts w:ascii="Garamond" w:hAnsi="Garamond" w:cstheme="minorHAnsi"/>
          <w:sz w:val="24"/>
          <w:szCs w:val="24"/>
        </w:rPr>
        <w:t>Supplementary</w:t>
      </w:r>
      <w:r w:rsidRPr="00DC34EF">
        <w:rPr>
          <w:rFonts w:ascii="Garamond" w:hAnsi="Garamond" w:cstheme="minorHAnsi"/>
          <w:bCs/>
          <w:sz w:val="24"/>
          <w:szCs w:val="24"/>
        </w:rPr>
        <w:t xml:space="preserve"> measures</w:t>
      </w:r>
    </w:p>
    <w:p w:rsidR="00DC34EF" w:rsidRPr="00DC34EF" w:rsidRDefault="00DC34EF" w:rsidP="00456F4D">
      <w:pPr>
        <w:pStyle w:val="ListParagraph"/>
        <w:numPr>
          <w:ilvl w:val="3"/>
          <w:numId w:val="25"/>
        </w:numPr>
        <w:spacing w:after="0"/>
        <w:jc w:val="both"/>
        <w:rPr>
          <w:rFonts w:ascii="Garamond" w:hAnsi="Garamond" w:cstheme="minorHAnsi"/>
          <w:bCs/>
          <w:sz w:val="24"/>
          <w:szCs w:val="24"/>
        </w:rPr>
      </w:pPr>
      <w:r w:rsidRPr="00DC34EF">
        <w:rPr>
          <w:rFonts w:ascii="Garamond" w:hAnsi="Garamond" w:cstheme="minorHAnsi"/>
          <w:bCs/>
          <w:sz w:val="24"/>
          <w:szCs w:val="24"/>
        </w:rPr>
        <w:t xml:space="preserve">Confidentiality of investor’s personal information:  </w:t>
      </w:r>
    </w:p>
    <w:p w:rsidR="00DC34EF" w:rsidRPr="00DC34EF" w:rsidRDefault="00DC34EF" w:rsidP="00DC34EF">
      <w:pPr>
        <w:ind w:left="1080"/>
        <w:jc w:val="both"/>
        <w:rPr>
          <w:rFonts w:ascii="Garamond" w:hAnsi="Garamond" w:cstheme="minorHAnsi"/>
          <w:lang w:val="en-US"/>
        </w:rPr>
      </w:pPr>
      <w:r w:rsidRPr="00DC34EF">
        <w:rPr>
          <w:rFonts w:ascii="Garamond" w:hAnsi="Garamond" w:cstheme="minorHAnsi"/>
          <w:lang w:val="en-US"/>
        </w:rPr>
        <w:t>Under the IEPF Authority Rules</w:t>
      </w:r>
      <w:r w:rsidRPr="00DC34EF">
        <w:rPr>
          <w:rFonts w:ascii="Garamond" w:hAnsi="Garamond" w:cstheme="minorHAnsi"/>
          <w:vertAlign w:val="superscript"/>
          <w:lang w:val="en-US"/>
        </w:rPr>
        <w:footnoteReference w:id="49"/>
      </w:r>
      <w:r w:rsidRPr="00DC34EF">
        <w:rPr>
          <w:rFonts w:ascii="Garamond" w:hAnsi="Garamond" w:cstheme="minorHAnsi"/>
          <w:lang w:val="en-US"/>
        </w:rPr>
        <w:t>, the details of 1) the name and 2) last known addresses of the persons entitled to receive the sum, 3) nature of amount (dividend / interest / maturity proceeds), 4) the amount entitled, 5) the due date for transfer into the</w:t>
      </w:r>
      <w:r w:rsidR="00BA2473">
        <w:rPr>
          <w:rFonts w:ascii="Garamond" w:hAnsi="Garamond" w:cstheme="minorHAnsi"/>
          <w:lang w:val="en-US"/>
        </w:rPr>
        <w:t xml:space="preserve"> IEPF etc., of unclaimed money</w:t>
      </w:r>
      <w:r w:rsidRPr="00DC34EF">
        <w:rPr>
          <w:rFonts w:ascii="Garamond" w:hAnsi="Garamond" w:cstheme="minorHAnsi"/>
          <w:lang w:val="en-US"/>
        </w:rPr>
        <w:t xml:space="preserve"> of investors are required to be </w:t>
      </w:r>
      <w:r w:rsidRPr="00A20B1A">
        <w:rPr>
          <w:rFonts w:ascii="Garamond" w:hAnsi="Garamond" w:cstheme="minorHAnsi"/>
          <w:lang w:val="en-US"/>
        </w:rPr>
        <w:t>display</w:t>
      </w:r>
      <w:r w:rsidR="00BA2473" w:rsidRPr="00A20B1A">
        <w:rPr>
          <w:rFonts w:ascii="Garamond" w:hAnsi="Garamond" w:cstheme="minorHAnsi"/>
          <w:lang w:val="en-US"/>
        </w:rPr>
        <w:t>ed</w:t>
      </w:r>
      <w:r w:rsidRPr="00A20B1A">
        <w:rPr>
          <w:rFonts w:ascii="Garamond" w:hAnsi="Garamond" w:cstheme="minorHAnsi"/>
          <w:lang w:val="en-US"/>
        </w:rPr>
        <w:t xml:space="preserve"> on the</w:t>
      </w:r>
      <w:r w:rsidRPr="00DC34EF">
        <w:rPr>
          <w:rFonts w:ascii="Garamond" w:hAnsi="Garamond" w:cstheme="minorHAnsi"/>
          <w:lang w:val="en-US"/>
        </w:rPr>
        <w:t xml:space="preserve"> website of the company and also on the </w:t>
      </w:r>
      <w:r w:rsidRPr="00DC34EF">
        <w:rPr>
          <w:rFonts w:ascii="Garamond" w:hAnsi="Garamond" w:cstheme="minorHAnsi"/>
          <w:lang w:val="en-US"/>
        </w:rPr>
        <w:lastRenderedPageBreak/>
        <w:t>website of IEPF. The availability of such information has led to its misuse by impostors, who illegally claimed such shares through fake documents</w:t>
      </w:r>
      <w:r w:rsidRPr="00DC34EF">
        <w:rPr>
          <w:rFonts w:ascii="Garamond" w:hAnsi="Garamond" w:cstheme="minorHAnsi"/>
          <w:vertAlign w:val="superscript"/>
          <w:lang w:val="en-US"/>
        </w:rPr>
        <w:footnoteReference w:id="50"/>
      </w:r>
      <w:r w:rsidRPr="00DC34EF">
        <w:rPr>
          <w:rFonts w:ascii="Garamond" w:hAnsi="Garamond" w:cstheme="minorHAnsi"/>
          <w:lang w:val="en-US"/>
        </w:rPr>
        <w:t>.</w:t>
      </w:r>
    </w:p>
    <w:p w:rsidR="00DC34EF" w:rsidRPr="00DC34EF" w:rsidRDefault="00DC34EF" w:rsidP="00DC34EF">
      <w:pPr>
        <w:jc w:val="both"/>
        <w:rPr>
          <w:rFonts w:ascii="Garamond" w:hAnsi="Garamond" w:cstheme="minorHAnsi"/>
          <w:lang w:val="en-US"/>
        </w:rPr>
      </w:pPr>
    </w:p>
    <w:p w:rsidR="00DC34EF" w:rsidRPr="00DC34EF" w:rsidRDefault="00DC34EF" w:rsidP="00DC34EF">
      <w:pPr>
        <w:ind w:left="1080"/>
        <w:jc w:val="both"/>
        <w:rPr>
          <w:rFonts w:ascii="Garamond" w:hAnsi="Garamond" w:cstheme="minorHAnsi"/>
          <w:lang w:val="en-US"/>
        </w:rPr>
      </w:pPr>
      <w:r w:rsidRPr="00DC34EF">
        <w:rPr>
          <w:rFonts w:ascii="Garamond" w:hAnsi="Garamond" w:cstheme="minorHAnsi"/>
          <w:lang w:val="en-US"/>
        </w:rPr>
        <w:t xml:space="preserve">Whereas in the case of MFs, as described in paragraph </w:t>
      </w:r>
      <w:r w:rsidRPr="00DC34EF">
        <w:rPr>
          <w:rFonts w:ascii="Garamond" w:hAnsi="Garamond" w:cstheme="minorHAnsi"/>
          <w:lang w:val="en-US"/>
        </w:rPr>
        <w:fldChar w:fldCharType="begin"/>
      </w:r>
      <w:r w:rsidRPr="00DC34EF">
        <w:rPr>
          <w:rFonts w:ascii="Garamond" w:hAnsi="Garamond" w:cstheme="minorHAnsi"/>
          <w:lang w:val="en-US"/>
        </w:rPr>
        <w:instrText xml:space="preserve"> REF _Ref66114544 \r \h  \* MERGEFORMAT </w:instrText>
      </w:r>
      <w:r w:rsidRPr="00DC34EF">
        <w:rPr>
          <w:rFonts w:ascii="Garamond" w:hAnsi="Garamond" w:cstheme="minorHAnsi"/>
          <w:lang w:val="en-US"/>
        </w:rPr>
      </w:r>
      <w:r w:rsidRPr="00DC34EF">
        <w:rPr>
          <w:rFonts w:ascii="Garamond" w:hAnsi="Garamond" w:cstheme="minorHAnsi"/>
          <w:lang w:val="en-US"/>
        </w:rPr>
        <w:fldChar w:fldCharType="separate"/>
      </w:r>
      <w:r w:rsidRPr="00DC34EF">
        <w:rPr>
          <w:rFonts w:ascii="Garamond" w:hAnsi="Garamond" w:cstheme="minorHAnsi"/>
          <w:lang w:val="en-US"/>
        </w:rPr>
        <w:t>IV.5.3</w:t>
      </w:r>
      <w:r w:rsidRPr="00DC34EF">
        <w:rPr>
          <w:rFonts w:ascii="Garamond" w:hAnsi="Garamond" w:cstheme="minorHAnsi"/>
          <w:lang w:val="en-US"/>
        </w:rPr>
        <w:fldChar w:fldCharType="end"/>
      </w:r>
      <w:r w:rsidRPr="00DC34EF">
        <w:rPr>
          <w:rFonts w:ascii="Garamond" w:hAnsi="Garamond" w:cstheme="minorHAnsi"/>
          <w:lang w:val="en-US"/>
        </w:rPr>
        <w:fldChar w:fldCharType="begin"/>
      </w:r>
      <w:r w:rsidRPr="00DC34EF">
        <w:rPr>
          <w:rFonts w:ascii="Garamond" w:hAnsi="Garamond" w:cstheme="minorHAnsi"/>
          <w:lang w:val="en-US"/>
        </w:rPr>
        <w:instrText xml:space="preserve"> REF _Ref63757705 \r \h  \* MERGEFORMAT </w:instrText>
      </w:r>
      <w:r w:rsidRPr="00DC34EF">
        <w:rPr>
          <w:rFonts w:ascii="Garamond" w:hAnsi="Garamond" w:cstheme="minorHAnsi"/>
          <w:lang w:val="en-US"/>
        </w:rPr>
      </w:r>
      <w:r w:rsidRPr="00DC34EF">
        <w:rPr>
          <w:rFonts w:ascii="Garamond" w:hAnsi="Garamond" w:cstheme="minorHAnsi"/>
          <w:lang w:val="en-US"/>
        </w:rPr>
        <w:fldChar w:fldCharType="separate"/>
      </w:r>
      <w:r w:rsidRPr="00DC34EF">
        <w:rPr>
          <w:rFonts w:ascii="Garamond" w:hAnsi="Garamond" w:cstheme="minorHAnsi"/>
          <w:lang w:val="en-US"/>
        </w:rPr>
        <w:t>IV.5</w:t>
      </w:r>
      <w:r w:rsidRPr="00DC34EF">
        <w:rPr>
          <w:rFonts w:ascii="Garamond" w:hAnsi="Garamond" w:cstheme="minorHAnsi"/>
          <w:lang w:val="en-US"/>
        </w:rPr>
        <w:fldChar w:fldCharType="end"/>
      </w:r>
      <w:r w:rsidRPr="00DC34EF">
        <w:rPr>
          <w:rFonts w:ascii="Garamond" w:hAnsi="Garamond" w:cstheme="minorHAnsi"/>
          <w:lang w:val="en-US"/>
        </w:rPr>
        <w:t>, details of unclaimed investment are available in the website of AMC, but its access is restricted through verification of credentials. Similarly, in the case of banks, details of unclaimed deposits and inoperative accounts are required to be available in their websites, but with restriction so as to preserve confidentiality</w:t>
      </w:r>
      <w:r w:rsidRPr="00DC34EF">
        <w:rPr>
          <w:rStyle w:val="FootnoteReference"/>
          <w:rFonts w:ascii="Garamond" w:hAnsi="Garamond" w:cstheme="minorHAnsi"/>
          <w:lang w:val="en-US"/>
        </w:rPr>
        <w:footnoteReference w:id="51"/>
      </w:r>
      <w:r w:rsidRPr="00DC34EF">
        <w:rPr>
          <w:rFonts w:ascii="Garamond" w:hAnsi="Garamond" w:cstheme="minorHAnsi"/>
          <w:lang w:val="en-US"/>
        </w:rPr>
        <w:t xml:space="preserve">.   </w:t>
      </w:r>
    </w:p>
    <w:p w:rsidR="00DC34EF" w:rsidRPr="00DC34EF" w:rsidRDefault="00DC34EF" w:rsidP="00DC34EF">
      <w:pPr>
        <w:ind w:left="1080"/>
        <w:jc w:val="both"/>
        <w:rPr>
          <w:rFonts w:ascii="Garamond" w:hAnsi="Garamond" w:cstheme="minorHAnsi"/>
          <w:lang w:val="en-US"/>
        </w:rPr>
      </w:pPr>
    </w:p>
    <w:p w:rsidR="00DC34EF" w:rsidRPr="00DC34EF" w:rsidRDefault="00DC34EF" w:rsidP="00DC34EF">
      <w:pPr>
        <w:ind w:left="1080"/>
        <w:jc w:val="both"/>
        <w:rPr>
          <w:rFonts w:ascii="Garamond" w:hAnsi="Garamond" w:cstheme="minorHAnsi"/>
          <w:lang w:val="en-US"/>
        </w:rPr>
      </w:pPr>
      <w:r w:rsidRPr="00DC34EF">
        <w:rPr>
          <w:rFonts w:ascii="Garamond" w:hAnsi="Garamond" w:cstheme="minorHAnsi"/>
          <w:lang w:val="en-US"/>
        </w:rPr>
        <w:t xml:space="preserve">To safeguard investor’s privacy, it is recommended that SEBI may take up with MCA, the undesirability of exposing details of unclaimed assets of investors in public domain. </w:t>
      </w:r>
    </w:p>
    <w:p w:rsidR="00DC34EF" w:rsidRPr="00DC34EF" w:rsidRDefault="00DC34EF" w:rsidP="00DC34EF">
      <w:pPr>
        <w:jc w:val="both"/>
        <w:rPr>
          <w:rFonts w:ascii="Garamond" w:hAnsi="Garamond" w:cstheme="minorHAnsi"/>
          <w:u w:val="single"/>
          <w:lang w:val="en-US"/>
        </w:rPr>
      </w:pPr>
    </w:p>
    <w:p w:rsidR="00DC34EF" w:rsidRPr="00DC34EF" w:rsidRDefault="00DC34EF" w:rsidP="00456F4D">
      <w:pPr>
        <w:pStyle w:val="ListParagraph"/>
        <w:numPr>
          <w:ilvl w:val="3"/>
          <w:numId w:val="25"/>
        </w:numPr>
        <w:spacing w:after="0"/>
        <w:jc w:val="both"/>
        <w:rPr>
          <w:rFonts w:ascii="Garamond" w:hAnsi="Garamond" w:cstheme="minorHAnsi"/>
          <w:bCs/>
          <w:sz w:val="24"/>
          <w:szCs w:val="24"/>
        </w:rPr>
      </w:pPr>
      <w:bookmarkStart w:id="49" w:name="_Ref60133441"/>
      <w:r w:rsidRPr="00DC34EF">
        <w:rPr>
          <w:rFonts w:ascii="Garamond" w:hAnsi="Garamond" w:cstheme="minorHAnsi"/>
          <w:bCs/>
          <w:sz w:val="24"/>
          <w:szCs w:val="24"/>
        </w:rPr>
        <w:t>Availability of Distinctive Numbers:</w:t>
      </w:r>
      <w:bookmarkEnd w:id="49"/>
      <w:r w:rsidRPr="00DC34EF">
        <w:rPr>
          <w:rFonts w:ascii="Garamond" w:hAnsi="Garamond" w:cstheme="minorHAnsi"/>
          <w:bCs/>
          <w:sz w:val="24"/>
          <w:szCs w:val="24"/>
        </w:rPr>
        <w:t xml:space="preserve"> </w:t>
      </w:r>
    </w:p>
    <w:p w:rsidR="00DC34EF" w:rsidRPr="00DC34EF" w:rsidRDefault="00DC34EF" w:rsidP="00DC34EF">
      <w:pPr>
        <w:ind w:left="1080"/>
        <w:jc w:val="both"/>
        <w:rPr>
          <w:rFonts w:ascii="Garamond" w:hAnsi="Garamond" w:cstheme="minorHAnsi"/>
        </w:rPr>
      </w:pPr>
      <w:r w:rsidRPr="00DC34EF">
        <w:rPr>
          <w:rFonts w:ascii="Garamond" w:hAnsi="Garamond" w:cstheme="minorHAnsi"/>
        </w:rPr>
        <w:t>It is noted that 693 listed companies have not provided the complete details</w:t>
      </w:r>
      <w:r w:rsidRPr="00DC34EF">
        <w:rPr>
          <w:rStyle w:val="FootnoteReference"/>
          <w:rFonts w:ascii="Garamond" w:hAnsi="Garamond" w:cstheme="minorHAnsi"/>
        </w:rPr>
        <w:footnoteReference w:id="52"/>
      </w:r>
      <w:r w:rsidRPr="00DC34EF">
        <w:rPr>
          <w:rFonts w:ascii="Garamond" w:hAnsi="Garamond" w:cstheme="minorHAnsi"/>
        </w:rPr>
        <w:t xml:space="preserve"> of distinctive numbers, folio numbers and certificate numbers of all their physical shareholders to the Depositories. It is recommended </w:t>
      </w:r>
      <w:r w:rsidRPr="00DC34EF">
        <w:rPr>
          <w:rStyle w:val="FootnoteReference"/>
          <w:rFonts w:ascii="Garamond" w:hAnsi="Garamond" w:cstheme="minorHAnsi"/>
        </w:rPr>
        <w:footnoteReference w:id="53"/>
      </w:r>
      <w:r w:rsidRPr="00DC34EF">
        <w:rPr>
          <w:rFonts w:ascii="Garamond" w:hAnsi="Garamond" w:cstheme="minorHAnsi"/>
        </w:rPr>
        <w:t xml:space="preserve"> that listed companies which do not have the complete details as aforesaid, may be mandated to re-issue shares to all their shareholders and in demat mode. The availability of the aforesaid information with the listed companies will enhance the integrity of the market and hence investor protection too.  </w:t>
      </w:r>
    </w:p>
    <w:p w:rsidR="00DC34EF" w:rsidRPr="00DC34EF" w:rsidRDefault="00DC34EF" w:rsidP="00DC34EF">
      <w:pPr>
        <w:ind w:left="720"/>
        <w:jc w:val="both"/>
        <w:rPr>
          <w:rFonts w:ascii="Garamond" w:hAnsi="Garamond" w:cstheme="minorHAnsi"/>
          <w:lang w:val="en-US"/>
        </w:rPr>
      </w:pPr>
      <w:r w:rsidRPr="00DC34EF">
        <w:rPr>
          <w:rFonts w:ascii="Garamond" w:hAnsi="Garamond" w:cstheme="minorHAnsi"/>
          <w:lang w:val="en-US"/>
        </w:rPr>
        <w:t xml:space="preserve"> </w:t>
      </w:r>
    </w:p>
    <w:p w:rsidR="00DC34EF" w:rsidRPr="002E1041" w:rsidRDefault="003B166C" w:rsidP="00456F4D">
      <w:pPr>
        <w:pStyle w:val="ListParagraph"/>
        <w:numPr>
          <w:ilvl w:val="0"/>
          <w:numId w:val="29"/>
        </w:numPr>
        <w:spacing w:after="160" w:line="259" w:lineRule="auto"/>
        <w:rPr>
          <w:rFonts w:ascii="Garamond" w:eastAsiaTheme="majorEastAsia" w:hAnsi="Garamond" w:cstheme="minorHAnsi"/>
          <w:color w:val="2E74B5" w:themeColor="accent1" w:themeShade="BF"/>
          <w:sz w:val="24"/>
          <w:szCs w:val="24"/>
        </w:rPr>
      </w:pPr>
      <w:r w:rsidRPr="002E1041">
        <w:rPr>
          <w:rFonts w:ascii="Garamond" w:hAnsi="Garamond" w:cstheme="minorHAnsi"/>
          <w:b/>
          <w:bCs/>
          <w:sz w:val="24"/>
          <w:szCs w:val="24"/>
        </w:rPr>
        <w:t>Mutual Funds</w:t>
      </w:r>
    </w:p>
    <w:p w:rsidR="00DC34EF" w:rsidRPr="00DC34EF" w:rsidRDefault="00DC34EF" w:rsidP="00DC34EF">
      <w:pPr>
        <w:jc w:val="both"/>
        <w:rPr>
          <w:rFonts w:ascii="Garamond" w:hAnsi="Garamond" w:cstheme="minorHAnsi"/>
          <w:lang w:val="en-US"/>
        </w:rPr>
      </w:pPr>
    </w:p>
    <w:p w:rsidR="00DC34EF" w:rsidRPr="00DC34EF" w:rsidRDefault="00DC34EF" w:rsidP="00456F4D">
      <w:pPr>
        <w:pStyle w:val="ListParagraph"/>
        <w:numPr>
          <w:ilvl w:val="1"/>
          <w:numId w:val="29"/>
        </w:numPr>
        <w:spacing w:after="0"/>
        <w:jc w:val="both"/>
        <w:rPr>
          <w:rFonts w:ascii="Garamond" w:hAnsi="Garamond" w:cstheme="minorHAnsi"/>
          <w:sz w:val="24"/>
          <w:szCs w:val="24"/>
        </w:rPr>
      </w:pPr>
      <w:r w:rsidRPr="00DC34EF">
        <w:rPr>
          <w:rFonts w:ascii="Garamond" w:hAnsi="Garamond" w:cstheme="minorHAnsi"/>
          <w:sz w:val="24"/>
          <w:szCs w:val="24"/>
        </w:rPr>
        <w:t>Creation / generation of unclaimed assets</w:t>
      </w:r>
    </w:p>
    <w:p w:rsidR="00DC34EF" w:rsidRPr="00DC34EF" w:rsidRDefault="00DC34EF" w:rsidP="00DC34EF">
      <w:pPr>
        <w:ind w:left="360"/>
        <w:jc w:val="both"/>
        <w:rPr>
          <w:rFonts w:ascii="Garamond" w:hAnsi="Garamond" w:cstheme="minorHAnsi"/>
          <w:lang w:val="en-US"/>
        </w:rPr>
      </w:pPr>
      <w:r w:rsidRPr="00DC34EF">
        <w:rPr>
          <w:rFonts w:ascii="Garamond" w:hAnsi="Garamond" w:cstheme="minorHAnsi"/>
          <w:lang w:val="en-US"/>
        </w:rPr>
        <w:t>In dividend option MF schemes, this payment is made through electronic mode, where the full bank details are available. Otherwise, it is paid through physical instruments</w:t>
      </w:r>
      <w:r w:rsidRPr="00DC34EF">
        <w:rPr>
          <w:rStyle w:val="FootnoteReference"/>
          <w:rFonts w:ascii="Garamond" w:hAnsi="Garamond" w:cstheme="minorHAnsi"/>
          <w:lang w:val="en-US"/>
        </w:rPr>
        <w:footnoteReference w:id="54"/>
      </w:r>
      <w:r w:rsidRPr="00DC34EF">
        <w:rPr>
          <w:rFonts w:ascii="Garamond" w:hAnsi="Garamond" w:cstheme="minorHAnsi"/>
          <w:lang w:val="en-US"/>
        </w:rPr>
        <w:t xml:space="preserve">. The factors that result in corporate payment to investors being unsuccessful and thereafter unclaimed, as described in paragraph </w:t>
      </w:r>
      <w:r w:rsidRPr="00DC34EF">
        <w:rPr>
          <w:rFonts w:ascii="Garamond" w:hAnsi="Garamond" w:cstheme="minorHAnsi"/>
          <w:lang w:val="en-US"/>
        </w:rPr>
        <w:fldChar w:fldCharType="begin"/>
      </w:r>
      <w:r w:rsidRPr="00DC34EF">
        <w:rPr>
          <w:rFonts w:ascii="Garamond" w:hAnsi="Garamond" w:cstheme="minorHAnsi"/>
          <w:lang w:val="en-US"/>
        </w:rPr>
        <w:instrText xml:space="preserve"> REF _Ref64732570 \r \h  \* MERGEFORMAT </w:instrText>
      </w:r>
      <w:r w:rsidRPr="00DC34EF">
        <w:rPr>
          <w:rFonts w:ascii="Garamond" w:hAnsi="Garamond" w:cstheme="minorHAnsi"/>
          <w:lang w:val="en-US"/>
        </w:rPr>
      </w:r>
      <w:r w:rsidRPr="00DC34EF">
        <w:rPr>
          <w:rFonts w:ascii="Garamond" w:hAnsi="Garamond" w:cstheme="minorHAnsi"/>
          <w:lang w:val="en-US"/>
        </w:rPr>
        <w:fldChar w:fldCharType="separate"/>
      </w:r>
      <w:r w:rsidRPr="00DC34EF">
        <w:rPr>
          <w:rFonts w:ascii="Garamond" w:hAnsi="Garamond" w:cstheme="minorHAnsi"/>
          <w:lang w:val="en-US"/>
        </w:rPr>
        <w:t>III.1</w:t>
      </w:r>
      <w:r w:rsidRPr="00DC34EF">
        <w:rPr>
          <w:rFonts w:ascii="Garamond" w:hAnsi="Garamond" w:cstheme="minorHAnsi"/>
          <w:lang w:val="en-US"/>
        </w:rPr>
        <w:fldChar w:fldCharType="end"/>
      </w:r>
      <w:r w:rsidRPr="00DC34EF">
        <w:rPr>
          <w:rFonts w:ascii="Garamond" w:hAnsi="Garamond" w:cstheme="minorHAnsi"/>
          <w:lang w:val="en-US"/>
        </w:rPr>
        <w:t xml:space="preserve"> are equally applicable to MF dividend and redemption payments too. Upon demise of the unit holder, the absence of nomination may lead to the investment becoming unclaimed.</w:t>
      </w:r>
    </w:p>
    <w:p w:rsidR="00DC34EF" w:rsidRPr="00DC34EF" w:rsidRDefault="00DC34EF" w:rsidP="00DC34EF">
      <w:pPr>
        <w:ind w:left="360"/>
        <w:jc w:val="both"/>
        <w:rPr>
          <w:rFonts w:ascii="Garamond" w:hAnsi="Garamond" w:cstheme="minorHAnsi"/>
          <w:lang w:val="en-US"/>
        </w:rPr>
      </w:pPr>
    </w:p>
    <w:p w:rsidR="00DC34EF" w:rsidRPr="00DC34EF" w:rsidRDefault="00DC34EF" w:rsidP="00456F4D">
      <w:pPr>
        <w:pStyle w:val="ListParagraph"/>
        <w:numPr>
          <w:ilvl w:val="1"/>
          <w:numId w:val="29"/>
        </w:numPr>
        <w:spacing w:after="0"/>
        <w:jc w:val="both"/>
        <w:rPr>
          <w:rFonts w:ascii="Garamond" w:hAnsi="Garamond" w:cstheme="minorHAnsi"/>
          <w:sz w:val="24"/>
          <w:szCs w:val="24"/>
        </w:rPr>
      </w:pPr>
      <w:r w:rsidRPr="00DC34EF">
        <w:rPr>
          <w:rFonts w:ascii="Garamond" w:hAnsi="Garamond" w:cstheme="minorHAnsi"/>
          <w:sz w:val="24"/>
          <w:szCs w:val="24"/>
        </w:rPr>
        <w:t>Mode of holding</w:t>
      </w:r>
    </w:p>
    <w:p w:rsidR="00DC34EF" w:rsidRPr="00DC34EF" w:rsidRDefault="00DC34EF" w:rsidP="00456F4D">
      <w:pPr>
        <w:pStyle w:val="ListParagraph"/>
        <w:numPr>
          <w:ilvl w:val="2"/>
          <w:numId w:val="29"/>
        </w:numPr>
        <w:spacing w:after="0" w:line="240" w:lineRule="auto"/>
        <w:ind w:left="1225" w:hanging="505"/>
        <w:jc w:val="both"/>
        <w:rPr>
          <w:rFonts w:ascii="Garamond" w:hAnsi="Garamond" w:cstheme="minorHAnsi"/>
          <w:sz w:val="24"/>
          <w:szCs w:val="24"/>
        </w:rPr>
      </w:pPr>
      <w:r w:rsidRPr="00DC34EF">
        <w:rPr>
          <w:rFonts w:ascii="Garamond" w:hAnsi="Garamond" w:cstheme="minorHAnsi"/>
          <w:sz w:val="24"/>
          <w:szCs w:val="24"/>
        </w:rPr>
        <w:t>Investment in MF units are held in and are evidenced through ‘Statement of Account’ (</w:t>
      </w:r>
      <w:r w:rsidRPr="00DC34EF">
        <w:rPr>
          <w:rFonts w:ascii="Garamond" w:hAnsi="Garamond" w:cstheme="minorHAnsi"/>
          <w:b/>
          <w:bCs/>
          <w:sz w:val="24"/>
          <w:szCs w:val="24"/>
        </w:rPr>
        <w:t>SoA</w:t>
      </w:r>
      <w:r w:rsidRPr="00DC34EF">
        <w:rPr>
          <w:rFonts w:ascii="Garamond" w:hAnsi="Garamond" w:cstheme="minorHAnsi"/>
          <w:sz w:val="24"/>
          <w:szCs w:val="24"/>
        </w:rPr>
        <w:t xml:space="preserve">) issued by the AMC and it is the equivalent of physical holding in corporate securities. MF units can also be held in demat mode. The data in this regard pertaining to two largest RTAs, who handled 41 AMCs, constituting 96% of the value of MF industry, is given in table below.  </w:t>
      </w:r>
    </w:p>
    <w:p w:rsidR="00DC34EF" w:rsidRPr="00DC34EF" w:rsidRDefault="00DC34EF" w:rsidP="00DC34EF">
      <w:pPr>
        <w:pStyle w:val="Caption"/>
        <w:spacing w:after="0"/>
        <w:jc w:val="center"/>
        <w:rPr>
          <w:rFonts w:ascii="Garamond" w:hAnsi="Garamond" w:cstheme="minorHAnsi"/>
          <w:sz w:val="24"/>
          <w:szCs w:val="24"/>
        </w:rPr>
      </w:pPr>
    </w:p>
    <w:p w:rsidR="00D91B4B" w:rsidRDefault="00D91B4B" w:rsidP="00DC34EF">
      <w:pPr>
        <w:pStyle w:val="Caption"/>
        <w:spacing w:after="0"/>
        <w:jc w:val="center"/>
        <w:rPr>
          <w:rFonts w:ascii="Garamond" w:hAnsi="Garamond" w:cstheme="minorHAnsi"/>
          <w:sz w:val="22"/>
          <w:szCs w:val="22"/>
        </w:rPr>
      </w:pPr>
      <w:bookmarkStart w:id="50" w:name="_Toc66185882"/>
    </w:p>
    <w:p w:rsidR="00D91B4B" w:rsidRDefault="00D91B4B" w:rsidP="00DC34EF">
      <w:pPr>
        <w:pStyle w:val="Caption"/>
        <w:spacing w:after="0"/>
        <w:jc w:val="center"/>
        <w:rPr>
          <w:rFonts w:ascii="Garamond" w:hAnsi="Garamond" w:cstheme="minorHAnsi"/>
          <w:sz w:val="22"/>
          <w:szCs w:val="22"/>
        </w:rPr>
      </w:pPr>
    </w:p>
    <w:p w:rsidR="00D91B4B" w:rsidRDefault="00D91B4B" w:rsidP="00DC34EF">
      <w:pPr>
        <w:pStyle w:val="Caption"/>
        <w:spacing w:after="0"/>
        <w:jc w:val="center"/>
        <w:rPr>
          <w:rFonts w:ascii="Garamond" w:hAnsi="Garamond" w:cstheme="minorHAnsi"/>
          <w:sz w:val="22"/>
          <w:szCs w:val="22"/>
        </w:rPr>
      </w:pPr>
    </w:p>
    <w:p w:rsidR="00D91B4B" w:rsidRDefault="00D91B4B" w:rsidP="00DC34EF">
      <w:pPr>
        <w:pStyle w:val="Caption"/>
        <w:spacing w:after="0"/>
        <w:jc w:val="center"/>
        <w:rPr>
          <w:rFonts w:ascii="Garamond" w:hAnsi="Garamond" w:cstheme="minorHAnsi"/>
          <w:sz w:val="22"/>
          <w:szCs w:val="22"/>
        </w:rPr>
      </w:pPr>
    </w:p>
    <w:p w:rsidR="00D91B4B" w:rsidRDefault="00D91B4B" w:rsidP="00DC34EF">
      <w:pPr>
        <w:pStyle w:val="Caption"/>
        <w:spacing w:after="0"/>
        <w:jc w:val="center"/>
        <w:rPr>
          <w:rFonts w:ascii="Garamond" w:hAnsi="Garamond" w:cstheme="minorHAnsi"/>
          <w:sz w:val="22"/>
          <w:szCs w:val="22"/>
        </w:rPr>
      </w:pPr>
    </w:p>
    <w:p w:rsidR="00DC34EF" w:rsidRPr="00BA2473" w:rsidRDefault="00DC34EF" w:rsidP="00DC34EF">
      <w:pPr>
        <w:pStyle w:val="Caption"/>
        <w:spacing w:after="0"/>
        <w:jc w:val="center"/>
        <w:rPr>
          <w:rFonts w:ascii="Garamond" w:hAnsi="Garamond" w:cstheme="minorHAnsi"/>
          <w:sz w:val="22"/>
          <w:szCs w:val="22"/>
        </w:rPr>
      </w:pPr>
      <w:r w:rsidRPr="00BA2473">
        <w:rPr>
          <w:rFonts w:ascii="Garamond" w:hAnsi="Garamond" w:cstheme="minorHAnsi"/>
          <w:sz w:val="22"/>
          <w:szCs w:val="22"/>
        </w:rPr>
        <w:lastRenderedPageBreak/>
        <w:t xml:space="preserve">Table </w:t>
      </w:r>
      <w:r w:rsidRPr="00BA2473">
        <w:rPr>
          <w:rFonts w:ascii="Garamond" w:hAnsi="Garamond" w:cstheme="minorHAnsi"/>
          <w:sz w:val="22"/>
          <w:szCs w:val="22"/>
        </w:rPr>
        <w:fldChar w:fldCharType="begin"/>
      </w:r>
      <w:r w:rsidRPr="00BA2473">
        <w:rPr>
          <w:rFonts w:ascii="Garamond" w:hAnsi="Garamond" w:cstheme="minorHAnsi"/>
          <w:sz w:val="22"/>
          <w:szCs w:val="22"/>
        </w:rPr>
        <w:instrText xml:space="preserve"> SEQ Table \* ARABIC </w:instrText>
      </w:r>
      <w:r w:rsidRPr="00BA2473">
        <w:rPr>
          <w:rFonts w:ascii="Garamond" w:hAnsi="Garamond" w:cstheme="minorHAnsi"/>
          <w:sz w:val="22"/>
          <w:szCs w:val="22"/>
        </w:rPr>
        <w:fldChar w:fldCharType="separate"/>
      </w:r>
      <w:r w:rsidRPr="00BA2473">
        <w:rPr>
          <w:rFonts w:ascii="Garamond" w:hAnsi="Garamond" w:cstheme="minorHAnsi"/>
          <w:noProof/>
          <w:sz w:val="22"/>
          <w:szCs w:val="22"/>
        </w:rPr>
        <w:t>7</w:t>
      </w:r>
      <w:r w:rsidRPr="00BA2473">
        <w:rPr>
          <w:rFonts w:ascii="Garamond" w:hAnsi="Garamond" w:cstheme="minorHAnsi"/>
          <w:sz w:val="22"/>
          <w:szCs w:val="22"/>
        </w:rPr>
        <w:fldChar w:fldCharType="end"/>
      </w:r>
      <w:r w:rsidRPr="00BA2473">
        <w:rPr>
          <w:rFonts w:ascii="Garamond" w:hAnsi="Garamond" w:cstheme="minorHAnsi"/>
          <w:sz w:val="22"/>
          <w:szCs w:val="22"/>
        </w:rPr>
        <w:t>: Mode of holding of MF units as on March 31, 2020</w:t>
      </w:r>
      <w:bookmarkEnd w:id="50"/>
    </w:p>
    <w:p w:rsidR="00DC34EF" w:rsidRPr="00DC34EF" w:rsidRDefault="00DC34EF" w:rsidP="00DC34EF">
      <w:pPr>
        <w:ind w:left="720"/>
        <w:jc w:val="right"/>
        <w:rPr>
          <w:rFonts w:ascii="Garamond" w:hAnsi="Garamond" w:cstheme="minorHAnsi"/>
          <w:bCs/>
          <w:lang w:val="en-US"/>
        </w:rPr>
      </w:pPr>
    </w:p>
    <w:tbl>
      <w:tblPr>
        <w:tblW w:w="0" w:type="auto"/>
        <w:jc w:val="center"/>
        <w:tblLook w:val="04A0" w:firstRow="1" w:lastRow="0" w:firstColumn="1" w:lastColumn="0" w:noHBand="0" w:noVBand="1"/>
      </w:tblPr>
      <w:tblGrid>
        <w:gridCol w:w="2641"/>
        <w:gridCol w:w="2245"/>
        <w:gridCol w:w="2416"/>
      </w:tblGrid>
      <w:tr w:rsidR="00DC34EF" w:rsidRPr="00BA2473" w:rsidTr="00DC34E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34EF" w:rsidRPr="00BA2473" w:rsidRDefault="00DC34EF" w:rsidP="00DC34EF">
            <w:pPr>
              <w:jc w:val="center"/>
              <w:rPr>
                <w:rFonts w:ascii="Garamond" w:hAnsi="Garamond" w:cstheme="minorHAnsi"/>
                <w:b/>
                <w:bCs/>
                <w:sz w:val="22"/>
                <w:szCs w:val="22"/>
                <w:lang w:val="en-US"/>
              </w:rPr>
            </w:pPr>
            <w:r w:rsidRPr="00BA2473">
              <w:rPr>
                <w:rFonts w:ascii="Garamond" w:hAnsi="Garamond" w:cstheme="minorHAnsi"/>
                <w:b/>
                <w:bCs/>
                <w:sz w:val="22"/>
                <w:szCs w:val="22"/>
                <w:lang w:val="en-US"/>
              </w:rPr>
              <w:t>Mode of Holding</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C34EF" w:rsidRPr="00BA2473" w:rsidRDefault="00DC34EF" w:rsidP="00DC34EF">
            <w:pPr>
              <w:jc w:val="center"/>
              <w:rPr>
                <w:rFonts w:ascii="Garamond" w:hAnsi="Garamond" w:cstheme="minorHAnsi"/>
                <w:b/>
                <w:bCs/>
                <w:sz w:val="22"/>
                <w:szCs w:val="22"/>
                <w:lang w:val="en-US"/>
              </w:rPr>
            </w:pPr>
            <w:r w:rsidRPr="00BA2473">
              <w:rPr>
                <w:rFonts w:ascii="Garamond" w:hAnsi="Garamond" w:cstheme="minorHAnsi"/>
                <w:b/>
                <w:bCs/>
                <w:sz w:val="22"/>
                <w:szCs w:val="22"/>
                <w:lang w:val="en-US"/>
              </w:rPr>
              <w:t>Number of Folios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C34EF" w:rsidRPr="00BA2473" w:rsidRDefault="00DC34EF" w:rsidP="00DC34EF">
            <w:pPr>
              <w:jc w:val="center"/>
              <w:rPr>
                <w:rFonts w:ascii="Garamond" w:hAnsi="Garamond" w:cstheme="minorHAnsi"/>
                <w:b/>
                <w:bCs/>
                <w:sz w:val="22"/>
                <w:szCs w:val="22"/>
                <w:lang w:val="en-US"/>
              </w:rPr>
            </w:pPr>
            <w:r w:rsidRPr="00BA2473">
              <w:rPr>
                <w:rFonts w:ascii="Garamond" w:hAnsi="Garamond" w:cstheme="minorHAnsi"/>
                <w:b/>
                <w:bCs/>
                <w:sz w:val="22"/>
                <w:szCs w:val="22"/>
                <w:lang w:val="en-US"/>
              </w:rPr>
              <w:t>Value (Rs. crore)</w:t>
            </w:r>
          </w:p>
        </w:tc>
      </w:tr>
      <w:tr w:rsidR="00DC34EF" w:rsidRPr="00BA2473" w:rsidTr="00DC34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C34EF" w:rsidRPr="00BA2473" w:rsidRDefault="00DC34EF" w:rsidP="00DC34EF">
            <w:pPr>
              <w:jc w:val="both"/>
              <w:rPr>
                <w:rFonts w:ascii="Garamond" w:hAnsi="Garamond" w:cstheme="minorHAnsi"/>
                <w:sz w:val="22"/>
                <w:szCs w:val="22"/>
                <w:lang w:val="en-US"/>
              </w:rPr>
            </w:pPr>
            <w:r w:rsidRPr="00BA2473">
              <w:rPr>
                <w:rFonts w:ascii="Garamond" w:hAnsi="Garamond" w:cstheme="minorHAnsi"/>
                <w:sz w:val="22"/>
                <w:szCs w:val="22"/>
                <w:lang w:val="en-US"/>
              </w:rPr>
              <w:t>Statement of Account (SoA)</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both"/>
              <w:rPr>
                <w:rFonts w:ascii="Garamond" w:hAnsi="Garamond" w:cstheme="minorHAnsi"/>
                <w:sz w:val="22"/>
                <w:szCs w:val="22"/>
                <w:lang w:val="en-US"/>
              </w:rPr>
            </w:pPr>
            <w:r w:rsidRPr="00BA2473">
              <w:rPr>
                <w:rFonts w:ascii="Garamond" w:hAnsi="Garamond" w:cstheme="minorHAnsi"/>
                <w:sz w:val="22"/>
                <w:szCs w:val="22"/>
                <w:lang w:val="en-US"/>
              </w:rPr>
              <w:t xml:space="preserve">                   7,76,88,269 </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both"/>
              <w:rPr>
                <w:rFonts w:ascii="Garamond" w:hAnsi="Garamond" w:cstheme="minorHAnsi"/>
                <w:sz w:val="22"/>
                <w:szCs w:val="22"/>
                <w:lang w:val="en-US"/>
              </w:rPr>
            </w:pPr>
            <w:r w:rsidRPr="00BA2473">
              <w:rPr>
                <w:rFonts w:ascii="Garamond" w:hAnsi="Garamond" w:cstheme="minorHAnsi"/>
                <w:sz w:val="22"/>
                <w:szCs w:val="22"/>
                <w:lang w:val="en-US"/>
              </w:rPr>
              <w:t xml:space="preserve">                         19,25,585 </w:t>
            </w:r>
          </w:p>
        </w:tc>
      </w:tr>
      <w:tr w:rsidR="00DC34EF" w:rsidRPr="00BA2473" w:rsidTr="00DC34E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34EF" w:rsidRPr="00BA2473" w:rsidRDefault="00DC34EF" w:rsidP="00DC34EF">
            <w:pPr>
              <w:jc w:val="both"/>
              <w:rPr>
                <w:rFonts w:ascii="Garamond" w:hAnsi="Garamond" w:cstheme="minorHAnsi"/>
                <w:sz w:val="22"/>
                <w:szCs w:val="22"/>
                <w:lang w:val="en-US"/>
              </w:rPr>
            </w:pPr>
            <w:r w:rsidRPr="00BA2473">
              <w:rPr>
                <w:rFonts w:ascii="Garamond" w:hAnsi="Garamond" w:cstheme="minorHAnsi"/>
                <w:sz w:val="22"/>
                <w:szCs w:val="22"/>
                <w:lang w:val="en-US"/>
              </w:rPr>
              <w:t>Demat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C34EF" w:rsidRPr="00BA2473" w:rsidRDefault="00DC34EF" w:rsidP="00DC34EF">
            <w:pPr>
              <w:jc w:val="both"/>
              <w:rPr>
                <w:rFonts w:ascii="Garamond" w:hAnsi="Garamond" w:cstheme="minorHAnsi"/>
                <w:sz w:val="22"/>
                <w:szCs w:val="22"/>
                <w:lang w:val="en-US"/>
              </w:rPr>
            </w:pPr>
            <w:r w:rsidRPr="00BA2473">
              <w:rPr>
                <w:rFonts w:ascii="Garamond" w:hAnsi="Garamond" w:cstheme="minorHAnsi"/>
                <w:sz w:val="22"/>
                <w:szCs w:val="22"/>
                <w:lang w:val="en-US"/>
              </w:rPr>
              <w:t xml:space="preserve">                      83,35,332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C34EF" w:rsidRPr="00BA2473" w:rsidRDefault="00DC34EF" w:rsidP="00DC34EF">
            <w:pPr>
              <w:jc w:val="both"/>
              <w:rPr>
                <w:rFonts w:ascii="Garamond" w:hAnsi="Garamond" w:cstheme="minorHAnsi"/>
                <w:sz w:val="22"/>
                <w:szCs w:val="22"/>
                <w:lang w:val="en-US"/>
              </w:rPr>
            </w:pPr>
            <w:r w:rsidRPr="00BA2473">
              <w:rPr>
                <w:rFonts w:ascii="Garamond" w:hAnsi="Garamond" w:cstheme="minorHAnsi"/>
                <w:sz w:val="22"/>
                <w:szCs w:val="22"/>
                <w:lang w:val="en-US"/>
              </w:rPr>
              <w:t xml:space="preserve">                           2,14,477 </w:t>
            </w:r>
          </w:p>
        </w:tc>
      </w:tr>
      <w:tr w:rsidR="00DC34EF" w:rsidRPr="00BA2473" w:rsidTr="00DC34E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DC34EF" w:rsidRPr="00BA2473" w:rsidRDefault="00DC34EF" w:rsidP="00DC34EF">
            <w:pPr>
              <w:jc w:val="both"/>
              <w:rPr>
                <w:rFonts w:ascii="Garamond" w:hAnsi="Garamond" w:cstheme="minorHAnsi"/>
                <w:sz w:val="22"/>
                <w:szCs w:val="22"/>
                <w:lang w:val="en-US"/>
              </w:rPr>
            </w:pPr>
            <w:r w:rsidRPr="00BA2473">
              <w:rPr>
                <w:rFonts w:ascii="Garamond" w:hAnsi="Garamond" w:cstheme="minorHAnsi"/>
                <w:sz w:val="22"/>
                <w:szCs w:val="22"/>
                <w:lang w:val="en-US"/>
              </w:rPr>
              <w:t>Total</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DC34EF" w:rsidRPr="00BA2473" w:rsidRDefault="00DC34EF" w:rsidP="00DC34EF">
            <w:pPr>
              <w:jc w:val="both"/>
              <w:rPr>
                <w:rFonts w:ascii="Garamond" w:hAnsi="Garamond" w:cstheme="minorHAnsi"/>
                <w:sz w:val="22"/>
                <w:szCs w:val="22"/>
                <w:lang w:val="en-US"/>
              </w:rPr>
            </w:pPr>
            <w:r w:rsidRPr="00BA2473">
              <w:rPr>
                <w:rFonts w:ascii="Garamond" w:hAnsi="Garamond" w:cstheme="minorHAnsi"/>
                <w:sz w:val="22"/>
                <w:szCs w:val="22"/>
                <w:lang w:val="en-US"/>
              </w:rPr>
              <w:t xml:space="preserve">                   8,60,23,601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DC34EF" w:rsidRPr="00BA2473" w:rsidRDefault="00DC34EF" w:rsidP="00DC34EF">
            <w:pPr>
              <w:jc w:val="both"/>
              <w:rPr>
                <w:rFonts w:ascii="Garamond" w:hAnsi="Garamond" w:cstheme="minorHAnsi"/>
                <w:sz w:val="22"/>
                <w:szCs w:val="22"/>
                <w:lang w:val="en-US"/>
              </w:rPr>
            </w:pPr>
            <w:r w:rsidRPr="00BA2473">
              <w:rPr>
                <w:rFonts w:ascii="Garamond" w:hAnsi="Garamond" w:cstheme="minorHAnsi"/>
                <w:sz w:val="22"/>
                <w:szCs w:val="22"/>
                <w:lang w:val="en-US"/>
              </w:rPr>
              <w:t xml:space="preserve">                         21,40,062</w:t>
            </w:r>
          </w:p>
        </w:tc>
      </w:tr>
      <w:tr w:rsidR="00DC34EF" w:rsidRPr="00BA2473" w:rsidTr="00DC34EF">
        <w:trPr>
          <w:trHeight w:val="30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C34EF" w:rsidRPr="00BA2473" w:rsidRDefault="00DC34EF" w:rsidP="00DC34EF">
            <w:pPr>
              <w:jc w:val="both"/>
              <w:rPr>
                <w:rFonts w:ascii="Garamond" w:hAnsi="Garamond" w:cstheme="minorHAnsi"/>
                <w:sz w:val="22"/>
                <w:szCs w:val="22"/>
                <w:lang w:val="en-US"/>
              </w:rPr>
            </w:pPr>
            <w:r w:rsidRPr="00BA2473">
              <w:rPr>
                <w:rFonts w:ascii="Garamond" w:hAnsi="Garamond" w:cstheme="minorHAnsi"/>
                <w:sz w:val="22"/>
                <w:szCs w:val="22"/>
                <w:lang w:val="en-US"/>
              </w:rPr>
              <w:t>AUM of MF Industry</w:t>
            </w:r>
            <w:r w:rsidRPr="00BA2473">
              <w:rPr>
                <w:rStyle w:val="FootnoteReference"/>
                <w:rFonts w:ascii="Garamond" w:hAnsi="Garamond" w:cstheme="minorHAnsi"/>
                <w:sz w:val="22"/>
                <w:szCs w:val="22"/>
                <w:lang w:val="en-US"/>
              </w:rPr>
              <w:footnoteReference w:id="55"/>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DC34EF" w:rsidRPr="00BA2473" w:rsidRDefault="00DC34EF" w:rsidP="00DC34EF">
            <w:pPr>
              <w:jc w:val="right"/>
              <w:rPr>
                <w:rFonts w:ascii="Garamond" w:hAnsi="Garamond" w:cstheme="minorHAnsi"/>
                <w:sz w:val="22"/>
                <w:szCs w:val="22"/>
                <w:lang w:val="en-US"/>
              </w:rPr>
            </w:pPr>
            <w:r w:rsidRPr="00BA2473">
              <w:rPr>
                <w:rFonts w:ascii="Garamond" w:hAnsi="Garamond" w:cstheme="minorHAnsi"/>
                <w:sz w:val="22"/>
                <w:szCs w:val="22"/>
                <w:lang w:val="en-US"/>
              </w:rPr>
              <w:t>22,26,203</w:t>
            </w:r>
          </w:p>
        </w:tc>
      </w:tr>
    </w:tbl>
    <w:p w:rsidR="00DC34EF" w:rsidRPr="00DC34EF" w:rsidRDefault="00DC34EF" w:rsidP="00DC34EF">
      <w:pPr>
        <w:ind w:left="360"/>
        <w:jc w:val="both"/>
        <w:rPr>
          <w:rFonts w:ascii="Garamond" w:hAnsi="Garamond" w:cstheme="minorHAnsi"/>
          <w:lang w:val="en-US"/>
        </w:rPr>
      </w:pPr>
    </w:p>
    <w:p w:rsidR="00DC34EF" w:rsidRPr="00DC34EF" w:rsidRDefault="00DC34EF" w:rsidP="00456F4D">
      <w:pPr>
        <w:pStyle w:val="ListParagraph"/>
        <w:numPr>
          <w:ilvl w:val="2"/>
          <w:numId w:val="29"/>
        </w:numPr>
        <w:spacing w:after="0" w:line="240" w:lineRule="auto"/>
        <w:ind w:left="1225" w:hanging="505"/>
        <w:jc w:val="both"/>
        <w:rPr>
          <w:rFonts w:ascii="Garamond" w:hAnsi="Garamond" w:cstheme="minorHAnsi"/>
          <w:sz w:val="24"/>
          <w:szCs w:val="24"/>
        </w:rPr>
      </w:pPr>
      <w:r w:rsidRPr="00DC34EF">
        <w:rPr>
          <w:rFonts w:ascii="Garamond" w:hAnsi="Garamond" w:cstheme="minorHAnsi"/>
          <w:sz w:val="24"/>
          <w:szCs w:val="24"/>
        </w:rPr>
        <w:t>About 90% of MF units, both in terms of number of folios and value are held in SoA mode and the remaining 10% are held in demat mode. The link, if any, between the mode of holding on one hand and the success in payments and thereafter the generation of unclaimed assets on the other hand are examined below.</w:t>
      </w:r>
    </w:p>
    <w:p w:rsidR="00DC34EF" w:rsidRPr="00DC34EF" w:rsidRDefault="00DC34EF" w:rsidP="00DC34EF">
      <w:pPr>
        <w:ind w:left="360"/>
        <w:jc w:val="both"/>
        <w:rPr>
          <w:rFonts w:ascii="Garamond" w:hAnsi="Garamond" w:cstheme="minorHAnsi"/>
          <w:lang w:val="en-US"/>
        </w:rPr>
      </w:pPr>
    </w:p>
    <w:p w:rsidR="00DC34EF" w:rsidRPr="00DC34EF" w:rsidRDefault="00DC34EF" w:rsidP="00456F4D">
      <w:pPr>
        <w:pStyle w:val="ListParagraph"/>
        <w:numPr>
          <w:ilvl w:val="1"/>
          <w:numId w:val="29"/>
        </w:numPr>
        <w:spacing w:after="0"/>
        <w:jc w:val="both"/>
        <w:rPr>
          <w:rFonts w:ascii="Garamond" w:hAnsi="Garamond" w:cstheme="minorHAnsi"/>
          <w:sz w:val="24"/>
          <w:szCs w:val="24"/>
        </w:rPr>
      </w:pPr>
      <w:r w:rsidRPr="00DC34EF">
        <w:rPr>
          <w:rFonts w:ascii="Garamond" w:hAnsi="Garamond" w:cstheme="minorHAnsi"/>
          <w:sz w:val="24"/>
          <w:szCs w:val="24"/>
        </w:rPr>
        <w:t>Mode of MF holding vs mode of payment and its outcome</w:t>
      </w:r>
    </w:p>
    <w:p w:rsidR="00DC34EF" w:rsidRPr="00DC34EF" w:rsidRDefault="00DC34EF" w:rsidP="00DC34EF">
      <w:pPr>
        <w:ind w:left="360"/>
        <w:jc w:val="both"/>
        <w:rPr>
          <w:rFonts w:ascii="Garamond" w:hAnsi="Garamond" w:cstheme="minorHAnsi"/>
          <w:lang w:val="en-US"/>
        </w:rPr>
      </w:pPr>
    </w:p>
    <w:p w:rsidR="00DC34EF" w:rsidRPr="00DC34EF" w:rsidRDefault="00DC34EF" w:rsidP="00456F4D">
      <w:pPr>
        <w:pStyle w:val="ListParagraph"/>
        <w:numPr>
          <w:ilvl w:val="2"/>
          <w:numId w:val="29"/>
        </w:numPr>
        <w:spacing w:after="0" w:line="240" w:lineRule="auto"/>
        <w:ind w:left="1225" w:hanging="505"/>
        <w:jc w:val="both"/>
        <w:rPr>
          <w:rFonts w:ascii="Garamond" w:hAnsi="Garamond" w:cstheme="minorHAnsi"/>
          <w:sz w:val="24"/>
          <w:szCs w:val="24"/>
        </w:rPr>
      </w:pPr>
      <w:r w:rsidRPr="00DC34EF">
        <w:rPr>
          <w:rFonts w:ascii="Garamond" w:hAnsi="Garamond" w:cstheme="minorHAnsi"/>
          <w:sz w:val="24"/>
          <w:szCs w:val="24"/>
        </w:rPr>
        <w:t>The sample data on dividend and redemption payment pertaining to two largest RTAs for the financial year 2019-20 and its outcome are given in tables below</w:t>
      </w:r>
      <w:r w:rsidR="00BA2473">
        <w:rPr>
          <w:rFonts w:ascii="Garamond" w:hAnsi="Garamond" w:cstheme="minorHAnsi"/>
          <w:sz w:val="24"/>
          <w:szCs w:val="24"/>
        </w:rPr>
        <w:t>:</w:t>
      </w:r>
    </w:p>
    <w:p w:rsidR="002E1041" w:rsidRDefault="002E1041" w:rsidP="002E1041">
      <w:pPr>
        <w:rPr>
          <w:lang w:val="en-US"/>
        </w:rPr>
      </w:pPr>
    </w:p>
    <w:p w:rsidR="002E1041" w:rsidRPr="002E1041" w:rsidRDefault="002E1041" w:rsidP="002E1041">
      <w:pPr>
        <w:rPr>
          <w:b/>
          <w:bCs/>
          <w:color w:val="2E74B5" w:themeColor="accent1" w:themeShade="BF"/>
          <w:lang w:val="en-US"/>
        </w:rPr>
      </w:pPr>
      <w:r>
        <w:rPr>
          <w:rFonts w:ascii="Garamond" w:hAnsi="Garamond" w:cstheme="minorHAnsi"/>
          <w:b/>
          <w:bCs/>
          <w:color w:val="2E74B5" w:themeColor="accent1" w:themeShade="BF"/>
          <w:sz w:val="22"/>
          <w:szCs w:val="22"/>
        </w:rPr>
        <w:t xml:space="preserve">           </w:t>
      </w:r>
      <w:r w:rsidRPr="002E1041">
        <w:rPr>
          <w:rFonts w:ascii="Garamond" w:hAnsi="Garamond" w:cstheme="minorHAnsi"/>
          <w:b/>
          <w:bCs/>
          <w:color w:val="2E74B5" w:themeColor="accent1" w:themeShade="BF"/>
          <w:sz w:val="22"/>
          <w:szCs w:val="22"/>
        </w:rPr>
        <w:t xml:space="preserve">Table </w:t>
      </w:r>
      <w:r w:rsidRPr="002E1041">
        <w:rPr>
          <w:rFonts w:ascii="Garamond" w:hAnsi="Garamond" w:cstheme="minorHAnsi"/>
          <w:b/>
          <w:bCs/>
          <w:color w:val="2E74B5" w:themeColor="accent1" w:themeShade="BF"/>
          <w:sz w:val="22"/>
          <w:szCs w:val="22"/>
        </w:rPr>
        <w:fldChar w:fldCharType="begin"/>
      </w:r>
      <w:r w:rsidRPr="002E1041">
        <w:rPr>
          <w:rFonts w:ascii="Garamond" w:hAnsi="Garamond" w:cstheme="minorHAnsi"/>
          <w:b/>
          <w:bCs/>
          <w:color w:val="2E74B5" w:themeColor="accent1" w:themeShade="BF"/>
          <w:sz w:val="22"/>
          <w:szCs w:val="22"/>
        </w:rPr>
        <w:instrText xml:space="preserve"> SEQ Table \* ARABIC </w:instrText>
      </w:r>
      <w:r w:rsidRPr="002E1041">
        <w:rPr>
          <w:rFonts w:ascii="Garamond" w:hAnsi="Garamond" w:cstheme="minorHAnsi"/>
          <w:b/>
          <w:bCs/>
          <w:color w:val="2E74B5" w:themeColor="accent1" w:themeShade="BF"/>
          <w:sz w:val="22"/>
          <w:szCs w:val="22"/>
        </w:rPr>
        <w:fldChar w:fldCharType="separate"/>
      </w:r>
      <w:r w:rsidRPr="002E1041">
        <w:rPr>
          <w:rFonts w:ascii="Garamond" w:hAnsi="Garamond" w:cstheme="minorHAnsi"/>
          <w:b/>
          <w:bCs/>
          <w:noProof/>
          <w:color w:val="2E74B5" w:themeColor="accent1" w:themeShade="BF"/>
          <w:sz w:val="22"/>
          <w:szCs w:val="22"/>
        </w:rPr>
        <w:t>8</w:t>
      </w:r>
      <w:r w:rsidRPr="002E1041">
        <w:rPr>
          <w:rFonts w:ascii="Garamond" w:hAnsi="Garamond" w:cstheme="minorHAnsi"/>
          <w:b/>
          <w:bCs/>
          <w:color w:val="2E74B5" w:themeColor="accent1" w:themeShade="BF"/>
          <w:sz w:val="22"/>
          <w:szCs w:val="22"/>
        </w:rPr>
        <w:fldChar w:fldCharType="end"/>
      </w:r>
      <w:r w:rsidRPr="002E1041">
        <w:rPr>
          <w:rFonts w:ascii="Garamond" w:hAnsi="Garamond" w:cstheme="minorHAnsi"/>
          <w:b/>
          <w:bCs/>
          <w:color w:val="2E74B5" w:themeColor="accent1" w:themeShade="BF"/>
          <w:sz w:val="22"/>
          <w:szCs w:val="22"/>
        </w:rPr>
        <w:t>: Mode of Dividend payment and its outcome in Mutual Funds</w:t>
      </w:r>
    </w:p>
    <w:p w:rsidR="002E1041" w:rsidRPr="002E1041" w:rsidRDefault="002E1041" w:rsidP="002E1041">
      <w:pPr>
        <w:rPr>
          <w:lang w:val="en-US"/>
        </w:rPr>
      </w:pPr>
    </w:p>
    <w:tbl>
      <w:tblPr>
        <w:tblW w:w="0" w:type="auto"/>
        <w:jc w:val="center"/>
        <w:tblLook w:val="04A0" w:firstRow="1" w:lastRow="0" w:firstColumn="1" w:lastColumn="0" w:noHBand="0" w:noVBand="1"/>
      </w:tblPr>
      <w:tblGrid>
        <w:gridCol w:w="3287"/>
        <w:gridCol w:w="1591"/>
        <w:gridCol w:w="1750"/>
        <w:gridCol w:w="1310"/>
      </w:tblGrid>
      <w:tr w:rsidR="00DC34EF" w:rsidRPr="00BA2473" w:rsidTr="00DC34E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34EF" w:rsidRPr="00BA2473" w:rsidRDefault="00DC34EF" w:rsidP="00DC34EF">
            <w:pPr>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Dividend paid FY 2019-20 (</w:t>
            </w:r>
            <w:r w:rsidRPr="00BA2473">
              <w:rPr>
                <w:rFonts w:ascii="Times New Roman" w:eastAsia="Times New Roman" w:hAnsi="Times New Roman"/>
                <w:color w:val="000000"/>
                <w:sz w:val="22"/>
                <w:szCs w:val="22"/>
                <w:lang w:eastAsia="en-IN" w:bidi="hi-IN"/>
              </w:rPr>
              <w:t>₹</w:t>
            </w:r>
            <w:r w:rsidRPr="00BA2473">
              <w:rPr>
                <w:rFonts w:ascii="Garamond" w:eastAsia="Times New Roman" w:hAnsi="Garamond" w:cstheme="minorHAnsi"/>
                <w:color w:val="000000"/>
                <w:sz w:val="22"/>
                <w:szCs w:val="22"/>
                <w:lang w:eastAsia="en-IN" w:bidi="hi-IN"/>
              </w:rPr>
              <w:t xml:space="preserve"> crore)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C34EF" w:rsidRPr="00BA2473" w:rsidRDefault="00DC34EF" w:rsidP="00DC34EF">
            <w:pPr>
              <w:jc w:val="center"/>
              <w:rPr>
                <w:rFonts w:ascii="Garamond" w:eastAsia="Times New Roman" w:hAnsi="Garamond" w:cstheme="minorHAnsi"/>
                <w:b/>
                <w:bCs/>
                <w:color w:val="000000"/>
                <w:sz w:val="22"/>
                <w:szCs w:val="22"/>
                <w:lang w:eastAsia="en-IN" w:bidi="hi-IN"/>
              </w:rPr>
            </w:pPr>
            <w:r w:rsidRPr="00BA2473">
              <w:rPr>
                <w:rFonts w:ascii="Garamond" w:eastAsia="Times New Roman" w:hAnsi="Garamond" w:cstheme="minorHAnsi"/>
                <w:b/>
                <w:bCs/>
                <w:color w:val="000000"/>
                <w:sz w:val="22"/>
                <w:szCs w:val="22"/>
                <w:lang w:eastAsia="en-IN" w:bidi="hi-IN"/>
              </w:rPr>
              <w:t>SoA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C34EF" w:rsidRPr="00BA2473" w:rsidRDefault="00DC34EF" w:rsidP="00DC34EF">
            <w:pPr>
              <w:jc w:val="center"/>
              <w:rPr>
                <w:rFonts w:ascii="Garamond" w:eastAsia="Times New Roman" w:hAnsi="Garamond" w:cstheme="minorHAnsi"/>
                <w:b/>
                <w:bCs/>
                <w:color w:val="000000"/>
                <w:sz w:val="22"/>
                <w:szCs w:val="22"/>
                <w:lang w:eastAsia="en-IN" w:bidi="hi-IN"/>
              </w:rPr>
            </w:pPr>
            <w:r w:rsidRPr="00BA2473">
              <w:rPr>
                <w:rFonts w:ascii="Garamond" w:eastAsia="Times New Roman" w:hAnsi="Garamond" w:cstheme="minorHAnsi"/>
                <w:b/>
                <w:bCs/>
                <w:color w:val="000000"/>
                <w:sz w:val="22"/>
                <w:szCs w:val="22"/>
                <w:lang w:eastAsia="en-IN" w:bidi="hi-IN"/>
              </w:rPr>
              <w:t>Demat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C34EF" w:rsidRPr="00BA2473" w:rsidRDefault="00DC34EF" w:rsidP="00DC34EF">
            <w:pPr>
              <w:jc w:val="center"/>
              <w:rPr>
                <w:rFonts w:ascii="Garamond" w:eastAsia="Times New Roman" w:hAnsi="Garamond" w:cstheme="minorHAnsi"/>
                <w:b/>
                <w:bCs/>
                <w:color w:val="000000"/>
                <w:sz w:val="22"/>
                <w:szCs w:val="22"/>
                <w:lang w:eastAsia="en-IN" w:bidi="hi-IN"/>
              </w:rPr>
            </w:pPr>
            <w:r w:rsidRPr="00BA2473">
              <w:rPr>
                <w:rFonts w:ascii="Garamond" w:eastAsia="Times New Roman" w:hAnsi="Garamond" w:cstheme="minorHAnsi"/>
                <w:b/>
                <w:bCs/>
                <w:color w:val="000000"/>
                <w:sz w:val="22"/>
                <w:szCs w:val="22"/>
                <w:lang w:eastAsia="en-IN" w:bidi="hi-IN"/>
              </w:rPr>
              <w:t>Total</w:t>
            </w:r>
          </w:p>
        </w:tc>
      </w:tr>
      <w:tr w:rsidR="00DC34EF" w:rsidRPr="00BA2473" w:rsidTr="00DC34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C34EF" w:rsidRPr="00BA2473" w:rsidRDefault="00DC34EF" w:rsidP="00DC34EF">
            <w:pPr>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12,355 </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654 </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13,009 </w:t>
            </w:r>
          </w:p>
        </w:tc>
      </w:tr>
      <w:tr w:rsidR="00DC34EF" w:rsidRPr="00BA2473" w:rsidTr="00DC34EF">
        <w:trPr>
          <w:trHeight w:val="300"/>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34EF" w:rsidRPr="00BA2473" w:rsidRDefault="00BA2473" w:rsidP="00DC34EF">
            <w:pPr>
              <w:jc w:val="center"/>
              <w:rPr>
                <w:rFonts w:ascii="Garamond" w:eastAsia="Times New Roman" w:hAnsi="Garamond" w:cstheme="minorHAnsi"/>
                <w:color w:val="000000"/>
                <w:sz w:val="22"/>
                <w:szCs w:val="22"/>
                <w:lang w:eastAsia="en-IN" w:bidi="hi-IN"/>
              </w:rPr>
            </w:pPr>
            <w:r>
              <w:rPr>
                <w:rFonts w:ascii="Garamond" w:eastAsia="Times New Roman" w:hAnsi="Garamond" w:cstheme="minorHAnsi"/>
                <w:color w:val="000000"/>
                <w:sz w:val="22"/>
                <w:szCs w:val="22"/>
                <w:lang w:eastAsia="en-IN" w:bidi="hi-IN"/>
              </w:rPr>
              <w:t>Amount (Rs. crore</w:t>
            </w:r>
            <w:r w:rsidR="00DC34EF" w:rsidRPr="00BA2473">
              <w:rPr>
                <w:rFonts w:ascii="Garamond" w:eastAsia="Times New Roman" w:hAnsi="Garamond" w:cstheme="minorHAnsi"/>
                <w:color w:val="000000"/>
                <w:sz w:val="22"/>
                <w:szCs w:val="22"/>
                <w:lang w:eastAsia="en-IN" w:bidi="hi-IN"/>
              </w:rPr>
              <w:t>)</w:t>
            </w:r>
          </w:p>
        </w:tc>
      </w:tr>
      <w:tr w:rsidR="00DC34EF" w:rsidRPr="00BA2473" w:rsidTr="00DC34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C34EF" w:rsidRPr="00BA2473" w:rsidRDefault="00DC34EF" w:rsidP="00DC34EF">
            <w:pPr>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Electronic mode</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12,121 </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647 </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12,768 </w:t>
            </w:r>
          </w:p>
        </w:tc>
      </w:tr>
      <w:tr w:rsidR="00DC34EF" w:rsidRPr="00BA2473" w:rsidTr="00DC34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C34EF" w:rsidRPr="00BA2473" w:rsidRDefault="00DC34EF" w:rsidP="00DC34EF">
            <w:pPr>
              <w:ind w:firstLineChars="300" w:firstLine="660"/>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O/w Unsuccessful</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49 </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1 </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50 </w:t>
            </w:r>
          </w:p>
        </w:tc>
      </w:tr>
      <w:tr w:rsidR="00DC34EF" w:rsidRPr="00BA2473" w:rsidTr="00DC34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C34EF" w:rsidRPr="00BA2473" w:rsidRDefault="00DC34EF" w:rsidP="00DC34EF">
            <w:pPr>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Physical instruments</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234 </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7 </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240 </w:t>
            </w:r>
          </w:p>
        </w:tc>
      </w:tr>
      <w:tr w:rsidR="00DC34EF" w:rsidRPr="00BA2473" w:rsidTr="00DC34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C34EF" w:rsidRPr="00BA2473" w:rsidRDefault="00DC34EF" w:rsidP="00DC34EF">
            <w:pPr>
              <w:ind w:firstLineChars="300" w:firstLine="660"/>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O/w Unsuccessful</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52 </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0 </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52 </w:t>
            </w:r>
          </w:p>
        </w:tc>
      </w:tr>
      <w:tr w:rsidR="00DC34EF" w:rsidRPr="00BA2473" w:rsidTr="00DC34EF">
        <w:trPr>
          <w:trHeight w:val="300"/>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34EF" w:rsidRPr="00BA2473" w:rsidRDefault="00DC34EF" w:rsidP="00DC34EF">
            <w:pPr>
              <w:jc w:val="center"/>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Number of Payments</w:t>
            </w:r>
            <w:r w:rsidRPr="00BA2473">
              <w:rPr>
                <w:rStyle w:val="FootnoteReference"/>
                <w:rFonts w:ascii="Garamond" w:eastAsia="Times New Roman" w:hAnsi="Garamond" w:cstheme="minorHAnsi"/>
                <w:color w:val="000000"/>
                <w:sz w:val="22"/>
                <w:szCs w:val="22"/>
                <w:lang w:eastAsia="en-IN" w:bidi="hi-IN"/>
              </w:rPr>
              <w:footnoteReference w:id="56"/>
            </w:r>
          </w:p>
        </w:tc>
      </w:tr>
      <w:tr w:rsidR="00DC34EF" w:rsidRPr="00BA2473" w:rsidTr="00DC34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C34EF" w:rsidRPr="00BA2473" w:rsidRDefault="00DC34EF" w:rsidP="00DC34EF">
            <w:pPr>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Electronic mode</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1,83,36,263 </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11,27,882 </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1,94,64,145 </w:t>
            </w:r>
          </w:p>
        </w:tc>
      </w:tr>
      <w:tr w:rsidR="00DC34EF" w:rsidRPr="00BA2473" w:rsidTr="00DC34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C34EF" w:rsidRPr="00BA2473" w:rsidRDefault="00DC34EF" w:rsidP="00DC34EF">
            <w:pPr>
              <w:ind w:firstLineChars="300" w:firstLine="660"/>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O/w Unsuccessful</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4,43,385 </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3,905 </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4,47,290 </w:t>
            </w:r>
          </w:p>
        </w:tc>
      </w:tr>
      <w:tr w:rsidR="00DC34EF" w:rsidRPr="00BA2473" w:rsidTr="00DC34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C34EF" w:rsidRPr="00BA2473" w:rsidRDefault="00DC34EF" w:rsidP="00DC34EF">
            <w:pPr>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Physical instruments</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11,36,354 </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16,801 </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11,53,155 </w:t>
            </w:r>
          </w:p>
        </w:tc>
      </w:tr>
      <w:tr w:rsidR="00DC34EF" w:rsidRPr="00BA2473" w:rsidTr="00DC34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C34EF" w:rsidRPr="00BA2473" w:rsidRDefault="00DC34EF" w:rsidP="00DC34EF">
            <w:pPr>
              <w:ind w:firstLineChars="300" w:firstLine="660"/>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O/w Unsuccessful</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4,15,581 </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1,748 </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4,17,329 </w:t>
            </w:r>
          </w:p>
        </w:tc>
      </w:tr>
    </w:tbl>
    <w:p w:rsidR="00DC34EF" w:rsidRPr="00DC34EF" w:rsidRDefault="00DC34EF" w:rsidP="00DC34EF">
      <w:pPr>
        <w:ind w:left="360"/>
        <w:jc w:val="both"/>
        <w:rPr>
          <w:rFonts w:ascii="Garamond" w:hAnsi="Garamond" w:cstheme="minorHAnsi"/>
          <w:lang w:val="en-US"/>
        </w:rPr>
      </w:pPr>
    </w:p>
    <w:p w:rsidR="00DC34EF" w:rsidRPr="00DC34EF" w:rsidRDefault="00DC34EF" w:rsidP="00456F4D">
      <w:pPr>
        <w:pStyle w:val="ListParagraph"/>
        <w:numPr>
          <w:ilvl w:val="2"/>
          <w:numId w:val="29"/>
        </w:numPr>
        <w:spacing w:after="0" w:line="240" w:lineRule="auto"/>
        <w:jc w:val="both"/>
        <w:rPr>
          <w:rFonts w:ascii="Garamond" w:hAnsi="Garamond" w:cstheme="minorHAnsi"/>
          <w:sz w:val="24"/>
          <w:szCs w:val="24"/>
        </w:rPr>
      </w:pPr>
      <w:r w:rsidRPr="00DC34EF">
        <w:rPr>
          <w:rFonts w:ascii="Garamond" w:hAnsi="Garamond" w:cstheme="minorHAnsi"/>
          <w:sz w:val="24"/>
          <w:szCs w:val="24"/>
        </w:rPr>
        <w:t xml:space="preserve">In terms of value, payment of dividend through electronic mode to units held in SoA and Demat mode has success rate of over 99%. Whereas, the success rate in the case of payment through physical instruments to units in SoA and Demat mode, is about 78% and 96% respectively. </w:t>
      </w:r>
    </w:p>
    <w:p w:rsidR="00DC34EF" w:rsidRPr="00DC34EF" w:rsidRDefault="00DC34EF" w:rsidP="00BA2473">
      <w:pPr>
        <w:ind w:left="720"/>
        <w:jc w:val="both"/>
        <w:rPr>
          <w:rFonts w:ascii="Garamond" w:hAnsi="Garamond" w:cstheme="minorHAnsi"/>
          <w:lang w:val="en-US"/>
        </w:rPr>
      </w:pPr>
    </w:p>
    <w:p w:rsidR="00DC34EF" w:rsidRPr="00DC34EF" w:rsidRDefault="00DC34EF" w:rsidP="00456F4D">
      <w:pPr>
        <w:pStyle w:val="ListParagraph"/>
        <w:numPr>
          <w:ilvl w:val="2"/>
          <w:numId w:val="29"/>
        </w:numPr>
        <w:spacing w:after="0" w:line="240" w:lineRule="auto"/>
        <w:jc w:val="both"/>
        <w:rPr>
          <w:rFonts w:ascii="Garamond" w:hAnsi="Garamond" w:cstheme="minorHAnsi"/>
          <w:sz w:val="24"/>
          <w:szCs w:val="24"/>
        </w:rPr>
      </w:pPr>
      <w:r w:rsidRPr="00DC34EF">
        <w:rPr>
          <w:rFonts w:ascii="Garamond" w:hAnsi="Garamond" w:cstheme="minorHAnsi"/>
          <w:sz w:val="24"/>
          <w:szCs w:val="24"/>
        </w:rPr>
        <w:t xml:space="preserve">Further, in terms of number of payments, the success rate in the case of payment through electronic payment is about 98% and over 99% for units in SoA and Demat mode, respectively. The success rate for physical instruments to units in SoA and Demat mode is about 63% and 90%, respectively. </w:t>
      </w:r>
    </w:p>
    <w:p w:rsidR="00DC34EF" w:rsidRPr="00DC34EF" w:rsidRDefault="00DC34EF" w:rsidP="00DC34EF">
      <w:pPr>
        <w:ind w:left="360"/>
        <w:jc w:val="both"/>
        <w:rPr>
          <w:rFonts w:ascii="Garamond" w:hAnsi="Garamond" w:cstheme="minorHAnsi"/>
          <w:lang w:val="en-US"/>
        </w:rPr>
      </w:pPr>
    </w:p>
    <w:p w:rsidR="00DC34EF" w:rsidRPr="00DC34EF" w:rsidRDefault="00DC34EF" w:rsidP="00DC34EF">
      <w:pPr>
        <w:pStyle w:val="Caption"/>
        <w:keepNext/>
        <w:jc w:val="center"/>
        <w:rPr>
          <w:rFonts w:ascii="Garamond" w:hAnsi="Garamond" w:cstheme="minorHAnsi"/>
          <w:sz w:val="24"/>
          <w:szCs w:val="24"/>
        </w:rPr>
      </w:pPr>
      <w:bookmarkStart w:id="51" w:name="_Toc66185884"/>
      <w:r w:rsidRPr="00DC34EF">
        <w:rPr>
          <w:rFonts w:ascii="Garamond" w:hAnsi="Garamond" w:cstheme="minorHAnsi"/>
          <w:sz w:val="24"/>
          <w:szCs w:val="24"/>
        </w:rPr>
        <w:lastRenderedPageBreak/>
        <w:t xml:space="preserve">Table </w:t>
      </w:r>
      <w:r w:rsidRPr="00DC34EF">
        <w:rPr>
          <w:rFonts w:ascii="Garamond" w:hAnsi="Garamond" w:cstheme="minorHAnsi"/>
          <w:sz w:val="24"/>
          <w:szCs w:val="24"/>
        </w:rPr>
        <w:fldChar w:fldCharType="begin"/>
      </w:r>
      <w:r w:rsidRPr="00DC34EF">
        <w:rPr>
          <w:rFonts w:ascii="Garamond" w:hAnsi="Garamond" w:cstheme="minorHAnsi"/>
          <w:sz w:val="24"/>
          <w:szCs w:val="24"/>
        </w:rPr>
        <w:instrText xml:space="preserve"> SEQ Table \* ARABIC </w:instrText>
      </w:r>
      <w:r w:rsidRPr="00DC34EF">
        <w:rPr>
          <w:rFonts w:ascii="Garamond" w:hAnsi="Garamond" w:cstheme="minorHAnsi"/>
          <w:sz w:val="24"/>
          <w:szCs w:val="24"/>
        </w:rPr>
        <w:fldChar w:fldCharType="separate"/>
      </w:r>
      <w:r w:rsidRPr="00DC34EF">
        <w:rPr>
          <w:rFonts w:ascii="Garamond" w:hAnsi="Garamond" w:cstheme="minorHAnsi"/>
          <w:noProof/>
          <w:sz w:val="24"/>
          <w:szCs w:val="24"/>
        </w:rPr>
        <w:t>9</w:t>
      </w:r>
      <w:r w:rsidRPr="00DC34EF">
        <w:rPr>
          <w:rFonts w:ascii="Garamond" w:hAnsi="Garamond" w:cstheme="minorHAnsi"/>
          <w:sz w:val="24"/>
          <w:szCs w:val="24"/>
        </w:rPr>
        <w:fldChar w:fldCharType="end"/>
      </w:r>
      <w:r w:rsidRPr="00DC34EF">
        <w:rPr>
          <w:rFonts w:ascii="Garamond" w:hAnsi="Garamond" w:cstheme="minorHAnsi"/>
          <w:sz w:val="24"/>
          <w:szCs w:val="24"/>
        </w:rPr>
        <w:t>: Mode of Redemption payment and its outcome in Mutual Funds</w:t>
      </w:r>
      <w:bookmarkEnd w:id="51"/>
    </w:p>
    <w:tbl>
      <w:tblPr>
        <w:tblW w:w="0" w:type="auto"/>
        <w:jc w:val="center"/>
        <w:tblLook w:val="04A0" w:firstRow="1" w:lastRow="0" w:firstColumn="1" w:lastColumn="0" w:noHBand="0" w:noVBand="1"/>
      </w:tblPr>
      <w:tblGrid>
        <w:gridCol w:w="3922"/>
        <w:gridCol w:w="1605"/>
        <w:gridCol w:w="1743"/>
        <w:gridCol w:w="1296"/>
      </w:tblGrid>
      <w:tr w:rsidR="00DC34EF" w:rsidRPr="00BA2473" w:rsidTr="00DC34E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34EF" w:rsidRPr="00BA2473" w:rsidRDefault="00DC34EF" w:rsidP="00DC34EF">
            <w:pPr>
              <w:jc w:val="both"/>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Redemption Payment FY 2019-20 (</w:t>
            </w:r>
            <w:r w:rsidRPr="00BA2473">
              <w:rPr>
                <w:rFonts w:ascii="Times New Roman" w:eastAsia="Times New Roman" w:hAnsi="Times New Roman"/>
                <w:color w:val="000000"/>
                <w:sz w:val="22"/>
                <w:szCs w:val="22"/>
                <w:lang w:eastAsia="en-IN" w:bidi="hi-IN"/>
              </w:rPr>
              <w:t>₹</w:t>
            </w:r>
            <w:r w:rsidRPr="00BA2473">
              <w:rPr>
                <w:rFonts w:ascii="Garamond" w:eastAsia="Times New Roman" w:hAnsi="Garamond" w:cstheme="minorHAnsi"/>
                <w:color w:val="000000"/>
                <w:sz w:val="22"/>
                <w:szCs w:val="22"/>
                <w:lang w:eastAsia="en-IN" w:bidi="hi-IN"/>
              </w:rPr>
              <w:t xml:space="preserve"> crore)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C34EF" w:rsidRPr="00BA2473" w:rsidRDefault="00DC34EF" w:rsidP="00DC34EF">
            <w:pPr>
              <w:jc w:val="center"/>
              <w:rPr>
                <w:rFonts w:ascii="Garamond" w:eastAsia="Times New Roman" w:hAnsi="Garamond" w:cstheme="minorHAnsi"/>
                <w:b/>
                <w:bCs/>
                <w:color w:val="000000"/>
                <w:sz w:val="22"/>
                <w:szCs w:val="22"/>
                <w:lang w:eastAsia="en-IN" w:bidi="hi-IN"/>
              </w:rPr>
            </w:pPr>
            <w:r w:rsidRPr="00BA2473">
              <w:rPr>
                <w:rFonts w:ascii="Garamond" w:eastAsia="Times New Roman" w:hAnsi="Garamond" w:cstheme="minorHAnsi"/>
                <w:b/>
                <w:bCs/>
                <w:color w:val="000000"/>
                <w:sz w:val="22"/>
                <w:szCs w:val="22"/>
                <w:lang w:eastAsia="en-IN" w:bidi="hi-IN"/>
              </w:rPr>
              <w:t>SoA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C34EF" w:rsidRPr="00BA2473" w:rsidRDefault="00DC34EF" w:rsidP="00DC34EF">
            <w:pPr>
              <w:jc w:val="center"/>
              <w:rPr>
                <w:rFonts w:ascii="Garamond" w:eastAsia="Times New Roman" w:hAnsi="Garamond" w:cstheme="minorHAnsi"/>
                <w:b/>
                <w:bCs/>
                <w:color w:val="000000"/>
                <w:sz w:val="22"/>
                <w:szCs w:val="22"/>
                <w:lang w:eastAsia="en-IN" w:bidi="hi-IN"/>
              </w:rPr>
            </w:pPr>
            <w:r w:rsidRPr="00BA2473">
              <w:rPr>
                <w:rFonts w:ascii="Garamond" w:eastAsia="Times New Roman" w:hAnsi="Garamond" w:cstheme="minorHAnsi"/>
                <w:b/>
                <w:bCs/>
                <w:color w:val="000000"/>
                <w:sz w:val="22"/>
                <w:szCs w:val="22"/>
                <w:lang w:eastAsia="en-IN" w:bidi="hi-IN"/>
              </w:rPr>
              <w:t>Demat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C34EF" w:rsidRPr="00BA2473" w:rsidRDefault="00DC34EF" w:rsidP="00DC34EF">
            <w:pPr>
              <w:jc w:val="center"/>
              <w:rPr>
                <w:rFonts w:ascii="Garamond" w:eastAsia="Times New Roman" w:hAnsi="Garamond" w:cstheme="minorHAnsi"/>
                <w:b/>
                <w:bCs/>
                <w:color w:val="000000"/>
                <w:sz w:val="22"/>
                <w:szCs w:val="22"/>
                <w:lang w:eastAsia="en-IN" w:bidi="hi-IN"/>
              </w:rPr>
            </w:pPr>
            <w:r w:rsidRPr="00BA2473">
              <w:rPr>
                <w:rFonts w:ascii="Garamond" w:eastAsia="Times New Roman" w:hAnsi="Garamond" w:cstheme="minorHAnsi"/>
                <w:b/>
                <w:bCs/>
                <w:color w:val="000000"/>
                <w:sz w:val="22"/>
                <w:szCs w:val="22"/>
                <w:lang w:eastAsia="en-IN" w:bidi="hi-IN"/>
              </w:rPr>
              <w:t>Total</w:t>
            </w:r>
          </w:p>
        </w:tc>
      </w:tr>
      <w:tr w:rsidR="00DC34EF" w:rsidRPr="00BA2473" w:rsidTr="00DC34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C34EF" w:rsidRPr="00BA2473" w:rsidRDefault="00DC34EF" w:rsidP="00DC34EF">
            <w:pPr>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1,72,45,425 </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1,92,300 </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1,74,37,725 </w:t>
            </w:r>
          </w:p>
        </w:tc>
      </w:tr>
      <w:tr w:rsidR="00DC34EF" w:rsidRPr="00BA2473" w:rsidTr="00DC34EF">
        <w:trPr>
          <w:trHeight w:val="300"/>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34EF" w:rsidRPr="00BA2473" w:rsidRDefault="00FC7F9B" w:rsidP="00DC34EF">
            <w:pPr>
              <w:jc w:val="center"/>
              <w:rPr>
                <w:rFonts w:ascii="Garamond" w:eastAsia="Times New Roman" w:hAnsi="Garamond" w:cstheme="minorHAnsi"/>
                <w:color w:val="000000"/>
                <w:sz w:val="22"/>
                <w:szCs w:val="22"/>
                <w:lang w:eastAsia="en-IN" w:bidi="hi-IN"/>
              </w:rPr>
            </w:pPr>
            <w:r>
              <w:rPr>
                <w:rFonts w:ascii="Garamond" w:eastAsia="Times New Roman" w:hAnsi="Garamond" w:cstheme="minorHAnsi"/>
                <w:color w:val="000000"/>
                <w:sz w:val="22"/>
                <w:szCs w:val="22"/>
                <w:lang w:eastAsia="en-IN" w:bidi="hi-IN"/>
              </w:rPr>
              <w:t>Amount (Rs. crore</w:t>
            </w:r>
            <w:r w:rsidR="00DC34EF" w:rsidRPr="00BA2473">
              <w:rPr>
                <w:rFonts w:ascii="Garamond" w:eastAsia="Times New Roman" w:hAnsi="Garamond" w:cstheme="minorHAnsi"/>
                <w:color w:val="000000"/>
                <w:sz w:val="22"/>
                <w:szCs w:val="22"/>
                <w:lang w:eastAsia="en-IN" w:bidi="hi-IN"/>
              </w:rPr>
              <w:t>)</w:t>
            </w:r>
          </w:p>
        </w:tc>
      </w:tr>
      <w:tr w:rsidR="00DC34EF" w:rsidRPr="00BA2473" w:rsidTr="00DC34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C34EF" w:rsidRPr="00BA2473" w:rsidRDefault="00DC34EF" w:rsidP="00DC34EF">
            <w:pPr>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Electronic mode</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1,70,26,207 </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1,84,601 </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1,72,10,808 </w:t>
            </w:r>
          </w:p>
        </w:tc>
      </w:tr>
      <w:tr w:rsidR="00DC34EF" w:rsidRPr="00BA2473" w:rsidTr="00DC34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C34EF" w:rsidRPr="00BA2473" w:rsidRDefault="00DC34EF" w:rsidP="00DC34EF">
            <w:pPr>
              <w:ind w:firstLineChars="300" w:firstLine="660"/>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O/w Unsuccessful</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190 </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5 </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195 </w:t>
            </w:r>
          </w:p>
        </w:tc>
      </w:tr>
      <w:tr w:rsidR="00DC34EF" w:rsidRPr="00BA2473" w:rsidTr="00DC34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C34EF" w:rsidRPr="00BA2473" w:rsidRDefault="00DC34EF" w:rsidP="00DC34EF">
            <w:pPr>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Physical instruments</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2,19,218 </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7,698 </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2,26,917 </w:t>
            </w:r>
          </w:p>
        </w:tc>
      </w:tr>
      <w:tr w:rsidR="00DC34EF" w:rsidRPr="00BA2473" w:rsidTr="00DC34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C34EF" w:rsidRPr="00BA2473" w:rsidRDefault="00DC34EF" w:rsidP="00DC34EF">
            <w:pPr>
              <w:ind w:firstLineChars="300" w:firstLine="660"/>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O/w Unsuccessful</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95 </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0 </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95 </w:t>
            </w:r>
          </w:p>
        </w:tc>
      </w:tr>
      <w:tr w:rsidR="00DC34EF" w:rsidRPr="00BA2473" w:rsidTr="00DC34EF">
        <w:trPr>
          <w:trHeight w:val="300"/>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34EF" w:rsidRPr="00BA2473" w:rsidRDefault="00DC34EF" w:rsidP="00DC34EF">
            <w:pPr>
              <w:jc w:val="center"/>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Number of Payments</w:t>
            </w:r>
          </w:p>
        </w:tc>
      </w:tr>
      <w:tr w:rsidR="00DC34EF" w:rsidRPr="00BA2473" w:rsidTr="00DC34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C34EF" w:rsidRPr="00BA2473" w:rsidRDefault="00DC34EF" w:rsidP="00DC34EF">
            <w:pPr>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Electronic mode</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2,24,16,774 </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27,42,449 </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2,51,59,223 </w:t>
            </w:r>
          </w:p>
        </w:tc>
      </w:tr>
      <w:tr w:rsidR="00DC34EF" w:rsidRPr="00BA2473" w:rsidTr="00DC34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C34EF" w:rsidRPr="00BA2473" w:rsidRDefault="00DC34EF" w:rsidP="00DC34EF">
            <w:pPr>
              <w:ind w:firstLineChars="300" w:firstLine="660"/>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O/w Unsuccessful</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16,432 </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539 </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16,971 </w:t>
            </w:r>
          </w:p>
        </w:tc>
      </w:tr>
      <w:tr w:rsidR="00DC34EF" w:rsidRPr="00BA2473" w:rsidTr="00DC34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C34EF" w:rsidRPr="00BA2473" w:rsidRDefault="00DC34EF" w:rsidP="00DC34EF">
            <w:pPr>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Physical instruments</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4,80,862 </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78,405 </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5,59,267 </w:t>
            </w:r>
          </w:p>
        </w:tc>
      </w:tr>
      <w:tr w:rsidR="00DC34EF" w:rsidRPr="00BA2473" w:rsidTr="00DC34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C34EF" w:rsidRPr="00BA2473" w:rsidRDefault="00DC34EF" w:rsidP="00DC34EF">
            <w:pPr>
              <w:ind w:firstLineChars="300" w:firstLine="660"/>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O/w Unsuccessful</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28,552 </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91 </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eastAsia="Times New Roman" w:hAnsi="Garamond" w:cstheme="minorHAnsi"/>
                <w:color w:val="000000"/>
                <w:sz w:val="22"/>
                <w:szCs w:val="22"/>
                <w:lang w:eastAsia="en-IN" w:bidi="hi-IN"/>
              </w:rPr>
            </w:pPr>
            <w:r w:rsidRPr="00BA2473">
              <w:rPr>
                <w:rFonts w:ascii="Garamond" w:eastAsia="Times New Roman" w:hAnsi="Garamond" w:cstheme="minorHAnsi"/>
                <w:color w:val="000000"/>
                <w:sz w:val="22"/>
                <w:szCs w:val="22"/>
                <w:lang w:eastAsia="en-IN" w:bidi="hi-IN"/>
              </w:rPr>
              <w:t xml:space="preserve">         28,643 </w:t>
            </w:r>
          </w:p>
        </w:tc>
      </w:tr>
    </w:tbl>
    <w:p w:rsidR="00DC34EF" w:rsidRPr="00DC34EF" w:rsidRDefault="00DC34EF" w:rsidP="00DC34EF">
      <w:pPr>
        <w:ind w:left="360"/>
        <w:jc w:val="both"/>
        <w:rPr>
          <w:rFonts w:ascii="Garamond" w:hAnsi="Garamond" w:cstheme="minorHAnsi"/>
          <w:lang w:val="en-US"/>
        </w:rPr>
      </w:pPr>
    </w:p>
    <w:p w:rsidR="00DC34EF" w:rsidRPr="00DC34EF" w:rsidRDefault="00DC34EF" w:rsidP="00456F4D">
      <w:pPr>
        <w:pStyle w:val="ListParagraph"/>
        <w:numPr>
          <w:ilvl w:val="2"/>
          <w:numId w:val="29"/>
        </w:numPr>
        <w:spacing w:after="0" w:line="240" w:lineRule="auto"/>
        <w:jc w:val="both"/>
        <w:rPr>
          <w:rFonts w:ascii="Garamond" w:hAnsi="Garamond" w:cstheme="minorHAnsi"/>
          <w:sz w:val="24"/>
          <w:szCs w:val="24"/>
        </w:rPr>
      </w:pPr>
      <w:r w:rsidRPr="00DC34EF">
        <w:rPr>
          <w:rFonts w:ascii="Garamond" w:hAnsi="Garamond" w:cstheme="minorHAnsi"/>
          <w:sz w:val="24"/>
          <w:szCs w:val="24"/>
        </w:rPr>
        <w:t xml:space="preserve">In terms of value, payment of redemption through electronic mode and through physical instrument to units held in SoA and Demat mode, both enjoy success rate of above 99%.  </w:t>
      </w:r>
    </w:p>
    <w:p w:rsidR="00DC34EF" w:rsidRPr="00DC34EF" w:rsidRDefault="00DC34EF" w:rsidP="00BA2473">
      <w:pPr>
        <w:ind w:left="720"/>
        <w:jc w:val="both"/>
        <w:rPr>
          <w:rFonts w:ascii="Garamond" w:hAnsi="Garamond" w:cstheme="minorHAnsi"/>
          <w:lang w:val="en-US"/>
        </w:rPr>
      </w:pPr>
    </w:p>
    <w:p w:rsidR="00DC34EF" w:rsidRPr="00DC34EF" w:rsidRDefault="00DC34EF" w:rsidP="00456F4D">
      <w:pPr>
        <w:pStyle w:val="ListParagraph"/>
        <w:numPr>
          <w:ilvl w:val="2"/>
          <w:numId w:val="29"/>
        </w:numPr>
        <w:spacing w:after="0" w:line="240" w:lineRule="auto"/>
        <w:jc w:val="both"/>
        <w:rPr>
          <w:rFonts w:ascii="Garamond" w:hAnsi="Garamond" w:cstheme="minorHAnsi"/>
          <w:sz w:val="24"/>
          <w:szCs w:val="24"/>
        </w:rPr>
      </w:pPr>
      <w:r w:rsidRPr="00DC34EF">
        <w:rPr>
          <w:rFonts w:ascii="Garamond" w:hAnsi="Garamond" w:cstheme="minorHAnsi"/>
          <w:sz w:val="24"/>
          <w:szCs w:val="24"/>
        </w:rPr>
        <w:t>In terms of number of payments also, payment through electronic mode enjoys success rate of above 99% to units held in SoA and demat mode. However, for payment through physical instruments, the success rate is 94% and almost 100% for units in SoA and Demat mode respectively.</w:t>
      </w:r>
    </w:p>
    <w:p w:rsidR="00DC34EF" w:rsidRPr="00DC34EF" w:rsidRDefault="00DC34EF" w:rsidP="00BA2473">
      <w:pPr>
        <w:ind w:left="360"/>
        <w:jc w:val="both"/>
        <w:rPr>
          <w:rFonts w:ascii="Garamond" w:hAnsi="Garamond" w:cstheme="minorHAnsi"/>
          <w:lang w:val="en-US"/>
        </w:rPr>
      </w:pPr>
    </w:p>
    <w:p w:rsidR="00DC34EF" w:rsidRPr="00DC34EF" w:rsidRDefault="00DC34EF" w:rsidP="00456F4D">
      <w:pPr>
        <w:pStyle w:val="ListParagraph"/>
        <w:numPr>
          <w:ilvl w:val="2"/>
          <w:numId w:val="29"/>
        </w:numPr>
        <w:spacing w:after="0" w:line="240" w:lineRule="auto"/>
        <w:jc w:val="both"/>
        <w:rPr>
          <w:rFonts w:ascii="Garamond" w:hAnsi="Garamond" w:cstheme="minorHAnsi"/>
          <w:sz w:val="24"/>
          <w:szCs w:val="24"/>
        </w:rPr>
      </w:pPr>
      <w:r w:rsidRPr="00DC34EF">
        <w:rPr>
          <w:rFonts w:ascii="Garamond" w:hAnsi="Garamond" w:cstheme="minorHAnsi"/>
          <w:sz w:val="24"/>
          <w:szCs w:val="24"/>
        </w:rPr>
        <w:t xml:space="preserve">From the tables above, it is seen that payments through electronic mode enjoys higher success rate than through physical instruments. Accordingly, it </w:t>
      </w:r>
      <w:r w:rsidRPr="00BA2473">
        <w:rPr>
          <w:rFonts w:ascii="Garamond" w:hAnsi="Garamond" w:cstheme="minorHAnsi"/>
          <w:sz w:val="24"/>
          <w:szCs w:val="24"/>
        </w:rPr>
        <w:t xml:space="preserve">is </w:t>
      </w:r>
      <w:r w:rsidRPr="00BA2473">
        <w:rPr>
          <w:rFonts w:ascii="Garamond" w:hAnsi="Garamond" w:cstheme="minorHAnsi"/>
          <w:b/>
          <w:bCs/>
          <w:sz w:val="24"/>
          <w:szCs w:val="24"/>
        </w:rPr>
        <w:t xml:space="preserve">recommended </w:t>
      </w:r>
      <w:r w:rsidRPr="00BA2473">
        <w:rPr>
          <w:rFonts w:ascii="Garamond" w:hAnsi="Garamond" w:cstheme="minorHAnsi"/>
          <w:sz w:val="24"/>
          <w:szCs w:val="24"/>
        </w:rPr>
        <w:t xml:space="preserve">to </w:t>
      </w:r>
      <w:r w:rsidRPr="00DC34EF">
        <w:rPr>
          <w:rFonts w:ascii="Garamond" w:hAnsi="Garamond" w:cstheme="minorHAnsi"/>
          <w:sz w:val="24"/>
          <w:szCs w:val="24"/>
        </w:rPr>
        <w:t>make it mandatory for MF to pay investors through electronic mode as against it being an industry practice at present. This would make the regulatory framework of MFs on par with that of listed companies on payment to investors</w:t>
      </w:r>
      <w:r w:rsidRPr="00DC34EF">
        <w:rPr>
          <w:rStyle w:val="FootnoteReference"/>
          <w:rFonts w:ascii="Garamond" w:hAnsi="Garamond" w:cstheme="minorHAnsi"/>
          <w:sz w:val="24"/>
          <w:szCs w:val="24"/>
        </w:rPr>
        <w:footnoteReference w:id="57"/>
      </w:r>
      <w:r w:rsidRPr="00DC34EF">
        <w:rPr>
          <w:rFonts w:ascii="Garamond" w:hAnsi="Garamond" w:cstheme="minorHAnsi"/>
          <w:sz w:val="24"/>
          <w:szCs w:val="24"/>
        </w:rPr>
        <w:t xml:space="preserve">, besides also conforming with the desired policy objective of the Government of India in this regard. </w:t>
      </w:r>
    </w:p>
    <w:p w:rsidR="00DC34EF" w:rsidRPr="00DC34EF" w:rsidRDefault="00DC34EF" w:rsidP="00BA2473">
      <w:pPr>
        <w:ind w:left="360"/>
        <w:jc w:val="both"/>
        <w:rPr>
          <w:rFonts w:ascii="Garamond" w:hAnsi="Garamond" w:cstheme="minorHAnsi"/>
          <w:lang w:val="en-US"/>
        </w:rPr>
      </w:pPr>
    </w:p>
    <w:p w:rsidR="00DC34EF" w:rsidRPr="00DC34EF" w:rsidRDefault="00DC34EF" w:rsidP="00456F4D">
      <w:pPr>
        <w:pStyle w:val="ListParagraph"/>
        <w:numPr>
          <w:ilvl w:val="2"/>
          <w:numId w:val="29"/>
        </w:numPr>
        <w:spacing w:after="0" w:line="240" w:lineRule="auto"/>
        <w:jc w:val="both"/>
        <w:rPr>
          <w:rFonts w:ascii="Garamond" w:hAnsi="Garamond" w:cstheme="minorHAnsi"/>
          <w:sz w:val="24"/>
          <w:szCs w:val="24"/>
        </w:rPr>
      </w:pPr>
      <w:r w:rsidRPr="00DC34EF">
        <w:rPr>
          <w:rFonts w:ascii="Garamond" w:hAnsi="Garamond" w:cstheme="minorHAnsi"/>
          <w:sz w:val="24"/>
          <w:szCs w:val="24"/>
        </w:rPr>
        <w:t xml:space="preserve">In order to facilitate the implementation of the aforesaid measure, it is also </w:t>
      </w:r>
      <w:r w:rsidRPr="00DC34EF">
        <w:rPr>
          <w:rFonts w:ascii="Garamond" w:hAnsi="Garamond" w:cstheme="minorHAnsi"/>
          <w:b/>
          <w:bCs/>
          <w:color w:val="0070C0"/>
          <w:sz w:val="24"/>
          <w:szCs w:val="24"/>
        </w:rPr>
        <w:t>r</w:t>
      </w:r>
      <w:r w:rsidRPr="00BA2473">
        <w:rPr>
          <w:rFonts w:ascii="Garamond" w:hAnsi="Garamond" w:cstheme="minorHAnsi"/>
          <w:b/>
          <w:bCs/>
          <w:sz w:val="24"/>
          <w:szCs w:val="24"/>
        </w:rPr>
        <w:t>ecommended</w:t>
      </w:r>
      <w:r w:rsidRPr="00BA2473">
        <w:rPr>
          <w:rFonts w:ascii="Garamond" w:hAnsi="Garamond" w:cstheme="minorHAnsi"/>
          <w:sz w:val="24"/>
          <w:szCs w:val="24"/>
        </w:rPr>
        <w:t xml:space="preserve"> </w:t>
      </w:r>
      <w:r w:rsidRPr="00DC34EF">
        <w:rPr>
          <w:rFonts w:ascii="Garamond" w:hAnsi="Garamond" w:cstheme="minorHAnsi"/>
          <w:sz w:val="24"/>
          <w:szCs w:val="24"/>
        </w:rPr>
        <w:t xml:space="preserve">to make it compulsory for investors in MFs to furnish their complete bank details and the same is elaborated in chapter, ‘Holding of Securities’ (paragraph </w:t>
      </w:r>
      <w:r w:rsidRPr="00DC34EF">
        <w:rPr>
          <w:rFonts w:ascii="Garamond" w:hAnsi="Garamond" w:cstheme="minorHAnsi"/>
          <w:sz w:val="24"/>
          <w:szCs w:val="24"/>
        </w:rPr>
        <w:fldChar w:fldCharType="begin"/>
      </w:r>
      <w:r w:rsidRPr="00DC34EF">
        <w:rPr>
          <w:rFonts w:ascii="Garamond" w:hAnsi="Garamond" w:cstheme="minorHAnsi"/>
          <w:sz w:val="24"/>
          <w:szCs w:val="24"/>
        </w:rPr>
        <w:instrText xml:space="preserve"> REF _Ref60133616 \r \h  \* MERGEFORMAT </w:instrText>
      </w:r>
      <w:r w:rsidRPr="00DC34EF">
        <w:rPr>
          <w:rFonts w:ascii="Garamond" w:hAnsi="Garamond" w:cstheme="minorHAnsi"/>
          <w:sz w:val="24"/>
          <w:szCs w:val="24"/>
        </w:rPr>
      </w:r>
      <w:r w:rsidRPr="00DC34EF">
        <w:rPr>
          <w:rFonts w:ascii="Garamond" w:hAnsi="Garamond" w:cstheme="minorHAnsi"/>
          <w:sz w:val="24"/>
          <w:szCs w:val="24"/>
        </w:rPr>
        <w:fldChar w:fldCharType="separate"/>
      </w:r>
      <w:r w:rsidRPr="00DC34EF">
        <w:rPr>
          <w:rFonts w:ascii="Garamond" w:hAnsi="Garamond" w:cstheme="minorHAnsi"/>
          <w:sz w:val="24"/>
          <w:szCs w:val="24"/>
        </w:rPr>
        <w:t>III.3.1.1</w:t>
      </w:r>
      <w:r w:rsidRPr="00DC34EF">
        <w:rPr>
          <w:rFonts w:ascii="Garamond" w:hAnsi="Garamond" w:cstheme="minorHAnsi"/>
          <w:sz w:val="24"/>
          <w:szCs w:val="24"/>
        </w:rPr>
        <w:fldChar w:fldCharType="end"/>
      </w:r>
      <w:r w:rsidRPr="00DC34EF">
        <w:rPr>
          <w:rFonts w:ascii="Garamond" w:hAnsi="Garamond" w:cstheme="minorHAnsi"/>
          <w:sz w:val="24"/>
          <w:szCs w:val="24"/>
        </w:rPr>
        <w:t xml:space="preserve">).  </w:t>
      </w:r>
    </w:p>
    <w:p w:rsidR="00DC34EF" w:rsidRPr="00DC34EF" w:rsidRDefault="00DC34EF" w:rsidP="00BA2473">
      <w:pPr>
        <w:ind w:left="360"/>
        <w:jc w:val="both"/>
        <w:rPr>
          <w:rFonts w:ascii="Garamond" w:hAnsi="Garamond" w:cstheme="minorHAnsi"/>
          <w:lang w:val="en-US"/>
        </w:rPr>
      </w:pPr>
    </w:p>
    <w:p w:rsidR="00DC34EF" w:rsidRPr="00DC34EF" w:rsidRDefault="00DC34EF" w:rsidP="00456F4D">
      <w:pPr>
        <w:pStyle w:val="ListParagraph"/>
        <w:numPr>
          <w:ilvl w:val="1"/>
          <w:numId w:val="29"/>
        </w:numPr>
        <w:spacing w:after="0" w:line="240" w:lineRule="auto"/>
        <w:jc w:val="both"/>
        <w:rPr>
          <w:rFonts w:ascii="Garamond" w:hAnsi="Garamond" w:cstheme="minorHAnsi"/>
          <w:sz w:val="24"/>
          <w:szCs w:val="24"/>
        </w:rPr>
      </w:pPr>
      <w:r w:rsidRPr="00DC34EF">
        <w:rPr>
          <w:rFonts w:ascii="Garamond" w:hAnsi="Garamond" w:cstheme="minorHAnsi"/>
          <w:sz w:val="24"/>
          <w:szCs w:val="24"/>
        </w:rPr>
        <w:t xml:space="preserve">Size of Unclaimed Assets </w:t>
      </w:r>
    </w:p>
    <w:p w:rsidR="00DC34EF" w:rsidRPr="00DC34EF" w:rsidRDefault="00DC34EF" w:rsidP="00BA2473">
      <w:pPr>
        <w:ind w:left="360"/>
        <w:jc w:val="both"/>
        <w:rPr>
          <w:rFonts w:ascii="Garamond" w:hAnsi="Garamond" w:cstheme="minorHAnsi"/>
          <w:lang w:val="en-US"/>
        </w:rPr>
      </w:pPr>
    </w:p>
    <w:p w:rsidR="00DC34EF" w:rsidRPr="00DC34EF" w:rsidRDefault="00DC34EF" w:rsidP="00456F4D">
      <w:pPr>
        <w:pStyle w:val="ListParagraph"/>
        <w:numPr>
          <w:ilvl w:val="2"/>
          <w:numId w:val="29"/>
        </w:numPr>
        <w:spacing w:after="0" w:line="240" w:lineRule="auto"/>
        <w:jc w:val="both"/>
        <w:rPr>
          <w:rFonts w:ascii="Garamond" w:hAnsi="Garamond" w:cstheme="minorHAnsi"/>
          <w:sz w:val="24"/>
          <w:szCs w:val="24"/>
          <w:lang w:val="en-GB"/>
        </w:rPr>
      </w:pPr>
      <w:r w:rsidRPr="00DC34EF">
        <w:rPr>
          <w:rFonts w:ascii="Garamond" w:hAnsi="Garamond" w:cstheme="minorHAnsi"/>
          <w:sz w:val="24"/>
          <w:szCs w:val="24"/>
        </w:rPr>
        <w:t xml:space="preserve">The unclaimed dividend and redemption amounts of MFs as on September 03, 2020 are </w:t>
      </w:r>
      <w:r w:rsidRPr="00DC34EF">
        <w:rPr>
          <w:rFonts w:ascii="Times New Roman" w:hAnsi="Times New Roman"/>
          <w:sz w:val="24"/>
          <w:szCs w:val="24"/>
        </w:rPr>
        <w:t>₹</w:t>
      </w:r>
      <w:r w:rsidRPr="00DC34EF">
        <w:rPr>
          <w:rFonts w:ascii="Garamond" w:hAnsi="Garamond" w:cstheme="minorHAnsi"/>
          <w:sz w:val="24"/>
          <w:szCs w:val="24"/>
        </w:rPr>
        <w:t xml:space="preserve">1,592.04 crore and </w:t>
      </w:r>
      <w:r w:rsidRPr="00DC34EF">
        <w:rPr>
          <w:rFonts w:ascii="Times New Roman" w:hAnsi="Times New Roman"/>
          <w:sz w:val="24"/>
          <w:szCs w:val="24"/>
        </w:rPr>
        <w:t>₹</w:t>
      </w:r>
      <w:r w:rsidRPr="00DC34EF">
        <w:rPr>
          <w:rFonts w:ascii="Garamond" w:hAnsi="Garamond" w:cstheme="minorHAnsi"/>
          <w:sz w:val="24"/>
          <w:szCs w:val="24"/>
        </w:rPr>
        <w:t xml:space="preserve">877.61 crore, respectively. The aforesaid pertains mostly to very old cases and are negligible, </w:t>
      </w:r>
      <w:r w:rsidRPr="00DC34EF">
        <w:rPr>
          <w:rFonts w:ascii="Garamond" w:hAnsi="Garamond" w:cstheme="minorHAnsi"/>
          <w:sz w:val="24"/>
          <w:szCs w:val="24"/>
          <w:lang w:val="en-GB"/>
        </w:rPr>
        <w:t>relative to the size of assets under management</w:t>
      </w:r>
      <w:r w:rsidRPr="00DC34EF">
        <w:rPr>
          <w:rStyle w:val="FootnoteReference"/>
          <w:rFonts w:ascii="Garamond" w:hAnsi="Garamond" w:cstheme="minorHAnsi"/>
          <w:sz w:val="24"/>
          <w:szCs w:val="24"/>
          <w:lang w:val="en-GB"/>
        </w:rPr>
        <w:footnoteReference w:id="58"/>
      </w:r>
      <w:r w:rsidRPr="00DC34EF">
        <w:rPr>
          <w:rFonts w:ascii="Garamond" w:hAnsi="Garamond" w:cstheme="minorHAnsi"/>
          <w:sz w:val="24"/>
          <w:szCs w:val="24"/>
          <w:lang w:val="en-GB"/>
        </w:rPr>
        <w:t xml:space="preserve"> of the MF industry. </w:t>
      </w:r>
    </w:p>
    <w:p w:rsidR="00DC34EF" w:rsidRPr="00DC34EF" w:rsidRDefault="00DC34EF" w:rsidP="00BA2473">
      <w:pPr>
        <w:ind w:left="360"/>
        <w:jc w:val="both"/>
        <w:rPr>
          <w:rFonts w:ascii="Garamond" w:hAnsi="Garamond" w:cstheme="minorHAnsi"/>
          <w:lang w:val="en-US"/>
        </w:rPr>
      </w:pPr>
    </w:p>
    <w:p w:rsidR="00DC34EF" w:rsidRPr="00DC34EF" w:rsidRDefault="00DC34EF" w:rsidP="00456F4D">
      <w:pPr>
        <w:pStyle w:val="ListParagraph"/>
        <w:numPr>
          <w:ilvl w:val="2"/>
          <w:numId w:val="29"/>
        </w:numPr>
        <w:spacing w:after="0" w:line="240" w:lineRule="auto"/>
        <w:jc w:val="both"/>
        <w:rPr>
          <w:rFonts w:ascii="Garamond" w:hAnsi="Garamond" w:cstheme="minorHAnsi"/>
          <w:sz w:val="24"/>
          <w:szCs w:val="24"/>
        </w:rPr>
      </w:pPr>
      <w:r w:rsidRPr="00DC34EF">
        <w:rPr>
          <w:rFonts w:ascii="Garamond" w:hAnsi="Garamond" w:cstheme="minorHAnsi"/>
          <w:sz w:val="24"/>
          <w:szCs w:val="24"/>
        </w:rPr>
        <w:t xml:space="preserve">Sample data on unclaimed assets of MFs, pertaining to the top two RTAs, viz their mode of holding, is presented in table below. </w:t>
      </w:r>
    </w:p>
    <w:p w:rsidR="00DC34EF" w:rsidRPr="00DC34EF" w:rsidRDefault="00DC34EF" w:rsidP="00DC34EF">
      <w:pPr>
        <w:jc w:val="both"/>
        <w:rPr>
          <w:rFonts w:ascii="Garamond" w:hAnsi="Garamond" w:cstheme="minorHAnsi"/>
        </w:rPr>
      </w:pPr>
      <w:r w:rsidRPr="00DC34EF">
        <w:rPr>
          <w:rFonts w:ascii="Garamond" w:hAnsi="Garamond" w:cstheme="minorHAnsi"/>
          <w:lang w:val="en-US"/>
        </w:rPr>
        <w:t xml:space="preserve"> </w:t>
      </w:r>
    </w:p>
    <w:p w:rsidR="00DC34EF" w:rsidRPr="00BA2473" w:rsidRDefault="00DC34EF" w:rsidP="00DC34EF">
      <w:pPr>
        <w:pStyle w:val="Caption"/>
        <w:keepNext/>
        <w:spacing w:after="0"/>
        <w:jc w:val="center"/>
        <w:rPr>
          <w:rFonts w:ascii="Garamond" w:hAnsi="Garamond" w:cstheme="minorHAnsi"/>
          <w:sz w:val="22"/>
          <w:szCs w:val="22"/>
        </w:rPr>
      </w:pPr>
      <w:bookmarkStart w:id="52" w:name="_Toc66185885"/>
      <w:r w:rsidRPr="00BA2473">
        <w:rPr>
          <w:rFonts w:ascii="Garamond" w:hAnsi="Garamond" w:cstheme="minorHAnsi"/>
          <w:sz w:val="22"/>
          <w:szCs w:val="22"/>
        </w:rPr>
        <w:lastRenderedPageBreak/>
        <w:t xml:space="preserve">Table </w:t>
      </w:r>
      <w:r w:rsidRPr="00BA2473">
        <w:rPr>
          <w:rFonts w:ascii="Garamond" w:hAnsi="Garamond" w:cstheme="minorHAnsi"/>
          <w:sz w:val="22"/>
          <w:szCs w:val="22"/>
        </w:rPr>
        <w:fldChar w:fldCharType="begin"/>
      </w:r>
      <w:r w:rsidRPr="00BA2473">
        <w:rPr>
          <w:rFonts w:ascii="Garamond" w:hAnsi="Garamond" w:cstheme="minorHAnsi"/>
          <w:sz w:val="22"/>
          <w:szCs w:val="22"/>
        </w:rPr>
        <w:instrText xml:space="preserve"> SEQ Table \* ARABIC </w:instrText>
      </w:r>
      <w:r w:rsidRPr="00BA2473">
        <w:rPr>
          <w:rFonts w:ascii="Garamond" w:hAnsi="Garamond" w:cstheme="minorHAnsi"/>
          <w:sz w:val="22"/>
          <w:szCs w:val="22"/>
        </w:rPr>
        <w:fldChar w:fldCharType="separate"/>
      </w:r>
      <w:r w:rsidRPr="00BA2473">
        <w:rPr>
          <w:rFonts w:ascii="Garamond" w:hAnsi="Garamond" w:cstheme="minorHAnsi"/>
          <w:noProof/>
          <w:sz w:val="22"/>
          <w:szCs w:val="22"/>
        </w:rPr>
        <w:t>10</w:t>
      </w:r>
      <w:r w:rsidRPr="00BA2473">
        <w:rPr>
          <w:rFonts w:ascii="Garamond" w:hAnsi="Garamond" w:cstheme="minorHAnsi"/>
          <w:sz w:val="22"/>
          <w:szCs w:val="22"/>
        </w:rPr>
        <w:fldChar w:fldCharType="end"/>
      </w:r>
      <w:r w:rsidRPr="00BA2473">
        <w:rPr>
          <w:rFonts w:ascii="Garamond" w:hAnsi="Garamond" w:cstheme="minorHAnsi"/>
          <w:sz w:val="22"/>
          <w:szCs w:val="22"/>
        </w:rPr>
        <w:t>: Unclaimed moneys and mode of holding of Mutual Fund units as on March 31, 2020</w:t>
      </w:r>
      <w:bookmarkEnd w:id="52"/>
    </w:p>
    <w:p w:rsidR="00DC34EF" w:rsidRPr="00BA2473" w:rsidRDefault="00DC34EF" w:rsidP="00DC34EF">
      <w:pPr>
        <w:jc w:val="right"/>
        <w:rPr>
          <w:rFonts w:ascii="Garamond" w:hAnsi="Garamond" w:cstheme="minorHAnsi"/>
          <w:sz w:val="22"/>
          <w:szCs w:val="22"/>
        </w:rPr>
      </w:pPr>
    </w:p>
    <w:tbl>
      <w:tblPr>
        <w:tblW w:w="0" w:type="auto"/>
        <w:jc w:val="center"/>
        <w:tblLook w:val="04A0" w:firstRow="1" w:lastRow="0" w:firstColumn="1" w:lastColumn="0" w:noHBand="0" w:noVBand="1"/>
      </w:tblPr>
      <w:tblGrid>
        <w:gridCol w:w="2641"/>
        <w:gridCol w:w="1935"/>
        <w:gridCol w:w="1942"/>
      </w:tblGrid>
      <w:tr w:rsidR="00DC34EF" w:rsidRPr="00BA2473" w:rsidTr="00DC34EF">
        <w:trPr>
          <w:trHeight w:val="30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4EF" w:rsidRPr="00BA2473" w:rsidRDefault="00DC34EF" w:rsidP="00DC34EF">
            <w:pPr>
              <w:jc w:val="center"/>
              <w:rPr>
                <w:rFonts w:ascii="Garamond" w:hAnsi="Garamond" w:cstheme="minorHAnsi"/>
                <w:b/>
                <w:bCs/>
                <w:sz w:val="22"/>
                <w:szCs w:val="22"/>
                <w:lang w:val="en-US"/>
              </w:rPr>
            </w:pPr>
            <w:r w:rsidRPr="00BA2473">
              <w:rPr>
                <w:rFonts w:ascii="Garamond" w:hAnsi="Garamond" w:cstheme="minorHAnsi"/>
                <w:b/>
                <w:bCs/>
                <w:sz w:val="22"/>
                <w:szCs w:val="22"/>
                <w:lang w:val="en-US"/>
              </w:rPr>
              <w:t>Unclaimed Amounts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C34EF" w:rsidRPr="00BA2473" w:rsidRDefault="00DC34EF" w:rsidP="00DC34EF">
            <w:pPr>
              <w:jc w:val="center"/>
              <w:rPr>
                <w:rFonts w:ascii="Garamond" w:hAnsi="Garamond" w:cstheme="minorHAnsi"/>
                <w:b/>
                <w:bCs/>
                <w:sz w:val="22"/>
                <w:szCs w:val="22"/>
                <w:lang w:val="en-US"/>
              </w:rPr>
            </w:pPr>
            <w:r w:rsidRPr="00BA2473">
              <w:rPr>
                <w:rFonts w:ascii="Garamond" w:hAnsi="Garamond" w:cstheme="minorHAnsi"/>
                <w:b/>
                <w:bCs/>
                <w:sz w:val="22"/>
                <w:szCs w:val="22"/>
                <w:lang w:val="en-US"/>
              </w:rPr>
              <w:t>Amount (</w:t>
            </w:r>
            <w:r w:rsidRPr="00BA2473">
              <w:rPr>
                <w:rFonts w:ascii="Times New Roman" w:hAnsi="Times New Roman"/>
                <w:b/>
                <w:bCs/>
                <w:sz w:val="22"/>
                <w:szCs w:val="22"/>
                <w:lang w:val="en-US"/>
              </w:rPr>
              <w:t>₹</w:t>
            </w:r>
            <w:r w:rsidRPr="00BA2473">
              <w:rPr>
                <w:rFonts w:ascii="Garamond" w:hAnsi="Garamond" w:cstheme="minorHAnsi"/>
                <w:b/>
                <w:bCs/>
                <w:sz w:val="22"/>
                <w:szCs w:val="22"/>
                <w:lang w:val="en-US"/>
              </w:rPr>
              <w:t xml:space="preserve"> crore)</w:t>
            </w:r>
          </w:p>
        </w:tc>
      </w:tr>
      <w:tr w:rsidR="00DC34EF" w:rsidRPr="00BA2473" w:rsidTr="00DC34EF">
        <w:trPr>
          <w:trHeight w:val="30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4EF" w:rsidRPr="00BA2473" w:rsidRDefault="00DC34EF" w:rsidP="00DC34EF">
            <w:pPr>
              <w:jc w:val="both"/>
              <w:rPr>
                <w:rFonts w:ascii="Garamond" w:hAnsi="Garamond" w:cstheme="minorHAnsi"/>
                <w:sz w:val="22"/>
                <w:szCs w:val="22"/>
                <w:lang w:val="en-US"/>
              </w:rPr>
            </w:pPr>
            <w:r w:rsidRPr="00BA2473">
              <w:rPr>
                <w:rFonts w:ascii="Garamond" w:hAnsi="Garamond" w:cstheme="minorHAnsi"/>
                <w:sz w:val="22"/>
                <w:szCs w:val="22"/>
                <w:lang w:val="en-US"/>
              </w:rPr>
              <w:t>Unclaimed Dividend</w:t>
            </w:r>
          </w:p>
        </w:tc>
        <w:tc>
          <w:tcPr>
            <w:tcW w:w="0" w:type="auto"/>
            <w:tcBorders>
              <w:top w:val="nil"/>
              <w:left w:val="nil"/>
              <w:bottom w:val="single" w:sz="4" w:space="0" w:color="auto"/>
              <w:right w:val="single" w:sz="4" w:space="0" w:color="auto"/>
            </w:tcBorders>
            <w:shd w:val="clear" w:color="auto" w:fill="auto"/>
            <w:vAlign w:val="center"/>
            <w:hideMark/>
          </w:tcPr>
          <w:p w:rsidR="00DC34EF" w:rsidRPr="00BA2473" w:rsidRDefault="00DC34EF" w:rsidP="00DC34EF">
            <w:pPr>
              <w:jc w:val="right"/>
              <w:rPr>
                <w:rFonts w:ascii="Garamond" w:hAnsi="Garamond" w:cstheme="minorHAnsi"/>
                <w:sz w:val="22"/>
                <w:szCs w:val="22"/>
                <w:lang w:val="en-US"/>
              </w:rPr>
            </w:pPr>
            <w:r w:rsidRPr="00BA2473">
              <w:rPr>
                <w:rFonts w:ascii="Garamond" w:hAnsi="Garamond" w:cstheme="minorHAnsi"/>
                <w:sz w:val="22"/>
                <w:szCs w:val="22"/>
                <w:lang w:val="en-US"/>
              </w:rPr>
              <w:t>668.89</w:t>
            </w:r>
          </w:p>
        </w:tc>
      </w:tr>
      <w:tr w:rsidR="00DC34EF" w:rsidRPr="00BA2473" w:rsidTr="00DC34EF">
        <w:trPr>
          <w:trHeight w:val="30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34EF" w:rsidRPr="00BA2473" w:rsidRDefault="00DC34EF" w:rsidP="00DC34EF">
            <w:pPr>
              <w:jc w:val="both"/>
              <w:rPr>
                <w:rFonts w:ascii="Garamond" w:hAnsi="Garamond" w:cstheme="minorHAnsi"/>
                <w:sz w:val="22"/>
                <w:szCs w:val="22"/>
                <w:lang w:val="en-US"/>
              </w:rPr>
            </w:pPr>
            <w:r w:rsidRPr="00BA2473">
              <w:rPr>
                <w:rFonts w:ascii="Garamond" w:hAnsi="Garamond" w:cstheme="minorHAnsi"/>
                <w:sz w:val="22"/>
                <w:szCs w:val="22"/>
                <w:lang w:val="en-US"/>
              </w:rPr>
              <w:t>Unclaimed Redemption</w:t>
            </w:r>
          </w:p>
        </w:tc>
        <w:tc>
          <w:tcPr>
            <w:tcW w:w="0" w:type="auto"/>
            <w:tcBorders>
              <w:top w:val="nil"/>
              <w:left w:val="nil"/>
              <w:bottom w:val="single" w:sz="4" w:space="0" w:color="auto"/>
              <w:right w:val="single" w:sz="4" w:space="0" w:color="auto"/>
            </w:tcBorders>
            <w:shd w:val="clear" w:color="auto" w:fill="auto"/>
            <w:vAlign w:val="center"/>
            <w:hideMark/>
          </w:tcPr>
          <w:p w:rsidR="00DC34EF" w:rsidRPr="00BA2473" w:rsidRDefault="00DC34EF" w:rsidP="00DC34EF">
            <w:pPr>
              <w:jc w:val="right"/>
              <w:rPr>
                <w:rFonts w:ascii="Garamond" w:hAnsi="Garamond" w:cstheme="minorHAnsi"/>
                <w:sz w:val="22"/>
                <w:szCs w:val="22"/>
                <w:lang w:val="en-US"/>
              </w:rPr>
            </w:pPr>
            <w:r w:rsidRPr="00BA2473">
              <w:rPr>
                <w:rFonts w:ascii="Garamond" w:hAnsi="Garamond" w:cstheme="minorHAnsi"/>
                <w:sz w:val="22"/>
                <w:szCs w:val="22"/>
                <w:lang w:val="en-US"/>
              </w:rPr>
              <w:t>904.24</w:t>
            </w:r>
          </w:p>
        </w:tc>
      </w:tr>
      <w:tr w:rsidR="00DC34EF" w:rsidRPr="00BA2473" w:rsidTr="00DC34EF">
        <w:trPr>
          <w:trHeight w:val="30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34EF" w:rsidRPr="00BA2473" w:rsidRDefault="00DC34EF" w:rsidP="00DC34EF">
            <w:pPr>
              <w:jc w:val="both"/>
              <w:rPr>
                <w:rFonts w:ascii="Garamond" w:hAnsi="Garamond" w:cstheme="minorHAnsi"/>
                <w:sz w:val="22"/>
                <w:szCs w:val="22"/>
                <w:lang w:val="en-US"/>
              </w:rPr>
            </w:pPr>
            <w:r w:rsidRPr="00BA2473">
              <w:rPr>
                <w:rFonts w:ascii="Garamond" w:hAnsi="Garamond" w:cstheme="minorHAnsi"/>
                <w:sz w:val="22"/>
                <w:szCs w:val="22"/>
                <w:lang w:val="en-US"/>
              </w:rPr>
              <w:t>Total</w:t>
            </w:r>
          </w:p>
        </w:tc>
        <w:tc>
          <w:tcPr>
            <w:tcW w:w="0" w:type="auto"/>
            <w:tcBorders>
              <w:top w:val="nil"/>
              <w:left w:val="nil"/>
              <w:bottom w:val="single" w:sz="4" w:space="0" w:color="auto"/>
              <w:right w:val="single" w:sz="4" w:space="0" w:color="auto"/>
            </w:tcBorders>
            <w:shd w:val="clear" w:color="auto" w:fill="auto"/>
            <w:noWrap/>
            <w:vAlign w:val="bottom"/>
            <w:hideMark/>
          </w:tcPr>
          <w:p w:rsidR="00DC34EF" w:rsidRPr="00BA2473" w:rsidRDefault="00DC34EF" w:rsidP="00DC34EF">
            <w:pPr>
              <w:jc w:val="right"/>
              <w:rPr>
                <w:rFonts w:ascii="Garamond" w:hAnsi="Garamond" w:cstheme="minorHAnsi"/>
                <w:sz w:val="22"/>
                <w:szCs w:val="22"/>
                <w:lang w:val="en-US"/>
              </w:rPr>
            </w:pPr>
            <w:r w:rsidRPr="00BA2473">
              <w:rPr>
                <w:rFonts w:ascii="Garamond" w:hAnsi="Garamond" w:cstheme="minorHAnsi"/>
                <w:sz w:val="22"/>
                <w:szCs w:val="22"/>
                <w:lang w:val="en-US"/>
              </w:rPr>
              <w:t>1,573.13</w:t>
            </w:r>
          </w:p>
        </w:tc>
      </w:tr>
      <w:tr w:rsidR="00DC34EF" w:rsidRPr="00BA2473" w:rsidTr="00DC34EF">
        <w:trPr>
          <w:trHeight w:val="300"/>
          <w:jc w:val="center"/>
        </w:trPr>
        <w:tc>
          <w:tcPr>
            <w:tcW w:w="0" w:type="auto"/>
            <w:tcBorders>
              <w:top w:val="nil"/>
              <w:left w:val="nil"/>
              <w:bottom w:val="nil"/>
              <w:right w:val="nil"/>
            </w:tcBorders>
            <w:shd w:val="clear" w:color="auto" w:fill="auto"/>
            <w:noWrap/>
            <w:vAlign w:val="bottom"/>
            <w:hideMark/>
          </w:tcPr>
          <w:p w:rsidR="00DC34EF" w:rsidRPr="00BA2473" w:rsidRDefault="00DC34EF" w:rsidP="00DC34EF">
            <w:pPr>
              <w:jc w:val="both"/>
              <w:rPr>
                <w:rFonts w:ascii="Garamond" w:hAnsi="Garamond" w:cstheme="minorHAnsi"/>
                <w:sz w:val="22"/>
                <w:szCs w:val="22"/>
                <w:lang w:val="en-US"/>
              </w:rPr>
            </w:pPr>
          </w:p>
        </w:tc>
        <w:tc>
          <w:tcPr>
            <w:tcW w:w="0" w:type="auto"/>
            <w:tcBorders>
              <w:top w:val="nil"/>
              <w:left w:val="nil"/>
              <w:bottom w:val="nil"/>
              <w:right w:val="nil"/>
            </w:tcBorders>
            <w:shd w:val="clear" w:color="auto" w:fill="auto"/>
            <w:noWrap/>
            <w:vAlign w:val="bottom"/>
            <w:hideMark/>
          </w:tcPr>
          <w:p w:rsidR="00DC34EF" w:rsidRPr="00BA2473" w:rsidRDefault="00DC34EF" w:rsidP="00DC34EF">
            <w:pPr>
              <w:jc w:val="both"/>
              <w:rPr>
                <w:rFonts w:ascii="Garamond" w:hAnsi="Garamond" w:cstheme="minorHAnsi"/>
                <w:sz w:val="22"/>
                <w:szCs w:val="22"/>
                <w:lang w:val="en-US"/>
              </w:rPr>
            </w:pPr>
          </w:p>
        </w:tc>
        <w:tc>
          <w:tcPr>
            <w:tcW w:w="0" w:type="auto"/>
            <w:tcBorders>
              <w:top w:val="nil"/>
              <w:left w:val="nil"/>
              <w:bottom w:val="nil"/>
              <w:right w:val="nil"/>
            </w:tcBorders>
            <w:shd w:val="clear" w:color="auto" w:fill="auto"/>
            <w:noWrap/>
            <w:vAlign w:val="bottom"/>
            <w:hideMark/>
          </w:tcPr>
          <w:p w:rsidR="00DC34EF" w:rsidRPr="00BA2473" w:rsidRDefault="00DC34EF" w:rsidP="00DC34EF">
            <w:pPr>
              <w:jc w:val="both"/>
              <w:rPr>
                <w:rFonts w:ascii="Garamond" w:hAnsi="Garamond" w:cstheme="minorHAnsi"/>
                <w:sz w:val="22"/>
                <w:szCs w:val="22"/>
                <w:lang w:val="en-US"/>
              </w:rPr>
            </w:pPr>
          </w:p>
        </w:tc>
      </w:tr>
      <w:tr w:rsidR="00DC34EF" w:rsidRPr="00BA2473" w:rsidTr="00DC34E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C34EF" w:rsidRPr="00BA2473" w:rsidRDefault="00DC34EF" w:rsidP="00DC34EF">
            <w:pPr>
              <w:jc w:val="center"/>
              <w:rPr>
                <w:rFonts w:ascii="Garamond" w:hAnsi="Garamond" w:cstheme="minorHAnsi"/>
                <w:b/>
                <w:bCs/>
                <w:sz w:val="22"/>
                <w:szCs w:val="22"/>
                <w:lang w:val="en-US"/>
              </w:rPr>
            </w:pPr>
            <w:r w:rsidRPr="00BA2473">
              <w:rPr>
                <w:rFonts w:ascii="Garamond" w:hAnsi="Garamond" w:cstheme="minorHAnsi"/>
                <w:b/>
                <w:bCs/>
                <w:sz w:val="22"/>
                <w:szCs w:val="22"/>
                <w:lang w:val="en-US"/>
              </w:rPr>
              <w:t>Mode of Holding</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C34EF" w:rsidRPr="00BA2473" w:rsidRDefault="00DC34EF" w:rsidP="00DC34EF">
            <w:pPr>
              <w:jc w:val="center"/>
              <w:rPr>
                <w:rFonts w:ascii="Garamond" w:hAnsi="Garamond" w:cstheme="minorHAnsi"/>
                <w:b/>
                <w:bCs/>
                <w:sz w:val="22"/>
                <w:szCs w:val="22"/>
                <w:lang w:val="en-US"/>
              </w:rPr>
            </w:pPr>
            <w:r w:rsidRPr="00BA2473">
              <w:rPr>
                <w:rFonts w:ascii="Garamond" w:hAnsi="Garamond" w:cstheme="minorHAnsi"/>
                <w:b/>
                <w:bCs/>
                <w:sz w:val="22"/>
                <w:szCs w:val="22"/>
                <w:lang w:val="en-US"/>
              </w:rPr>
              <w:t>Number of Folios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C34EF" w:rsidRPr="00BA2473" w:rsidRDefault="00DC34EF" w:rsidP="00DC34EF">
            <w:pPr>
              <w:jc w:val="center"/>
              <w:rPr>
                <w:rFonts w:ascii="Garamond" w:hAnsi="Garamond" w:cstheme="minorHAnsi"/>
                <w:b/>
                <w:bCs/>
                <w:sz w:val="22"/>
                <w:szCs w:val="22"/>
                <w:lang w:val="en-US"/>
              </w:rPr>
            </w:pPr>
            <w:r w:rsidRPr="00BA2473">
              <w:rPr>
                <w:rFonts w:ascii="Garamond" w:hAnsi="Garamond" w:cstheme="minorHAnsi"/>
                <w:b/>
                <w:bCs/>
                <w:sz w:val="22"/>
                <w:szCs w:val="22"/>
                <w:lang w:val="en-US"/>
              </w:rPr>
              <w:t>Value (</w:t>
            </w:r>
            <w:r w:rsidRPr="00BA2473">
              <w:rPr>
                <w:rFonts w:ascii="Times New Roman" w:hAnsi="Times New Roman"/>
                <w:b/>
                <w:bCs/>
                <w:sz w:val="22"/>
                <w:szCs w:val="22"/>
                <w:lang w:val="en-US"/>
              </w:rPr>
              <w:t>₹</w:t>
            </w:r>
            <w:r w:rsidRPr="00BA2473">
              <w:rPr>
                <w:rFonts w:ascii="Garamond" w:hAnsi="Garamond" w:cstheme="minorHAnsi"/>
                <w:b/>
                <w:bCs/>
                <w:sz w:val="22"/>
                <w:szCs w:val="22"/>
                <w:lang w:val="en-US"/>
              </w:rPr>
              <w:t xml:space="preserve"> crore)</w:t>
            </w:r>
          </w:p>
        </w:tc>
      </w:tr>
      <w:tr w:rsidR="00DC34EF" w:rsidRPr="00BA2473" w:rsidTr="00DC34EF">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C34EF" w:rsidRPr="00BA2473" w:rsidRDefault="00DC34EF" w:rsidP="00DC34EF">
            <w:pPr>
              <w:jc w:val="both"/>
              <w:rPr>
                <w:rFonts w:ascii="Garamond" w:hAnsi="Garamond" w:cstheme="minorHAnsi"/>
                <w:sz w:val="22"/>
                <w:szCs w:val="22"/>
                <w:lang w:val="en-US"/>
              </w:rPr>
            </w:pPr>
            <w:r w:rsidRPr="00BA2473">
              <w:rPr>
                <w:rFonts w:ascii="Garamond" w:hAnsi="Garamond" w:cstheme="minorHAnsi"/>
                <w:sz w:val="22"/>
                <w:szCs w:val="22"/>
                <w:lang w:val="en-US"/>
              </w:rPr>
              <w:t>Statement of Account (SoA)</w:t>
            </w:r>
          </w:p>
        </w:tc>
        <w:tc>
          <w:tcPr>
            <w:tcW w:w="0" w:type="auto"/>
            <w:tcBorders>
              <w:top w:val="nil"/>
              <w:left w:val="nil"/>
              <w:bottom w:val="single" w:sz="4" w:space="0" w:color="auto"/>
              <w:right w:val="single" w:sz="4" w:space="0" w:color="auto"/>
            </w:tcBorders>
            <w:shd w:val="clear" w:color="auto" w:fill="auto"/>
            <w:vAlign w:val="center"/>
            <w:hideMark/>
          </w:tcPr>
          <w:p w:rsidR="00DC34EF" w:rsidRPr="00BA2473" w:rsidRDefault="00DC34EF" w:rsidP="00DC34EF">
            <w:pPr>
              <w:jc w:val="right"/>
              <w:rPr>
                <w:rFonts w:ascii="Garamond" w:hAnsi="Garamond" w:cstheme="minorHAnsi"/>
                <w:sz w:val="22"/>
                <w:szCs w:val="22"/>
                <w:lang w:val="en-US"/>
              </w:rPr>
            </w:pPr>
            <w:r w:rsidRPr="00BA2473">
              <w:rPr>
                <w:rFonts w:ascii="Garamond" w:hAnsi="Garamond" w:cstheme="minorHAnsi"/>
                <w:sz w:val="22"/>
                <w:szCs w:val="22"/>
                <w:lang w:val="en-US"/>
              </w:rPr>
              <w:t xml:space="preserve">                30,41,158 </w:t>
            </w:r>
          </w:p>
        </w:tc>
        <w:tc>
          <w:tcPr>
            <w:tcW w:w="0" w:type="auto"/>
            <w:tcBorders>
              <w:top w:val="nil"/>
              <w:left w:val="nil"/>
              <w:bottom w:val="single" w:sz="4" w:space="0" w:color="auto"/>
              <w:right w:val="single" w:sz="4" w:space="0" w:color="auto"/>
            </w:tcBorders>
            <w:shd w:val="clear" w:color="auto" w:fill="auto"/>
            <w:vAlign w:val="center"/>
            <w:hideMark/>
          </w:tcPr>
          <w:p w:rsidR="00DC34EF" w:rsidRPr="00BA2473" w:rsidRDefault="00DC34EF" w:rsidP="00DC34EF">
            <w:pPr>
              <w:jc w:val="right"/>
              <w:rPr>
                <w:rFonts w:ascii="Garamond" w:hAnsi="Garamond" w:cstheme="minorHAnsi"/>
                <w:sz w:val="22"/>
                <w:szCs w:val="22"/>
                <w:lang w:val="en-US"/>
              </w:rPr>
            </w:pPr>
            <w:r w:rsidRPr="00BA2473">
              <w:rPr>
                <w:rFonts w:ascii="Garamond" w:hAnsi="Garamond" w:cstheme="minorHAnsi"/>
                <w:sz w:val="22"/>
                <w:szCs w:val="22"/>
                <w:lang w:val="en-US"/>
              </w:rPr>
              <w:t xml:space="preserve">                  1,553.09 </w:t>
            </w:r>
          </w:p>
        </w:tc>
      </w:tr>
      <w:tr w:rsidR="00DC34EF" w:rsidRPr="00BA2473" w:rsidTr="00DC34EF">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C34EF" w:rsidRPr="00BA2473" w:rsidRDefault="00DC34EF" w:rsidP="00DC34EF">
            <w:pPr>
              <w:jc w:val="both"/>
              <w:rPr>
                <w:rFonts w:ascii="Garamond" w:hAnsi="Garamond" w:cstheme="minorHAnsi"/>
                <w:sz w:val="22"/>
                <w:szCs w:val="22"/>
                <w:lang w:val="en-US"/>
              </w:rPr>
            </w:pPr>
            <w:r w:rsidRPr="00BA2473">
              <w:rPr>
                <w:rFonts w:ascii="Garamond" w:hAnsi="Garamond" w:cstheme="minorHAnsi"/>
                <w:sz w:val="22"/>
                <w:szCs w:val="22"/>
                <w:lang w:val="en-US"/>
              </w:rPr>
              <w:t>Demat</w:t>
            </w:r>
          </w:p>
        </w:tc>
        <w:tc>
          <w:tcPr>
            <w:tcW w:w="0" w:type="auto"/>
            <w:tcBorders>
              <w:top w:val="nil"/>
              <w:left w:val="nil"/>
              <w:bottom w:val="single" w:sz="4" w:space="0" w:color="auto"/>
              <w:right w:val="single" w:sz="4" w:space="0" w:color="auto"/>
            </w:tcBorders>
            <w:shd w:val="clear" w:color="auto" w:fill="auto"/>
            <w:vAlign w:val="center"/>
            <w:hideMark/>
          </w:tcPr>
          <w:p w:rsidR="00DC34EF" w:rsidRPr="00BA2473" w:rsidRDefault="00DC34EF" w:rsidP="00DC34EF">
            <w:pPr>
              <w:jc w:val="right"/>
              <w:rPr>
                <w:rFonts w:ascii="Garamond" w:hAnsi="Garamond" w:cstheme="minorHAnsi"/>
                <w:sz w:val="22"/>
                <w:szCs w:val="22"/>
                <w:lang w:val="en-US"/>
              </w:rPr>
            </w:pPr>
            <w:r w:rsidRPr="00BA2473">
              <w:rPr>
                <w:rFonts w:ascii="Garamond" w:hAnsi="Garamond" w:cstheme="minorHAnsi"/>
                <w:sz w:val="22"/>
                <w:szCs w:val="22"/>
                <w:lang w:val="en-US"/>
              </w:rPr>
              <w:t xml:space="preserve">                     20,753 </w:t>
            </w:r>
          </w:p>
        </w:tc>
        <w:tc>
          <w:tcPr>
            <w:tcW w:w="0" w:type="auto"/>
            <w:tcBorders>
              <w:top w:val="nil"/>
              <w:left w:val="nil"/>
              <w:bottom w:val="single" w:sz="4" w:space="0" w:color="auto"/>
              <w:right w:val="single" w:sz="4" w:space="0" w:color="auto"/>
            </w:tcBorders>
            <w:shd w:val="clear" w:color="auto" w:fill="auto"/>
            <w:vAlign w:val="center"/>
            <w:hideMark/>
          </w:tcPr>
          <w:p w:rsidR="00DC34EF" w:rsidRPr="00BA2473" w:rsidRDefault="00DC34EF" w:rsidP="00DC34EF">
            <w:pPr>
              <w:jc w:val="right"/>
              <w:rPr>
                <w:rFonts w:ascii="Garamond" w:hAnsi="Garamond" w:cstheme="minorHAnsi"/>
                <w:sz w:val="22"/>
                <w:szCs w:val="22"/>
                <w:lang w:val="en-US"/>
              </w:rPr>
            </w:pPr>
            <w:r w:rsidRPr="00BA2473">
              <w:rPr>
                <w:rFonts w:ascii="Garamond" w:hAnsi="Garamond" w:cstheme="minorHAnsi"/>
                <w:sz w:val="22"/>
                <w:szCs w:val="22"/>
                <w:lang w:val="en-US"/>
              </w:rPr>
              <w:t xml:space="preserve">                       20.04 </w:t>
            </w:r>
          </w:p>
        </w:tc>
      </w:tr>
      <w:tr w:rsidR="00DC34EF" w:rsidRPr="00BA2473" w:rsidTr="00DC34EF">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C34EF" w:rsidRPr="00BA2473" w:rsidRDefault="00DC34EF" w:rsidP="00DC34EF">
            <w:pPr>
              <w:jc w:val="both"/>
              <w:rPr>
                <w:rFonts w:ascii="Garamond" w:hAnsi="Garamond" w:cstheme="minorHAnsi"/>
                <w:sz w:val="22"/>
                <w:szCs w:val="22"/>
                <w:lang w:val="en-US"/>
              </w:rPr>
            </w:pPr>
            <w:r w:rsidRPr="00BA2473">
              <w:rPr>
                <w:rFonts w:ascii="Garamond" w:hAnsi="Garamond" w:cstheme="minorHAnsi"/>
                <w:sz w:val="22"/>
                <w:szCs w:val="22"/>
                <w:lang w:val="en-US"/>
              </w:rPr>
              <w:t>Total</w:t>
            </w:r>
          </w:p>
        </w:tc>
        <w:tc>
          <w:tcPr>
            <w:tcW w:w="0" w:type="auto"/>
            <w:tcBorders>
              <w:top w:val="nil"/>
              <w:left w:val="nil"/>
              <w:bottom w:val="single" w:sz="4" w:space="0" w:color="auto"/>
              <w:right w:val="single" w:sz="4" w:space="0" w:color="auto"/>
            </w:tcBorders>
            <w:shd w:val="clear" w:color="auto" w:fill="auto"/>
            <w:vAlign w:val="center"/>
            <w:hideMark/>
          </w:tcPr>
          <w:p w:rsidR="00DC34EF" w:rsidRPr="00BA2473" w:rsidRDefault="00DC34EF" w:rsidP="00DC34EF">
            <w:pPr>
              <w:jc w:val="right"/>
              <w:rPr>
                <w:rFonts w:ascii="Garamond" w:hAnsi="Garamond" w:cstheme="minorHAnsi"/>
                <w:sz w:val="22"/>
                <w:szCs w:val="22"/>
                <w:lang w:val="en-US"/>
              </w:rPr>
            </w:pPr>
            <w:r w:rsidRPr="00BA2473">
              <w:rPr>
                <w:rFonts w:ascii="Garamond" w:hAnsi="Garamond" w:cstheme="minorHAnsi"/>
                <w:sz w:val="22"/>
                <w:szCs w:val="22"/>
                <w:lang w:val="en-US"/>
              </w:rPr>
              <w:t xml:space="preserve">                30,61,911 </w:t>
            </w:r>
          </w:p>
        </w:tc>
        <w:tc>
          <w:tcPr>
            <w:tcW w:w="0" w:type="auto"/>
            <w:tcBorders>
              <w:top w:val="nil"/>
              <w:left w:val="nil"/>
              <w:bottom w:val="single" w:sz="4" w:space="0" w:color="auto"/>
              <w:right w:val="single" w:sz="4" w:space="0" w:color="auto"/>
            </w:tcBorders>
            <w:shd w:val="clear" w:color="auto" w:fill="auto"/>
            <w:vAlign w:val="center"/>
            <w:hideMark/>
          </w:tcPr>
          <w:p w:rsidR="00DC34EF" w:rsidRPr="00BA2473" w:rsidRDefault="00DC34EF" w:rsidP="00DC34EF">
            <w:pPr>
              <w:jc w:val="right"/>
              <w:rPr>
                <w:rFonts w:ascii="Garamond" w:hAnsi="Garamond" w:cstheme="minorHAnsi"/>
                <w:sz w:val="22"/>
                <w:szCs w:val="22"/>
                <w:lang w:val="en-US"/>
              </w:rPr>
            </w:pPr>
            <w:r w:rsidRPr="00BA2473">
              <w:rPr>
                <w:rFonts w:ascii="Garamond" w:hAnsi="Garamond" w:cstheme="minorHAnsi"/>
                <w:sz w:val="22"/>
                <w:szCs w:val="22"/>
                <w:lang w:val="en-US"/>
              </w:rPr>
              <w:t xml:space="preserve">                  1,573.13 </w:t>
            </w:r>
          </w:p>
        </w:tc>
      </w:tr>
    </w:tbl>
    <w:p w:rsidR="00DC34EF" w:rsidRPr="00DC34EF" w:rsidRDefault="00DC34EF" w:rsidP="00DC34EF">
      <w:pPr>
        <w:ind w:left="1276"/>
        <w:jc w:val="both"/>
        <w:rPr>
          <w:rFonts w:ascii="Garamond" w:hAnsi="Garamond" w:cstheme="minorHAnsi"/>
          <w:lang w:val="en-US"/>
        </w:rPr>
      </w:pPr>
    </w:p>
    <w:p w:rsidR="00DC34EF" w:rsidRPr="00BA2473" w:rsidRDefault="00DC34EF" w:rsidP="00456F4D">
      <w:pPr>
        <w:pStyle w:val="ListParagraph"/>
        <w:numPr>
          <w:ilvl w:val="2"/>
          <w:numId w:val="29"/>
        </w:numPr>
        <w:spacing w:after="0"/>
        <w:jc w:val="both"/>
        <w:rPr>
          <w:rFonts w:ascii="Garamond" w:hAnsi="Garamond" w:cstheme="minorHAnsi"/>
          <w:sz w:val="24"/>
          <w:szCs w:val="24"/>
        </w:rPr>
      </w:pPr>
      <w:r w:rsidRPr="00DC34EF">
        <w:rPr>
          <w:rFonts w:ascii="Garamond" w:hAnsi="Garamond" w:cstheme="minorHAnsi"/>
          <w:sz w:val="24"/>
          <w:szCs w:val="24"/>
        </w:rPr>
        <w:t>About 99% of the unclaimed assets of MF, in terms of number of folio and by value are in SoA mode, which suggest that there is a co-relation between the mode of holding a</w:t>
      </w:r>
      <w:r w:rsidR="00BA2473">
        <w:rPr>
          <w:rFonts w:ascii="Garamond" w:hAnsi="Garamond" w:cstheme="minorHAnsi"/>
          <w:sz w:val="24"/>
          <w:szCs w:val="24"/>
        </w:rPr>
        <w:t>nd the propensity for the money</w:t>
      </w:r>
      <w:r w:rsidRPr="00DC34EF">
        <w:rPr>
          <w:rFonts w:ascii="Garamond" w:hAnsi="Garamond" w:cstheme="minorHAnsi"/>
          <w:sz w:val="24"/>
          <w:szCs w:val="24"/>
        </w:rPr>
        <w:t xml:space="preserve"> to become unclaimed. Therefore, it may be a </w:t>
      </w:r>
      <w:r w:rsidRPr="00BA2473">
        <w:rPr>
          <w:rFonts w:ascii="Garamond" w:hAnsi="Garamond" w:cstheme="minorHAnsi"/>
          <w:b/>
          <w:bCs/>
          <w:sz w:val="24"/>
          <w:szCs w:val="24"/>
        </w:rPr>
        <w:t xml:space="preserve">desirable policy objective </w:t>
      </w:r>
      <w:r w:rsidRPr="00BA2473">
        <w:rPr>
          <w:rFonts w:ascii="Garamond" w:hAnsi="Garamond" w:cstheme="minorHAnsi"/>
          <w:sz w:val="24"/>
          <w:szCs w:val="24"/>
        </w:rPr>
        <w:t xml:space="preserve">that MF units be held only in demat mode, over time.  </w:t>
      </w:r>
    </w:p>
    <w:p w:rsidR="00DC34EF" w:rsidRPr="00DC34EF" w:rsidRDefault="00DC34EF" w:rsidP="00DC34EF">
      <w:pPr>
        <w:ind w:left="720"/>
        <w:jc w:val="both"/>
        <w:rPr>
          <w:rFonts w:ascii="Garamond" w:hAnsi="Garamond" w:cstheme="minorHAnsi"/>
          <w:lang w:val="en-US"/>
        </w:rPr>
      </w:pPr>
    </w:p>
    <w:p w:rsidR="00DC34EF" w:rsidRPr="00DC34EF" w:rsidRDefault="00DC34EF" w:rsidP="00456F4D">
      <w:pPr>
        <w:pStyle w:val="ListParagraph"/>
        <w:numPr>
          <w:ilvl w:val="2"/>
          <w:numId w:val="29"/>
        </w:numPr>
        <w:spacing w:after="0"/>
        <w:jc w:val="both"/>
        <w:rPr>
          <w:rFonts w:ascii="Garamond" w:hAnsi="Garamond" w:cstheme="minorHAnsi"/>
          <w:sz w:val="24"/>
          <w:szCs w:val="24"/>
        </w:rPr>
      </w:pPr>
      <w:r w:rsidRPr="00DC34EF">
        <w:rPr>
          <w:rFonts w:ascii="Garamond" w:hAnsi="Garamond" w:cstheme="minorHAnsi"/>
          <w:sz w:val="24"/>
          <w:szCs w:val="24"/>
        </w:rPr>
        <w:t xml:space="preserve">As nomination can prevent the creation of unclaimed assets, it is </w:t>
      </w:r>
      <w:r w:rsidRPr="00BA2473">
        <w:rPr>
          <w:rFonts w:ascii="Garamond" w:hAnsi="Garamond" w:cstheme="minorHAnsi"/>
          <w:b/>
          <w:bCs/>
          <w:sz w:val="24"/>
          <w:szCs w:val="24"/>
        </w:rPr>
        <w:t>recommended</w:t>
      </w:r>
      <w:r w:rsidRPr="00DC34EF">
        <w:rPr>
          <w:rFonts w:ascii="Garamond" w:hAnsi="Garamond" w:cstheme="minorHAnsi"/>
          <w:sz w:val="24"/>
          <w:szCs w:val="24"/>
        </w:rPr>
        <w:t xml:space="preserve"> to make it compulsory for investors to provide the same, as elaborated in the chapter, ‘Holding of Securities’ (paragraph </w:t>
      </w:r>
      <w:r w:rsidRPr="00DC34EF">
        <w:rPr>
          <w:rFonts w:ascii="Garamond" w:hAnsi="Garamond" w:cstheme="minorHAnsi"/>
          <w:sz w:val="24"/>
          <w:szCs w:val="24"/>
        </w:rPr>
        <w:fldChar w:fldCharType="begin"/>
      </w:r>
      <w:r w:rsidRPr="00DC34EF">
        <w:rPr>
          <w:rFonts w:ascii="Garamond" w:hAnsi="Garamond" w:cstheme="minorHAnsi"/>
          <w:sz w:val="24"/>
          <w:szCs w:val="24"/>
        </w:rPr>
        <w:instrText xml:space="preserve"> REF _Ref60133616 \r \h  \* MERGEFORMAT </w:instrText>
      </w:r>
      <w:r w:rsidRPr="00DC34EF">
        <w:rPr>
          <w:rFonts w:ascii="Garamond" w:hAnsi="Garamond" w:cstheme="minorHAnsi"/>
          <w:sz w:val="24"/>
          <w:szCs w:val="24"/>
        </w:rPr>
      </w:r>
      <w:r w:rsidRPr="00DC34EF">
        <w:rPr>
          <w:rFonts w:ascii="Garamond" w:hAnsi="Garamond" w:cstheme="minorHAnsi"/>
          <w:sz w:val="24"/>
          <w:szCs w:val="24"/>
        </w:rPr>
        <w:fldChar w:fldCharType="separate"/>
      </w:r>
      <w:r w:rsidRPr="00DC34EF">
        <w:rPr>
          <w:rFonts w:ascii="Garamond" w:hAnsi="Garamond" w:cstheme="minorHAnsi"/>
          <w:sz w:val="24"/>
          <w:szCs w:val="24"/>
        </w:rPr>
        <w:t>III.3.1.1</w:t>
      </w:r>
      <w:r w:rsidRPr="00DC34EF">
        <w:rPr>
          <w:rFonts w:ascii="Garamond" w:hAnsi="Garamond" w:cstheme="minorHAnsi"/>
          <w:sz w:val="24"/>
          <w:szCs w:val="24"/>
        </w:rPr>
        <w:fldChar w:fldCharType="end"/>
      </w:r>
      <w:r w:rsidRPr="00DC34EF">
        <w:rPr>
          <w:rFonts w:ascii="Garamond" w:hAnsi="Garamond" w:cstheme="minorHAnsi"/>
          <w:sz w:val="24"/>
          <w:szCs w:val="24"/>
        </w:rPr>
        <w:t xml:space="preserve">).  </w:t>
      </w:r>
    </w:p>
    <w:p w:rsidR="00DC34EF" w:rsidRPr="00DC34EF" w:rsidRDefault="00DC34EF" w:rsidP="00DC34EF">
      <w:pPr>
        <w:ind w:left="720"/>
        <w:jc w:val="both"/>
        <w:rPr>
          <w:rFonts w:ascii="Garamond" w:hAnsi="Garamond" w:cstheme="minorHAnsi"/>
          <w:lang w:val="en-US"/>
        </w:rPr>
      </w:pPr>
    </w:p>
    <w:p w:rsidR="00DC34EF" w:rsidRPr="00DC34EF" w:rsidRDefault="00DC34EF" w:rsidP="00456F4D">
      <w:pPr>
        <w:pStyle w:val="ListParagraph"/>
        <w:numPr>
          <w:ilvl w:val="1"/>
          <w:numId w:val="29"/>
        </w:numPr>
        <w:spacing w:after="0"/>
        <w:jc w:val="both"/>
        <w:rPr>
          <w:rFonts w:ascii="Garamond" w:hAnsi="Garamond" w:cstheme="minorHAnsi"/>
          <w:sz w:val="24"/>
          <w:szCs w:val="24"/>
        </w:rPr>
      </w:pPr>
      <w:bookmarkStart w:id="53" w:name="_Ref63757705"/>
      <w:r w:rsidRPr="00DC34EF">
        <w:rPr>
          <w:rFonts w:ascii="Garamond" w:hAnsi="Garamond" w:cstheme="minorHAnsi"/>
          <w:sz w:val="24"/>
          <w:szCs w:val="24"/>
        </w:rPr>
        <w:t>Regulatory provisions available to protect the investors</w:t>
      </w:r>
      <w:bookmarkEnd w:id="53"/>
      <w:r w:rsidRPr="00DC34EF">
        <w:rPr>
          <w:rFonts w:ascii="Garamond" w:hAnsi="Garamond" w:cstheme="minorHAnsi"/>
          <w:sz w:val="24"/>
          <w:szCs w:val="24"/>
        </w:rPr>
        <w:t xml:space="preserve"> </w:t>
      </w:r>
    </w:p>
    <w:p w:rsidR="00DC34EF" w:rsidRPr="00DC34EF" w:rsidRDefault="00DC34EF" w:rsidP="00DC34EF">
      <w:pPr>
        <w:ind w:left="360"/>
        <w:jc w:val="both"/>
        <w:rPr>
          <w:rFonts w:ascii="Garamond" w:hAnsi="Garamond" w:cstheme="minorHAnsi"/>
          <w:lang w:val="en-US"/>
        </w:rPr>
      </w:pPr>
    </w:p>
    <w:p w:rsidR="00DC34EF" w:rsidRPr="00DC34EF" w:rsidRDefault="00DC34EF" w:rsidP="00456F4D">
      <w:pPr>
        <w:pStyle w:val="ListParagraph"/>
        <w:numPr>
          <w:ilvl w:val="2"/>
          <w:numId w:val="29"/>
        </w:numPr>
        <w:spacing w:after="0" w:line="240" w:lineRule="auto"/>
        <w:jc w:val="both"/>
        <w:rPr>
          <w:rFonts w:ascii="Garamond" w:hAnsi="Garamond" w:cstheme="minorHAnsi"/>
          <w:sz w:val="24"/>
          <w:szCs w:val="24"/>
        </w:rPr>
      </w:pPr>
      <w:r w:rsidRPr="00DC34EF">
        <w:rPr>
          <w:rFonts w:ascii="Garamond" w:hAnsi="Garamond" w:cstheme="minorHAnsi"/>
          <w:sz w:val="24"/>
          <w:szCs w:val="24"/>
        </w:rPr>
        <w:t>W.e.f. November 24, 2000, MFs are required invest the unclaimed dividend and redemption amounts in call money or money market instruments, in terms of circular of same date</w:t>
      </w:r>
      <w:r w:rsidRPr="00DC34EF">
        <w:rPr>
          <w:rStyle w:val="FootnoteReference"/>
          <w:rFonts w:ascii="Garamond" w:hAnsi="Garamond" w:cstheme="minorHAnsi"/>
          <w:sz w:val="24"/>
          <w:szCs w:val="24"/>
        </w:rPr>
        <w:footnoteReference w:id="59"/>
      </w:r>
      <w:r w:rsidRPr="00DC34EF">
        <w:rPr>
          <w:rFonts w:ascii="Garamond" w:hAnsi="Garamond" w:cstheme="minorHAnsi"/>
          <w:sz w:val="24"/>
          <w:szCs w:val="24"/>
        </w:rPr>
        <w:t xml:space="preserve">.  Norms for claiming the same by the investor, the applicable NAV, the management fee chargeable and the disclosure norms are also specified in this circular. Further, MFs are required to make continuous effort to remind the investors through letters to claim such money. Up to three years, the investor is eligible to receive the income earned on unclaimed money. After three years, the MFs is allowed to use this income for investor education. </w:t>
      </w:r>
    </w:p>
    <w:p w:rsidR="00DC34EF" w:rsidRPr="00DC34EF" w:rsidRDefault="00DC34EF" w:rsidP="00BA2473">
      <w:pPr>
        <w:jc w:val="both"/>
        <w:rPr>
          <w:rFonts w:ascii="Garamond" w:hAnsi="Garamond" w:cstheme="minorHAnsi"/>
          <w:lang w:val="en-US"/>
        </w:rPr>
      </w:pPr>
    </w:p>
    <w:p w:rsidR="00DC34EF" w:rsidRPr="00DC34EF" w:rsidRDefault="00DC34EF" w:rsidP="00456F4D">
      <w:pPr>
        <w:pStyle w:val="ListParagraph"/>
        <w:numPr>
          <w:ilvl w:val="2"/>
          <w:numId w:val="29"/>
        </w:numPr>
        <w:spacing w:after="0" w:line="240" w:lineRule="auto"/>
        <w:jc w:val="both"/>
        <w:rPr>
          <w:rFonts w:ascii="Garamond" w:hAnsi="Garamond" w:cstheme="minorHAnsi"/>
          <w:sz w:val="24"/>
          <w:szCs w:val="24"/>
        </w:rPr>
      </w:pPr>
      <w:r w:rsidRPr="00DC34EF">
        <w:rPr>
          <w:rFonts w:ascii="Garamond" w:hAnsi="Garamond" w:cstheme="minorHAnsi"/>
          <w:sz w:val="24"/>
          <w:szCs w:val="24"/>
        </w:rPr>
        <w:t>W.e.f. April 01, 2016, such unclaimed money is allowed to also be invested in separate plan of liquid / Money Market MF schemes in terms of the circular dated February, 25, 2016</w:t>
      </w:r>
      <w:r w:rsidRPr="00DC34EF">
        <w:rPr>
          <w:rStyle w:val="FootnoteReference"/>
          <w:rFonts w:ascii="Garamond" w:hAnsi="Garamond" w:cstheme="minorHAnsi"/>
          <w:sz w:val="24"/>
          <w:szCs w:val="24"/>
        </w:rPr>
        <w:footnoteReference w:id="60"/>
      </w:r>
      <w:r w:rsidRPr="00DC34EF">
        <w:rPr>
          <w:rFonts w:ascii="Garamond" w:hAnsi="Garamond" w:cstheme="minorHAnsi"/>
          <w:sz w:val="24"/>
          <w:szCs w:val="24"/>
        </w:rPr>
        <w:t xml:space="preserve">. For such plans, exit load is not applicable, there is a cap on the expense ratio and the Statement of Account is required to be sent to the investor periodically. The names and address of the investors whose dividend and redemption amounts are unclaimed are required to be made available in the website of the MF and on a consolidated basis across all MFs in the website of AMFI, along with the procedure for claiming it. </w:t>
      </w:r>
    </w:p>
    <w:p w:rsidR="00DC34EF" w:rsidRPr="00DC34EF" w:rsidRDefault="00DC34EF" w:rsidP="00BA2473">
      <w:pPr>
        <w:ind w:left="360"/>
        <w:jc w:val="both"/>
        <w:rPr>
          <w:rFonts w:ascii="Garamond" w:hAnsi="Garamond" w:cstheme="minorHAnsi"/>
          <w:lang w:val="en-US"/>
        </w:rPr>
      </w:pPr>
    </w:p>
    <w:p w:rsidR="00DC34EF" w:rsidRPr="00DC34EF" w:rsidRDefault="00DC34EF" w:rsidP="00456F4D">
      <w:pPr>
        <w:pStyle w:val="ListParagraph"/>
        <w:numPr>
          <w:ilvl w:val="2"/>
          <w:numId w:val="29"/>
        </w:numPr>
        <w:spacing w:after="0" w:line="240" w:lineRule="auto"/>
        <w:jc w:val="both"/>
        <w:rPr>
          <w:rFonts w:ascii="Garamond" w:hAnsi="Garamond" w:cstheme="minorHAnsi"/>
          <w:sz w:val="24"/>
          <w:szCs w:val="24"/>
        </w:rPr>
      </w:pPr>
      <w:bookmarkStart w:id="54" w:name="_Ref66114544"/>
      <w:r w:rsidRPr="00DC34EF">
        <w:rPr>
          <w:rFonts w:ascii="Garamond" w:hAnsi="Garamond" w:cstheme="minorHAnsi"/>
          <w:sz w:val="24"/>
          <w:szCs w:val="24"/>
        </w:rPr>
        <w:t>Although the afore</w:t>
      </w:r>
      <w:r w:rsidR="00BA2473">
        <w:rPr>
          <w:rFonts w:ascii="Garamond" w:hAnsi="Garamond" w:cstheme="minorHAnsi"/>
          <w:sz w:val="24"/>
          <w:szCs w:val="24"/>
        </w:rPr>
        <w:t>said details of unclaimed money</w:t>
      </w:r>
      <w:r w:rsidRPr="00DC34EF">
        <w:rPr>
          <w:rFonts w:ascii="Garamond" w:hAnsi="Garamond" w:cstheme="minorHAnsi"/>
          <w:sz w:val="24"/>
          <w:szCs w:val="24"/>
        </w:rPr>
        <w:t xml:space="preserve"> are available in public domain, access to the same is required to be allowed only upon verification of credentials. This measure is equally required for corporate securities also and the recommendation in this regard has been included in the chapter, ‘Holding of Securities’.</w:t>
      </w:r>
      <w:bookmarkEnd w:id="54"/>
    </w:p>
    <w:p w:rsidR="00DC34EF" w:rsidRPr="00DC34EF" w:rsidRDefault="00DC34EF" w:rsidP="00BA2473">
      <w:pPr>
        <w:ind w:left="360"/>
        <w:jc w:val="both"/>
        <w:rPr>
          <w:rFonts w:ascii="Garamond" w:hAnsi="Garamond" w:cstheme="minorHAnsi"/>
          <w:lang w:val="en-US"/>
        </w:rPr>
      </w:pPr>
    </w:p>
    <w:p w:rsidR="00DC34EF" w:rsidRPr="00DC34EF" w:rsidRDefault="00DC34EF" w:rsidP="00456F4D">
      <w:pPr>
        <w:pStyle w:val="ListParagraph"/>
        <w:numPr>
          <w:ilvl w:val="1"/>
          <w:numId w:val="29"/>
        </w:numPr>
        <w:spacing w:after="0" w:line="240" w:lineRule="auto"/>
        <w:jc w:val="both"/>
        <w:rPr>
          <w:rFonts w:ascii="Garamond" w:hAnsi="Garamond" w:cstheme="minorHAnsi"/>
          <w:sz w:val="24"/>
          <w:szCs w:val="24"/>
        </w:rPr>
      </w:pPr>
      <w:r w:rsidRPr="00DC34EF">
        <w:rPr>
          <w:rFonts w:ascii="Garamond" w:hAnsi="Garamond" w:cstheme="minorHAnsi"/>
          <w:sz w:val="24"/>
          <w:szCs w:val="24"/>
        </w:rPr>
        <w:lastRenderedPageBreak/>
        <w:t>Transmission of MF units</w:t>
      </w:r>
    </w:p>
    <w:p w:rsidR="00DC34EF" w:rsidRPr="00DC34EF" w:rsidRDefault="00DC34EF" w:rsidP="00BA2473">
      <w:pPr>
        <w:ind w:left="360"/>
        <w:jc w:val="both"/>
        <w:rPr>
          <w:rFonts w:ascii="Garamond" w:hAnsi="Garamond" w:cstheme="minorHAnsi"/>
          <w:lang w:val="en-US"/>
        </w:rPr>
      </w:pPr>
    </w:p>
    <w:p w:rsidR="00DC34EF" w:rsidRPr="00DC34EF" w:rsidRDefault="00DC34EF" w:rsidP="00456F4D">
      <w:pPr>
        <w:pStyle w:val="ListParagraph"/>
        <w:numPr>
          <w:ilvl w:val="2"/>
          <w:numId w:val="29"/>
        </w:numPr>
        <w:spacing w:after="0" w:line="240" w:lineRule="auto"/>
        <w:jc w:val="both"/>
        <w:rPr>
          <w:rFonts w:ascii="Garamond" w:hAnsi="Garamond" w:cstheme="minorHAnsi"/>
          <w:sz w:val="24"/>
          <w:szCs w:val="24"/>
        </w:rPr>
      </w:pPr>
      <w:bookmarkStart w:id="55" w:name="_Ref65766380"/>
      <w:r w:rsidRPr="00DC34EF">
        <w:rPr>
          <w:rFonts w:ascii="Garamond" w:hAnsi="Garamond" w:cstheme="minorHAnsi"/>
          <w:sz w:val="24"/>
          <w:szCs w:val="24"/>
        </w:rPr>
        <w:t>W.e.f. January 24, 2020, image based processing of transmission of MF units is allowed vide circular dated December 24, 2019</w:t>
      </w:r>
      <w:r w:rsidRPr="00DC34EF">
        <w:rPr>
          <w:rStyle w:val="FootnoteReference"/>
          <w:rFonts w:ascii="Garamond" w:hAnsi="Garamond" w:cstheme="minorHAnsi"/>
          <w:sz w:val="24"/>
          <w:szCs w:val="24"/>
        </w:rPr>
        <w:footnoteReference w:id="61"/>
      </w:r>
      <w:r w:rsidRPr="00DC34EF">
        <w:rPr>
          <w:rFonts w:ascii="Garamond" w:hAnsi="Garamond" w:cstheme="minorHAnsi"/>
          <w:sz w:val="24"/>
          <w:szCs w:val="24"/>
        </w:rPr>
        <w:t>, if the claimant is nominee or joint holder.  Further, AMCs are required to provide help desk and webpage providing information, instructions, assistance and forms for transmission. AMCs are also required to adopt common forms for transmission request and NOC and make it available in website of AMFI and RTAs also. AMCs are also required to have common norms for documentary requirement for transmission to nominees or joint holders and adapt uniform norms to process unclaimed amounts. AMCs are required to promote nomination in their investor education programs.</w:t>
      </w:r>
      <w:bookmarkEnd w:id="55"/>
      <w:r w:rsidRPr="00DC34EF">
        <w:rPr>
          <w:rFonts w:ascii="Garamond" w:hAnsi="Garamond" w:cstheme="minorHAnsi"/>
          <w:sz w:val="24"/>
          <w:szCs w:val="24"/>
        </w:rPr>
        <w:t xml:space="preserve">  </w:t>
      </w:r>
    </w:p>
    <w:p w:rsidR="00DC34EF" w:rsidRPr="00DC34EF" w:rsidRDefault="00DC34EF" w:rsidP="00BA2473">
      <w:pPr>
        <w:ind w:left="360"/>
        <w:jc w:val="both"/>
        <w:rPr>
          <w:rFonts w:ascii="Garamond" w:hAnsi="Garamond" w:cstheme="minorHAnsi"/>
          <w:lang w:val="en-US"/>
        </w:rPr>
      </w:pPr>
    </w:p>
    <w:p w:rsidR="00DC34EF" w:rsidRPr="00DC34EF" w:rsidRDefault="00BA2473" w:rsidP="00456F4D">
      <w:pPr>
        <w:pStyle w:val="ListParagraph"/>
        <w:numPr>
          <w:ilvl w:val="2"/>
          <w:numId w:val="29"/>
        </w:numPr>
        <w:spacing w:after="0" w:line="240" w:lineRule="auto"/>
        <w:jc w:val="both"/>
        <w:rPr>
          <w:rFonts w:ascii="Garamond" w:hAnsi="Garamond" w:cstheme="minorHAnsi"/>
          <w:sz w:val="24"/>
          <w:szCs w:val="24"/>
        </w:rPr>
      </w:pPr>
      <w:r>
        <w:rPr>
          <w:rFonts w:ascii="Garamond" w:hAnsi="Garamond" w:cstheme="minorHAnsi"/>
          <w:sz w:val="24"/>
          <w:szCs w:val="24"/>
        </w:rPr>
        <w:t>The aforesaid pro-</w:t>
      </w:r>
      <w:r w:rsidR="00DC34EF" w:rsidRPr="00DC34EF">
        <w:rPr>
          <w:rFonts w:ascii="Garamond" w:hAnsi="Garamond" w:cstheme="minorHAnsi"/>
          <w:sz w:val="24"/>
          <w:szCs w:val="24"/>
        </w:rPr>
        <w:t xml:space="preserve">investor features are necessary for corporate securities as well and the recommendations in this regard are included the chapter, ‘Holding of Securities’. </w:t>
      </w:r>
    </w:p>
    <w:p w:rsidR="00DC34EF" w:rsidRPr="00DC34EF" w:rsidRDefault="00DC34EF" w:rsidP="00BA2473">
      <w:pPr>
        <w:ind w:left="360"/>
        <w:jc w:val="both"/>
        <w:rPr>
          <w:rFonts w:ascii="Garamond" w:hAnsi="Garamond" w:cstheme="minorHAnsi"/>
          <w:lang w:val="en-US"/>
        </w:rPr>
      </w:pPr>
    </w:p>
    <w:p w:rsidR="00DC34EF" w:rsidRPr="00DC34EF" w:rsidRDefault="00DC34EF" w:rsidP="00456F4D">
      <w:pPr>
        <w:pStyle w:val="ListParagraph"/>
        <w:numPr>
          <w:ilvl w:val="2"/>
          <w:numId w:val="29"/>
        </w:numPr>
        <w:spacing w:after="0" w:line="240" w:lineRule="auto"/>
        <w:jc w:val="both"/>
        <w:rPr>
          <w:rFonts w:ascii="Garamond" w:hAnsi="Garamond" w:cstheme="minorHAnsi"/>
          <w:sz w:val="24"/>
          <w:szCs w:val="24"/>
        </w:rPr>
      </w:pPr>
      <w:r w:rsidRPr="00DC34EF">
        <w:rPr>
          <w:rFonts w:ascii="Garamond" w:hAnsi="Garamond" w:cstheme="minorHAnsi"/>
          <w:sz w:val="24"/>
          <w:szCs w:val="24"/>
        </w:rPr>
        <w:t xml:space="preserve">The Legal / regulatory framework for transmission of MF units is at variance with that for corporate securities.  In the case of latter, the legal and regulatory norms are provided in Companies Act, 2013 and in LODR, 2015. Whereas in the case of MFs, the regulatory framework only required the norms to be uniform across the industry, without actually spelling out the norm. It is therefore </w:t>
      </w:r>
      <w:r w:rsidRPr="0032692D">
        <w:rPr>
          <w:rFonts w:ascii="Garamond" w:hAnsi="Garamond" w:cstheme="minorHAnsi"/>
          <w:b/>
          <w:bCs/>
          <w:sz w:val="24"/>
          <w:szCs w:val="24"/>
        </w:rPr>
        <w:t>recommended</w:t>
      </w:r>
      <w:r w:rsidRPr="0032692D">
        <w:rPr>
          <w:rFonts w:ascii="Garamond" w:hAnsi="Garamond" w:cstheme="minorHAnsi"/>
          <w:sz w:val="24"/>
          <w:szCs w:val="24"/>
        </w:rPr>
        <w:t xml:space="preserve"> that </w:t>
      </w:r>
      <w:r w:rsidRPr="00DC34EF">
        <w:rPr>
          <w:rFonts w:ascii="Garamond" w:hAnsi="Garamond" w:cstheme="minorHAnsi"/>
          <w:sz w:val="24"/>
          <w:szCs w:val="24"/>
        </w:rPr>
        <w:t xml:space="preserve">the MF regulatory framework provide the norms for transmission and claims. </w:t>
      </w:r>
    </w:p>
    <w:p w:rsidR="00DC34EF" w:rsidRPr="002E1041" w:rsidRDefault="00DC34EF" w:rsidP="002E1041">
      <w:pPr>
        <w:spacing w:after="160" w:line="259" w:lineRule="auto"/>
        <w:rPr>
          <w:rFonts w:ascii="Garamond" w:eastAsiaTheme="majorEastAsia" w:hAnsi="Garamond" w:cstheme="minorHAnsi"/>
          <w:color w:val="2E74B5" w:themeColor="accent1" w:themeShade="BF"/>
          <w:lang w:val="en-US"/>
        </w:rPr>
      </w:pPr>
    </w:p>
    <w:p w:rsidR="00DC34EF" w:rsidRPr="003B166C" w:rsidRDefault="00DC34EF" w:rsidP="00456F4D">
      <w:pPr>
        <w:pStyle w:val="ListParagraph"/>
        <w:numPr>
          <w:ilvl w:val="0"/>
          <w:numId w:val="29"/>
        </w:numPr>
        <w:spacing w:after="0"/>
        <w:jc w:val="both"/>
        <w:rPr>
          <w:rFonts w:ascii="Garamond" w:hAnsi="Garamond" w:cstheme="minorHAnsi"/>
          <w:b/>
          <w:sz w:val="24"/>
          <w:szCs w:val="24"/>
        </w:rPr>
      </w:pPr>
      <w:r w:rsidRPr="003B166C">
        <w:rPr>
          <w:rFonts w:ascii="Garamond" w:hAnsi="Garamond" w:cstheme="minorHAnsi"/>
          <w:b/>
          <w:sz w:val="24"/>
          <w:szCs w:val="24"/>
        </w:rPr>
        <w:t>Data</w:t>
      </w:r>
      <w:r w:rsidR="003B166C" w:rsidRPr="003B166C">
        <w:rPr>
          <w:rFonts w:cstheme="minorHAnsi"/>
          <w:b/>
          <w:szCs w:val="24"/>
        </w:rPr>
        <w:t xml:space="preserve">– </w:t>
      </w:r>
      <w:r w:rsidR="003B166C" w:rsidRPr="003B166C">
        <w:rPr>
          <w:rFonts w:ascii="Garamond" w:hAnsi="Garamond" w:cstheme="minorHAnsi"/>
          <w:b/>
          <w:sz w:val="24"/>
          <w:szCs w:val="24"/>
        </w:rPr>
        <w:t>Sources, Methodology &amp; Limitations</w:t>
      </w:r>
    </w:p>
    <w:p w:rsidR="00DC34EF" w:rsidRPr="00DC34EF" w:rsidRDefault="00DC34EF" w:rsidP="00DC34EF">
      <w:pPr>
        <w:jc w:val="both"/>
        <w:rPr>
          <w:rFonts w:ascii="Garamond" w:hAnsi="Garamond" w:cstheme="minorHAnsi"/>
          <w:bCs/>
          <w:lang w:val="en-US"/>
        </w:rPr>
      </w:pPr>
    </w:p>
    <w:p w:rsidR="00DC34EF" w:rsidRPr="00DC34EF" w:rsidRDefault="00DC34EF" w:rsidP="00456F4D">
      <w:pPr>
        <w:pStyle w:val="ListParagraph"/>
        <w:numPr>
          <w:ilvl w:val="1"/>
          <w:numId w:val="29"/>
        </w:numPr>
        <w:spacing w:after="0"/>
        <w:jc w:val="both"/>
        <w:rPr>
          <w:rFonts w:ascii="Garamond" w:hAnsi="Garamond" w:cstheme="minorHAnsi"/>
          <w:bCs/>
          <w:sz w:val="24"/>
          <w:szCs w:val="24"/>
        </w:rPr>
      </w:pPr>
      <w:r w:rsidRPr="00DC34EF">
        <w:rPr>
          <w:rFonts w:ascii="Garamond" w:hAnsi="Garamond" w:cstheme="minorHAnsi"/>
          <w:sz w:val="24"/>
          <w:szCs w:val="24"/>
        </w:rPr>
        <w:t>Source</w:t>
      </w:r>
      <w:r w:rsidRPr="00DC34EF">
        <w:rPr>
          <w:rFonts w:ascii="Garamond" w:hAnsi="Garamond" w:cstheme="minorHAnsi"/>
          <w:bCs/>
          <w:sz w:val="24"/>
          <w:szCs w:val="24"/>
        </w:rPr>
        <w:t xml:space="preserve"> &amp; Methodology </w:t>
      </w:r>
    </w:p>
    <w:p w:rsidR="00DC34EF" w:rsidRPr="00DC34EF" w:rsidRDefault="00DC34EF" w:rsidP="00DC34EF">
      <w:pPr>
        <w:ind w:left="360"/>
        <w:jc w:val="both"/>
        <w:rPr>
          <w:rFonts w:ascii="Garamond" w:hAnsi="Garamond" w:cstheme="minorHAnsi"/>
          <w:bCs/>
          <w:lang w:val="en-US"/>
        </w:rPr>
      </w:pPr>
    </w:p>
    <w:p w:rsidR="00DC34EF" w:rsidRPr="00DC34EF" w:rsidRDefault="00DC34EF" w:rsidP="00456F4D">
      <w:pPr>
        <w:pStyle w:val="ListParagraph"/>
        <w:numPr>
          <w:ilvl w:val="2"/>
          <w:numId w:val="29"/>
        </w:numPr>
        <w:spacing w:after="0"/>
        <w:jc w:val="both"/>
        <w:rPr>
          <w:rFonts w:ascii="Garamond" w:hAnsi="Garamond" w:cstheme="minorHAnsi"/>
          <w:bCs/>
          <w:sz w:val="24"/>
          <w:szCs w:val="24"/>
        </w:rPr>
      </w:pPr>
      <w:r w:rsidRPr="00DC34EF">
        <w:rPr>
          <w:rFonts w:ascii="Garamond" w:hAnsi="Garamond" w:cstheme="minorHAnsi"/>
          <w:sz w:val="24"/>
          <w:szCs w:val="24"/>
        </w:rPr>
        <w:t>Data</w:t>
      </w:r>
      <w:r w:rsidRPr="00DC34EF">
        <w:rPr>
          <w:rFonts w:ascii="Garamond" w:hAnsi="Garamond" w:cstheme="minorHAnsi"/>
          <w:bCs/>
          <w:sz w:val="24"/>
          <w:szCs w:val="24"/>
        </w:rPr>
        <w:t xml:space="preserve"> from MIIs and Industry</w:t>
      </w:r>
    </w:p>
    <w:p w:rsidR="00DC34EF" w:rsidRPr="00DC34EF" w:rsidRDefault="00DC34EF" w:rsidP="00456F4D">
      <w:pPr>
        <w:pStyle w:val="ListParagraph"/>
        <w:numPr>
          <w:ilvl w:val="3"/>
          <w:numId w:val="29"/>
        </w:numPr>
        <w:spacing w:after="0" w:line="240" w:lineRule="auto"/>
        <w:jc w:val="both"/>
        <w:rPr>
          <w:rFonts w:ascii="Garamond" w:hAnsi="Garamond" w:cstheme="minorHAnsi"/>
          <w:sz w:val="24"/>
          <w:szCs w:val="24"/>
        </w:rPr>
      </w:pPr>
      <w:r w:rsidRPr="00DC34EF">
        <w:rPr>
          <w:rFonts w:ascii="Garamond" w:hAnsi="Garamond" w:cstheme="minorHAnsi"/>
          <w:sz w:val="24"/>
          <w:szCs w:val="24"/>
        </w:rPr>
        <w:t xml:space="preserve"> Data of paid up equity shares of listed companies was collated from all recognized stock exchanges which have permission to trade in equity shares</w:t>
      </w:r>
      <w:r w:rsidRPr="00DC34EF">
        <w:rPr>
          <w:rStyle w:val="FootnoteReference"/>
          <w:rFonts w:ascii="Garamond" w:hAnsi="Garamond" w:cstheme="minorHAnsi"/>
          <w:sz w:val="24"/>
          <w:szCs w:val="24"/>
        </w:rPr>
        <w:footnoteReference w:id="62"/>
      </w:r>
      <w:r w:rsidRPr="00DC34EF">
        <w:rPr>
          <w:rFonts w:ascii="Garamond" w:hAnsi="Garamond" w:cstheme="minorHAnsi"/>
          <w:sz w:val="24"/>
          <w:szCs w:val="24"/>
        </w:rPr>
        <w:t xml:space="preserve">. This data was de-duplicated by NSDL to arrive at the total number of listed companies. Value of these shares was computed by the Depositories using closing price as on March 31, 2020 or last traded price or face value, in the descending order of availability. Companies that are exclusively listed in Calcutta Stock Exchange Ltd. </w:t>
      </w:r>
      <w:r w:rsidRPr="0032692D">
        <w:rPr>
          <w:rFonts w:ascii="Garamond" w:hAnsi="Garamond" w:cstheme="minorHAnsi"/>
          <w:sz w:val="24"/>
          <w:szCs w:val="24"/>
        </w:rPr>
        <w:t>(CSE</w:t>
      </w:r>
      <w:r w:rsidRPr="00DC34EF">
        <w:rPr>
          <w:rFonts w:ascii="Garamond" w:hAnsi="Garamond" w:cstheme="minorHAnsi"/>
          <w:sz w:val="24"/>
          <w:szCs w:val="24"/>
        </w:rPr>
        <w:t>)</w:t>
      </w:r>
      <w:r w:rsidRPr="00DC34EF">
        <w:rPr>
          <w:rStyle w:val="FootnoteReference"/>
          <w:rFonts w:ascii="Garamond" w:hAnsi="Garamond" w:cstheme="minorHAnsi"/>
          <w:sz w:val="24"/>
          <w:szCs w:val="24"/>
        </w:rPr>
        <w:footnoteReference w:id="63"/>
      </w:r>
      <w:r w:rsidRPr="00DC34EF">
        <w:rPr>
          <w:rFonts w:ascii="Garamond" w:hAnsi="Garamond" w:cstheme="minorHAnsi"/>
          <w:sz w:val="24"/>
          <w:szCs w:val="24"/>
        </w:rPr>
        <w:t xml:space="preserve"> are excluded as there is no trading in it.</w:t>
      </w:r>
    </w:p>
    <w:p w:rsidR="00DC34EF" w:rsidRPr="00DC34EF" w:rsidRDefault="00DC34EF" w:rsidP="0032692D">
      <w:pPr>
        <w:ind w:left="360"/>
        <w:jc w:val="both"/>
        <w:rPr>
          <w:rFonts w:ascii="Garamond" w:hAnsi="Garamond" w:cstheme="minorHAnsi"/>
          <w:lang w:val="en-US"/>
        </w:rPr>
      </w:pPr>
    </w:p>
    <w:p w:rsidR="00DC34EF" w:rsidRPr="00DC34EF" w:rsidRDefault="00DC34EF" w:rsidP="00456F4D">
      <w:pPr>
        <w:pStyle w:val="ListParagraph"/>
        <w:numPr>
          <w:ilvl w:val="3"/>
          <w:numId w:val="29"/>
        </w:numPr>
        <w:spacing w:after="0" w:line="240" w:lineRule="auto"/>
        <w:jc w:val="both"/>
        <w:rPr>
          <w:rFonts w:ascii="Garamond" w:hAnsi="Garamond" w:cstheme="minorHAnsi"/>
          <w:sz w:val="24"/>
          <w:szCs w:val="24"/>
        </w:rPr>
      </w:pPr>
      <w:r w:rsidRPr="00DC34EF">
        <w:rPr>
          <w:rFonts w:ascii="Garamond" w:hAnsi="Garamond" w:cstheme="minorHAnsi"/>
          <w:sz w:val="24"/>
          <w:szCs w:val="24"/>
        </w:rPr>
        <w:t xml:space="preserve">The ISIN numbers pertaining to the shares of listed companies were used by Depositories to segregate distinct demat accounts. In other words, demat accounts which have shares of listed companies alone are segregated. In the obverse, demat accounts which have say, only debt securities or shares of unlisted company, are excluded. Distinct demat account have been identified using PAN; illustratively, a person having 3 accounts – one in sole name and others two accounts with different joint holders, would yield a count of three distinct accounts, although all the 3 accounts will have one of the PAN, common.    </w:t>
      </w:r>
    </w:p>
    <w:p w:rsidR="00DC34EF" w:rsidRPr="00DC34EF" w:rsidRDefault="00DC34EF" w:rsidP="0032692D">
      <w:pPr>
        <w:ind w:left="360"/>
        <w:jc w:val="both"/>
        <w:rPr>
          <w:rFonts w:ascii="Garamond" w:hAnsi="Garamond" w:cstheme="minorHAnsi"/>
          <w:lang w:val="en-US"/>
        </w:rPr>
      </w:pPr>
    </w:p>
    <w:p w:rsidR="00DC34EF" w:rsidRPr="00DC34EF" w:rsidRDefault="00DC34EF" w:rsidP="00456F4D">
      <w:pPr>
        <w:pStyle w:val="ListParagraph"/>
        <w:numPr>
          <w:ilvl w:val="3"/>
          <w:numId w:val="29"/>
        </w:numPr>
        <w:spacing w:after="0" w:line="240" w:lineRule="auto"/>
        <w:jc w:val="both"/>
        <w:rPr>
          <w:rFonts w:ascii="Garamond" w:hAnsi="Garamond" w:cstheme="minorHAnsi"/>
          <w:sz w:val="24"/>
          <w:szCs w:val="24"/>
        </w:rPr>
      </w:pPr>
      <w:r w:rsidRPr="00DC34EF">
        <w:rPr>
          <w:rFonts w:ascii="Garamond" w:hAnsi="Garamond" w:cstheme="minorHAnsi"/>
          <w:sz w:val="24"/>
          <w:szCs w:val="24"/>
        </w:rPr>
        <w:t>From such distinct demat accounts, the accounts that are eligible for having nomination is segregated. Individuals, whether, Resident, NRI, foreign nationals etc. are eligible for nomination, whereas, non-individuals like corporates, HUF, minors etc. are not eligible for nomination. Further, within accounts that are eligible for nomination, data w.r.t. sole and joint accounts, which have and do not have nomination, were obtained. The number of such accounts, and value in each category was computed by both Depositories and compiled by NSDL to provide the aggregate value. Depositories also provided details of shares in demat account transferred to IEPF.</w:t>
      </w:r>
    </w:p>
    <w:p w:rsidR="00DC34EF" w:rsidRPr="00DC34EF" w:rsidRDefault="00DC34EF" w:rsidP="0032692D">
      <w:pPr>
        <w:ind w:left="720"/>
        <w:jc w:val="both"/>
        <w:rPr>
          <w:rFonts w:ascii="Garamond" w:hAnsi="Garamond" w:cstheme="minorHAnsi"/>
          <w:lang w:val="en-US"/>
        </w:rPr>
      </w:pPr>
    </w:p>
    <w:p w:rsidR="00DC34EF" w:rsidRPr="00DC34EF" w:rsidRDefault="00DC34EF" w:rsidP="00456F4D">
      <w:pPr>
        <w:pStyle w:val="ListParagraph"/>
        <w:numPr>
          <w:ilvl w:val="3"/>
          <w:numId w:val="29"/>
        </w:numPr>
        <w:spacing w:after="0" w:line="240" w:lineRule="auto"/>
        <w:jc w:val="both"/>
        <w:rPr>
          <w:rFonts w:ascii="Garamond" w:hAnsi="Garamond" w:cstheme="minorHAnsi"/>
          <w:sz w:val="24"/>
          <w:szCs w:val="24"/>
        </w:rPr>
      </w:pPr>
      <w:r w:rsidRPr="00DC34EF">
        <w:rPr>
          <w:rFonts w:ascii="Garamond" w:hAnsi="Garamond" w:cstheme="minorHAnsi"/>
          <w:sz w:val="24"/>
          <w:szCs w:val="24"/>
        </w:rPr>
        <w:t xml:space="preserve">Data on CR was obtained from Association of Investment Banks of India </w:t>
      </w:r>
      <w:r w:rsidRPr="0032692D">
        <w:rPr>
          <w:rFonts w:ascii="Garamond" w:hAnsi="Garamond" w:cstheme="minorHAnsi"/>
          <w:sz w:val="24"/>
          <w:szCs w:val="24"/>
        </w:rPr>
        <w:t>(AIBI).</w:t>
      </w:r>
      <w:r w:rsidRPr="00DC34EF">
        <w:rPr>
          <w:rFonts w:ascii="Garamond" w:hAnsi="Garamond" w:cstheme="minorHAnsi"/>
          <w:sz w:val="24"/>
          <w:szCs w:val="24"/>
        </w:rPr>
        <w:t xml:space="preserve"> From this list, the stock exchanges provided data on tender offers which took place in their platform.</w:t>
      </w:r>
    </w:p>
    <w:p w:rsidR="00DC34EF" w:rsidRPr="00DC34EF" w:rsidRDefault="00DC34EF" w:rsidP="00DC34EF">
      <w:pPr>
        <w:ind w:left="720"/>
        <w:jc w:val="both"/>
        <w:rPr>
          <w:rFonts w:ascii="Garamond" w:hAnsi="Garamond" w:cstheme="minorHAnsi"/>
          <w:lang w:val="en-US"/>
        </w:rPr>
      </w:pPr>
    </w:p>
    <w:p w:rsidR="00DC34EF" w:rsidRPr="00DC34EF" w:rsidRDefault="00DC34EF" w:rsidP="00456F4D">
      <w:pPr>
        <w:pStyle w:val="ListParagraph"/>
        <w:numPr>
          <w:ilvl w:val="3"/>
          <w:numId w:val="29"/>
        </w:numPr>
        <w:spacing w:after="0"/>
        <w:jc w:val="both"/>
        <w:rPr>
          <w:rFonts w:ascii="Garamond" w:hAnsi="Garamond" w:cstheme="minorHAnsi"/>
          <w:sz w:val="24"/>
          <w:szCs w:val="24"/>
        </w:rPr>
      </w:pPr>
      <w:r w:rsidRPr="00DC34EF">
        <w:rPr>
          <w:rFonts w:ascii="Garamond" w:hAnsi="Garamond" w:cstheme="minorHAnsi"/>
          <w:sz w:val="24"/>
          <w:szCs w:val="24"/>
        </w:rPr>
        <w:t xml:space="preserve">Data pertaining to MFs was collated from AMCs. </w:t>
      </w:r>
    </w:p>
    <w:p w:rsidR="00DC34EF" w:rsidRPr="00DC34EF" w:rsidRDefault="00DC34EF" w:rsidP="00DC34EF">
      <w:pPr>
        <w:jc w:val="both"/>
        <w:rPr>
          <w:rFonts w:ascii="Garamond" w:hAnsi="Garamond" w:cstheme="minorHAnsi"/>
          <w:lang w:val="en-US"/>
        </w:rPr>
      </w:pPr>
    </w:p>
    <w:p w:rsidR="00DC34EF" w:rsidRPr="00DC34EF" w:rsidRDefault="00DC34EF" w:rsidP="00456F4D">
      <w:pPr>
        <w:pStyle w:val="ListParagraph"/>
        <w:numPr>
          <w:ilvl w:val="2"/>
          <w:numId w:val="29"/>
        </w:numPr>
        <w:spacing w:after="0"/>
        <w:jc w:val="both"/>
        <w:rPr>
          <w:rFonts w:ascii="Garamond" w:hAnsi="Garamond" w:cstheme="minorHAnsi"/>
          <w:bCs/>
          <w:sz w:val="24"/>
          <w:szCs w:val="24"/>
        </w:rPr>
      </w:pPr>
      <w:bookmarkStart w:id="56" w:name="_Ref60216805"/>
      <w:r w:rsidRPr="00DC34EF">
        <w:rPr>
          <w:rFonts w:ascii="Garamond" w:hAnsi="Garamond" w:cstheme="minorHAnsi"/>
          <w:bCs/>
          <w:sz w:val="24"/>
          <w:szCs w:val="24"/>
        </w:rPr>
        <w:t>Data from RTAs</w:t>
      </w:r>
      <w:bookmarkEnd w:id="56"/>
      <w:r w:rsidRPr="00DC34EF">
        <w:rPr>
          <w:rFonts w:ascii="Garamond" w:hAnsi="Garamond" w:cstheme="minorHAnsi"/>
          <w:bCs/>
          <w:sz w:val="24"/>
          <w:szCs w:val="24"/>
        </w:rPr>
        <w:t xml:space="preserve"> </w:t>
      </w:r>
    </w:p>
    <w:p w:rsidR="00DC34EF" w:rsidRPr="00DC34EF" w:rsidRDefault="00DC34EF" w:rsidP="00DC34EF">
      <w:pPr>
        <w:ind w:left="720"/>
        <w:jc w:val="both"/>
        <w:rPr>
          <w:rFonts w:ascii="Garamond" w:hAnsi="Garamond" w:cstheme="minorHAnsi"/>
          <w:lang w:val="en-US"/>
        </w:rPr>
      </w:pPr>
      <w:r w:rsidRPr="00DC34EF">
        <w:rPr>
          <w:rFonts w:ascii="Garamond" w:hAnsi="Garamond" w:cstheme="minorHAnsi"/>
          <w:lang w:val="en-US"/>
        </w:rPr>
        <w:t xml:space="preserve">Data on unclaimed assets transferred to IEPF by listed companies, shares held in escrow account and status of nomination in folios, were collated from the RTAs (Data Set I). The template used for demat mode as aforesaid was also used to collate disaggregate data on nomination. Additionally, data on mode of dividend payment and its outcome, availability of bank details and PAN in their folios and flow of shares to / from suspense demat accounts, were collected separately (Data Set II). </w:t>
      </w:r>
    </w:p>
    <w:p w:rsidR="00DC34EF" w:rsidRPr="00DC34EF" w:rsidRDefault="00DC34EF" w:rsidP="00DC34EF">
      <w:pPr>
        <w:jc w:val="both"/>
        <w:rPr>
          <w:rFonts w:ascii="Garamond" w:hAnsi="Garamond" w:cstheme="minorHAnsi"/>
          <w:lang w:val="en-US"/>
        </w:rPr>
      </w:pPr>
    </w:p>
    <w:p w:rsidR="00DC34EF" w:rsidRPr="00DC34EF" w:rsidRDefault="00DC34EF" w:rsidP="00DC34EF">
      <w:pPr>
        <w:jc w:val="both"/>
        <w:rPr>
          <w:rFonts w:ascii="Garamond" w:hAnsi="Garamond" w:cstheme="minorHAnsi"/>
          <w:lang w:val="en-US"/>
        </w:rPr>
      </w:pPr>
    </w:p>
    <w:p w:rsidR="00DC34EF" w:rsidRPr="00DC34EF" w:rsidRDefault="00DC34EF" w:rsidP="00456F4D">
      <w:pPr>
        <w:pStyle w:val="ListParagraph"/>
        <w:numPr>
          <w:ilvl w:val="1"/>
          <w:numId w:val="29"/>
        </w:numPr>
        <w:spacing w:after="0"/>
        <w:jc w:val="both"/>
        <w:rPr>
          <w:rFonts w:ascii="Garamond" w:hAnsi="Garamond" w:cstheme="minorHAnsi"/>
          <w:bCs/>
          <w:sz w:val="24"/>
          <w:szCs w:val="24"/>
        </w:rPr>
      </w:pPr>
      <w:bookmarkStart w:id="57" w:name="_Ref60140983"/>
      <w:r w:rsidRPr="00DC34EF">
        <w:rPr>
          <w:rFonts w:ascii="Garamond" w:hAnsi="Garamond" w:cstheme="minorHAnsi"/>
          <w:sz w:val="24"/>
          <w:szCs w:val="24"/>
        </w:rPr>
        <w:t>Limitations</w:t>
      </w:r>
      <w:bookmarkEnd w:id="57"/>
    </w:p>
    <w:p w:rsidR="00DC34EF" w:rsidRPr="00DC34EF" w:rsidRDefault="00DC34EF" w:rsidP="00456F4D">
      <w:pPr>
        <w:pStyle w:val="ListParagraph"/>
        <w:numPr>
          <w:ilvl w:val="2"/>
          <w:numId w:val="29"/>
        </w:numPr>
        <w:spacing w:after="0" w:line="240" w:lineRule="auto"/>
        <w:jc w:val="both"/>
        <w:rPr>
          <w:rFonts w:ascii="Garamond" w:hAnsi="Garamond" w:cstheme="minorHAnsi"/>
          <w:sz w:val="24"/>
          <w:szCs w:val="24"/>
        </w:rPr>
      </w:pPr>
      <w:r w:rsidRPr="00DC34EF">
        <w:rPr>
          <w:rFonts w:ascii="Garamond" w:hAnsi="Garamond" w:cstheme="minorHAnsi"/>
          <w:sz w:val="24"/>
          <w:szCs w:val="24"/>
        </w:rPr>
        <w:t xml:space="preserve">Out of the 5,226 listed companies, Depositories provided data of 5,174 companies for which ISIN was available. The entire shares and their value of the remaining 52 companies for which ISIN numbers are not available, are considered to be held in physical mode and computed accordingly.     </w:t>
      </w:r>
    </w:p>
    <w:p w:rsidR="00DC34EF" w:rsidRPr="00DC34EF" w:rsidRDefault="00DC34EF" w:rsidP="0032692D">
      <w:pPr>
        <w:ind w:left="360"/>
        <w:jc w:val="both"/>
        <w:rPr>
          <w:rFonts w:ascii="Garamond" w:hAnsi="Garamond" w:cstheme="minorHAnsi"/>
          <w:lang w:val="en-US"/>
        </w:rPr>
      </w:pPr>
    </w:p>
    <w:p w:rsidR="00DC34EF" w:rsidRPr="00DC34EF" w:rsidRDefault="00DC34EF" w:rsidP="00456F4D">
      <w:pPr>
        <w:pStyle w:val="ListParagraph"/>
        <w:numPr>
          <w:ilvl w:val="2"/>
          <w:numId w:val="29"/>
        </w:numPr>
        <w:spacing w:after="0" w:line="240" w:lineRule="auto"/>
        <w:jc w:val="both"/>
        <w:rPr>
          <w:rFonts w:ascii="Garamond" w:hAnsi="Garamond" w:cstheme="minorHAnsi"/>
          <w:sz w:val="24"/>
          <w:szCs w:val="24"/>
        </w:rPr>
      </w:pPr>
      <w:r w:rsidRPr="00DC34EF">
        <w:rPr>
          <w:rFonts w:ascii="Garamond" w:hAnsi="Garamond" w:cstheme="minorHAnsi"/>
          <w:sz w:val="24"/>
          <w:szCs w:val="24"/>
        </w:rPr>
        <w:t>Out of the 71 registered RTAs as on March 31, 2020, 64 of them were required</w:t>
      </w:r>
      <w:r w:rsidRPr="00DC34EF">
        <w:rPr>
          <w:rStyle w:val="FootnoteReference"/>
          <w:rFonts w:ascii="Garamond" w:hAnsi="Garamond" w:cstheme="minorHAnsi"/>
          <w:sz w:val="24"/>
          <w:szCs w:val="24"/>
        </w:rPr>
        <w:footnoteReference w:id="64"/>
      </w:r>
      <w:r w:rsidRPr="00DC34EF">
        <w:rPr>
          <w:rFonts w:ascii="Garamond" w:hAnsi="Garamond" w:cstheme="minorHAnsi"/>
          <w:sz w:val="24"/>
          <w:szCs w:val="24"/>
        </w:rPr>
        <w:t xml:space="preserve"> to provide data on listed companies, but only 31 and 28 RTAs provided complete data within the time line w.r.t. Data Set I &amp; II respectively</w:t>
      </w:r>
      <w:r w:rsidRPr="00DC34EF">
        <w:rPr>
          <w:rStyle w:val="FootnoteReference"/>
          <w:rFonts w:ascii="Garamond" w:hAnsi="Garamond" w:cstheme="minorHAnsi"/>
          <w:sz w:val="24"/>
          <w:szCs w:val="24"/>
        </w:rPr>
        <w:footnoteReference w:id="65"/>
      </w:r>
      <w:r w:rsidRPr="00DC34EF">
        <w:rPr>
          <w:rFonts w:ascii="Garamond" w:hAnsi="Garamond" w:cstheme="minorHAnsi"/>
          <w:sz w:val="24"/>
          <w:szCs w:val="24"/>
        </w:rPr>
        <w:t>.  Hen</w:t>
      </w:r>
      <w:r w:rsidR="0032692D">
        <w:rPr>
          <w:rFonts w:ascii="Garamond" w:hAnsi="Garamond" w:cstheme="minorHAnsi"/>
          <w:sz w:val="24"/>
          <w:szCs w:val="24"/>
        </w:rPr>
        <w:t>ce, the number of listed companies</w:t>
      </w:r>
      <w:r w:rsidRPr="00DC34EF">
        <w:rPr>
          <w:rFonts w:ascii="Garamond" w:hAnsi="Garamond" w:cstheme="minorHAnsi"/>
          <w:sz w:val="24"/>
          <w:szCs w:val="24"/>
        </w:rPr>
        <w:t xml:space="preserve"> for which data is provided by RTAs, is less than the total of listed companies. </w:t>
      </w:r>
    </w:p>
    <w:p w:rsidR="00DC34EF" w:rsidRPr="00DC34EF" w:rsidRDefault="00DC34EF" w:rsidP="0032692D">
      <w:pPr>
        <w:ind w:left="360"/>
        <w:jc w:val="both"/>
        <w:rPr>
          <w:rFonts w:ascii="Garamond" w:hAnsi="Garamond" w:cstheme="minorHAnsi"/>
          <w:lang w:val="en-US"/>
        </w:rPr>
      </w:pPr>
    </w:p>
    <w:p w:rsidR="00DC34EF" w:rsidRPr="00DC34EF" w:rsidRDefault="00DC34EF" w:rsidP="00456F4D">
      <w:pPr>
        <w:pStyle w:val="ListParagraph"/>
        <w:numPr>
          <w:ilvl w:val="2"/>
          <w:numId w:val="29"/>
        </w:numPr>
        <w:spacing w:after="0" w:line="240" w:lineRule="auto"/>
        <w:jc w:val="both"/>
        <w:rPr>
          <w:rFonts w:ascii="Garamond" w:hAnsi="Garamond" w:cstheme="minorHAnsi"/>
          <w:sz w:val="24"/>
          <w:szCs w:val="24"/>
        </w:rPr>
      </w:pPr>
      <w:r w:rsidRPr="00DC34EF">
        <w:rPr>
          <w:rFonts w:ascii="Garamond" w:hAnsi="Garamond" w:cstheme="minorHAnsi"/>
          <w:sz w:val="24"/>
          <w:szCs w:val="24"/>
        </w:rPr>
        <w:t xml:space="preserve">There is discrepancy, albeit minor in the breakup of folios; the aggregate of the folios that are eligible and not eligible for nomination furnished by the RTA does on tally with the total number of folios of listed companies eligible for nomination.  </w:t>
      </w:r>
    </w:p>
    <w:p w:rsidR="00DC34EF" w:rsidRPr="00DC34EF" w:rsidRDefault="00DC34EF" w:rsidP="0032692D">
      <w:pPr>
        <w:pStyle w:val="ListParagraph"/>
        <w:spacing w:line="240" w:lineRule="auto"/>
        <w:rPr>
          <w:rFonts w:ascii="Garamond" w:hAnsi="Garamond" w:cstheme="minorHAnsi"/>
          <w:sz w:val="24"/>
          <w:szCs w:val="24"/>
        </w:rPr>
      </w:pPr>
    </w:p>
    <w:p w:rsidR="00DC34EF" w:rsidRPr="00DC34EF" w:rsidRDefault="00DC34EF" w:rsidP="00456F4D">
      <w:pPr>
        <w:pStyle w:val="ListParagraph"/>
        <w:numPr>
          <w:ilvl w:val="2"/>
          <w:numId w:val="29"/>
        </w:numPr>
        <w:spacing w:after="0" w:line="240" w:lineRule="auto"/>
        <w:jc w:val="both"/>
        <w:rPr>
          <w:rFonts w:ascii="Garamond" w:hAnsi="Garamond" w:cstheme="minorHAnsi"/>
          <w:sz w:val="24"/>
          <w:szCs w:val="24"/>
        </w:rPr>
      </w:pPr>
      <w:r w:rsidRPr="00DC34EF">
        <w:rPr>
          <w:rFonts w:ascii="Garamond" w:hAnsi="Garamond" w:cstheme="minorHAnsi"/>
          <w:sz w:val="24"/>
          <w:szCs w:val="24"/>
        </w:rPr>
        <w:t xml:space="preserve">Data on unclaimed matured debentures transferred to IEPF has been reported as nil by all RTAs [S. 125 (2) (j) of Companies Act, 2013]. Whereas, in the case of one single RTA itself, the interest amount on unclaimed mature debentures transferred to IEPF is Rs. 137.31 crore [S. 125 (2) (k) of Companies Act, 2013]. It is inconceivable that unclaimed interest could be so high, especially so in if the principal amount is nil. Although the above items are dealt in separate sections of the Companies Act, 2013, it appears that the RTAs have misconstrued the </w:t>
      </w:r>
      <w:r w:rsidRPr="00DC34EF">
        <w:rPr>
          <w:rFonts w:ascii="Garamond" w:hAnsi="Garamond" w:cstheme="minorHAnsi"/>
          <w:sz w:val="24"/>
          <w:szCs w:val="24"/>
        </w:rPr>
        <w:lastRenderedPageBreak/>
        <w:t>data requirement and have possibly clubbed these two data under interest payments. Hence,</w:t>
      </w:r>
      <w:r w:rsidR="0032692D">
        <w:rPr>
          <w:rFonts w:ascii="Garamond" w:hAnsi="Garamond" w:cstheme="minorHAnsi"/>
          <w:sz w:val="24"/>
          <w:szCs w:val="24"/>
        </w:rPr>
        <w:t xml:space="preserve"> the figure of unclaimed mature</w:t>
      </w:r>
      <w:r w:rsidRPr="00DC34EF">
        <w:rPr>
          <w:rFonts w:ascii="Garamond" w:hAnsi="Garamond" w:cstheme="minorHAnsi"/>
          <w:sz w:val="24"/>
          <w:szCs w:val="24"/>
        </w:rPr>
        <w:t xml:space="preserve"> debentures is reported as nil. This aspect needs further exploration. </w:t>
      </w:r>
    </w:p>
    <w:p w:rsidR="00DC34EF" w:rsidRPr="00DC34EF" w:rsidRDefault="00DC34EF" w:rsidP="0032692D">
      <w:pPr>
        <w:pStyle w:val="ListParagraph"/>
        <w:spacing w:line="240" w:lineRule="auto"/>
        <w:rPr>
          <w:rFonts w:ascii="Garamond" w:hAnsi="Garamond" w:cstheme="minorHAnsi"/>
          <w:sz w:val="24"/>
          <w:szCs w:val="24"/>
        </w:rPr>
      </w:pPr>
    </w:p>
    <w:p w:rsidR="00DC34EF" w:rsidRPr="00DC34EF" w:rsidRDefault="00DC34EF" w:rsidP="00456F4D">
      <w:pPr>
        <w:pStyle w:val="ListParagraph"/>
        <w:numPr>
          <w:ilvl w:val="2"/>
          <w:numId w:val="29"/>
        </w:numPr>
        <w:spacing w:after="0" w:line="240" w:lineRule="auto"/>
        <w:jc w:val="both"/>
        <w:rPr>
          <w:rFonts w:ascii="Garamond" w:hAnsi="Garamond" w:cstheme="minorHAnsi"/>
          <w:sz w:val="24"/>
          <w:szCs w:val="24"/>
        </w:rPr>
      </w:pPr>
      <w:r w:rsidRPr="00DC34EF">
        <w:rPr>
          <w:rFonts w:ascii="Garamond" w:hAnsi="Garamond" w:cstheme="minorHAnsi"/>
          <w:sz w:val="24"/>
          <w:szCs w:val="24"/>
        </w:rPr>
        <w:t xml:space="preserve">The data on physical and demat shares credited to the unclaimed suspense and demat suspense accounts, respectively, showed too many inconsistencies. As public issuance of securities can be only through demat mode, there is nil possibility of unclaimed physical shares therein. Further, unclaimed demat shares in other issues like bonus, split, consolidation etc., are expected to be residual and the bulk of such unclaimed shares would be in physical mode. Notwithstanding the above, the data furnished by some of the RTAs shows high numbers in demat suspense account. As this aspect needs further exploration and reconciliation, this data is not included in this report. </w:t>
      </w:r>
    </w:p>
    <w:p w:rsidR="00DC34EF" w:rsidRPr="00DC34EF" w:rsidRDefault="00DC34EF" w:rsidP="0032692D">
      <w:pPr>
        <w:ind w:left="720"/>
        <w:jc w:val="both"/>
        <w:rPr>
          <w:rFonts w:ascii="Garamond" w:hAnsi="Garamond" w:cstheme="minorHAnsi"/>
          <w:lang w:val="en-US"/>
        </w:rPr>
      </w:pPr>
    </w:p>
    <w:p w:rsidR="00DC34EF" w:rsidRPr="00DC34EF" w:rsidRDefault="00DC34EF" w:rsidP="00456F4D">
      <w:pPr>
        <w:pStyle w:val="ListParagraph"/>
        <w:numPr>
          <w:ilvl w:val="2"/>
          <w:numId w:val="29"/>
        </w:numPr>
        <w:spacing w:after="0" w:line="240" w:lineRule="auto"/>
        <w:jc w:val="both"/>
        <w:rPr>
          <w:rFonts w:ascii="Garamond" w:hAnsi="Garamond" w:cstheme="minorHAnsi"/>
          <w:sz w:val="24"/>
          <w:szCs w:val="24"/>
        </w:rPr>
      </w:pPr>
      <w:r w:rsidRPr="00DC34EF">
        <w:rPr>
          <w:rFonts w:ascii="Garamond" w:hAnsi="Garamond" w:cstheme="minorHAnsi"/>
          <w:sz w:val="24"/>
          <w:szCs w:val="24"/>
        </w:rPr>
        <w:t>Data on shares transferred to IEPF appear to be under reported. As per media reports</w:t>
      </w:r>
      <w:r w:rsidRPr="00DC34EF">
        <w:rPr>
          <w:rStyle w:val="FootnoteReference"/>
          <w:rFonts w:ascii="Garamond" w:hAnsi="Garamond" w:cstheme="minorHAnsi"/>
          <w:sz w:val="24"/>
          <w:szCs w:val="24"/>
        </w:rPr>
        <w:footnoteReference w:id="66"/>
      </w:r>
      <w:r w:rsidRPr="00DC34EF">
        <w:rPr>
          <w:rFonts w:ascii="Garamond" w:hAnsi="Garamond" w:cstheme="minorHAnsi"/>
          <w:sz w:val="24"/>
          <w:szCs w:val="24"/>
        </w:rPr>
        <w:t xml:space="preserve">, based on reply to RTI query by MCA, the value of shares transferred to IEPF till July 2018 stood at </w:t>
      </w:r>
      <w:r w:rsidRPr="00DC34EF">
        <w:rPr>
          <w:rFonts w:ascii="Times New Roman" w:hAnsi="Times New Roman"/>
          <w:sz w:val="24"/>
          <w:szCs w:val="24"/>
        </w:rPr>
        <w:t>₹</w:t>
      </w:r>
      <w:r w:rsidRPr="00DC34EF">
        <w:rPr>
          <w:rFonts w:ascii="Garamond" w:hAnsi="Garamond" w:cstheme="minorHAnsi"/>
          <w:sz w:val="24"/>
          <w:szCs w:val="24"/>
        </w:rPr>
        <w:t xml:space="preserve">18,870 crore. The aggregate value of shares transferred from beneficial owners’ demat accounts to IEPF is </w:t>
      </w:r>
      <w:r w:rsidRPr="00DC34EF">
        <w:rPr>
          <w:rFonts w:ascii="Times New Roman" w:hAnsi="Times New Roman"/>
          <w:sz w:val="24"/>
          <w:szCs w:val="24"/>
        </w:rPr>
        <w:t>₹</w:t>
      </w:r>
      <w:r w:rsidR="0032692D">
        <w:rPr>
          <w:rFonts w:ascii="Garamond" w:hAnsi="Garamond" w:cstheme="minorHAnsi"/>
          <w:sz w:val="24"/>
          <w:szCs w:val="24"/>
        </w:rPr>
        <w:t>402 crore</w:t>
      </w:r>
      <w:r w:rsidRPr="00DC34EF">
        <w:rPr>
          <w:rFonts w:ascii="Garamond" w:hAnsi="Garamond" w:cstheme="minorHAnsi"/>
          <w:sz w:val="24"/>
          <w:szCs w:val="24"/>
        </w:rPr>
        <w:t xml:space="preserve">, as per the data provided by RTAs. The total number of listed companies for which this data pertains to, is not available. Whereas, the figure provided by the Depositories for the same is </w:t>
      </w:r>
      <w:r w:rsidRPr="00DC34EF">
        <w:rPr>
          <w:rFonts w:ascii="Times New Roman" w:hAnsi="Times New Roman"/>
          <w:sz w:val="24"/>
          <w:szCs w:val="24"/>
        </w:rPr>
        <w:t>₹</w:t>
      </w:r>
      <w:r w:rsidR="0032692D">
        <w:rPr>
          <w:rFonts w:ascii="Garamond" w:hAnsi="Garamond" w:cstheme="minorHAnsi"/>
          <w:sz w:val="24"/>
          <w:szCs w:val="24"/>
        </w:rPr>
        <w:t>12,278 crore</w:t>
      </w:r>
      <w:r w:rsidRPr="00DC34EF">
        <w:rPr>
          <w:rFonts w:ascii="Garamond" w:hAnsi="Garamond" w:cstheme="minorHAnsi"/>
          <w:sz w:val="24"/>
          <w:szCs w:val="24"/>
        </w:rPr>
        <w:t xml:space="preserve"> and it is used in this report. The data furnished by RTAs and Depositories needs further exploration and reconciliation. </w:t>
      </w:r>
    </w:p>
    <w:p w:rsidR="00DC34EF" w:rsidRPr="00DC34EF" w:rsidRDefault="00DC34EF" w:rsidP="0032692D">
      <w:pPr>
        <w:ind w:left="360"/>
        <w:jc w:val="both"/>
        <w:rPr>
          <w:rFonts w:ascii="Garamond" w:hAnsi="Garamond" w:cstheme="minorHAnsi"/>
          <w:lang w:val="en-US"/>
        </w:rPr>
      </w:pPr>
    </w:p>
    <w:p w:rsidR="00DC34EF" w:rsidRPr="00DC34EF" w:rsidRDefault="00DC34EF" w:rsidP="00456F4D">
      <w:pPr>
        <w:pStyle w:val="ListParagraph"/>
        <w:numPr>
          <w:ilvl w:val="2"/>
          <w:numId w:val="29"/>
        </w:numPr>
        <w:spacing w:after="0" w:line="240" w:lineRule="auto"/>
        <w:jc w:val="both"/>
        <w:rPr>
          <w:rFonts w:ascii="Garamond" w:hAnsi="Garamond" w:cstheme="minorHAnsi"/>
          <w:sz w:val="24"/>
          <w:szCs w:val="24"/>
        </w:rPr>
      </w:pPr>
      <w:r w:rsidRPr="00DC34EF">
        <w:rPr>
          <w:rFonts w:ascii="Garamond" w:hAnsi="Garamond" w:cstheme="minorHAnsi"/>
          <w:sz w:val="24"/>
          <w:szCs w:val="24"/>
        </w:rPr>
        <w:t>Since 2016, the data on unclaimed assets transferred to IEPF is required to be filed in MCA-21 Portal of MCA, pertaining to the last seven years. This reconciled data from 2008-09 is readily available in electronic mode with the RTAs.  Whereas unclaimed dividends are transferred to the General Revenue Account of Central Government, from February 01, 1975. Thereafter, w.e.f. October 30, 1998, money is transferred to IEPF is u/s 205 (C) of Companies Act, 1956. Data pertaining to old period has been complied manually and provided by the RTAs and is subject to availability and on a best effort basis. Hence, the data provided by RTAs is treated as estimates.</w:t>
      </w:r>
    </w:p>
    <w:p w:rsidR="00DC34EF" w:rsidRPr="00DC34EF" w:rsidRDefault="00DC34EF" w:rsidP="0032692D">
      <w:pPr>
        <w:ind w:left="360"/>
        <w:jc w:val="both"/>
        <w:rPr>
          <w:rFonts w:ascii="Garamond" w:hAnsi="Garamond" w:cstheme="minorHAnsi"/>
          <w:lang w:val="en-US"/>
        </w:rPr>
      </w:pPr>
    </w:p>
    <w:p w:rsidR="00DC34EF" w:rsidRPr="00DC34EF" w:rsidRDefault="00DC34EF" w:rsidP="00456F4D">
      <w:pPr>
        <w:pStyle w:val="ListParagraph"/>
        <w:numPr>
          <w:ilvl w:val="2"/>
          <w:numId w:val="29"/>
        </w:numPr>
        <w:spacing w:after="0" w:line="240" w:lineRule="auto"/>
        <w:jc w:val="both"/>
        <w:rPr>
          <w:rFonts w:ascii="Garamond" w:hAnsi="Garamond" w:cstheme="minorHAnsi"/>
          <w:sz w:val="24"/>
          <w:szCs w:val="24"/>
        </w:rPr>
      </w:pPr>
      <w:r w:rsidRPr="00DC34EF">
        <w:rPr>
          <w:rFonts w:ascii="Garamond" w:hAnsi="Garamond" w:cstheme="minorHAnsi"/>
          <w:sz w:val="24"/>
          <w:szCs w:val="24"/>
        </w:rPr>
        <w:t xml:space="preserve">The fund transferred to IEPF during the year, represents the amount that became unclaimed seven years ago and to that extent presents the picture on unclaimed assets with this lag.  </w:t>
      </w:r>
    </w:p>
    <w:p w:rsidR="00DC34EF" w:rsidRPr="00DC34EF" w:rsidRDefault="00DC34EF" w:rsidP="0032692D">
      <w:pPr>
        <w:ind w:left="360"/>
        <w:jc w:val="both"/>
        <w:rPr>
          <w:rFonts w:ascii="Garamond" w:hAnsi="Garamond" w:cstheme="minorHAnsi"/>
          <w:lang w:val="en-US"/>
        </w:rPr>
      </w:pPr>
    </w:p>
    <w:p w:rsidR="00DC34EF" w:rsidRPr="00DC34EF" w:rsidRDefault="00DC34EF" w:rsidP="00456F4D">
      <w:pPr>
        <w:pStyle w:val="ListParagraph"/>
        <w:numPr>
          <w:ilvl w:val="2"/>
          <w:numId w:val="29"/>
        </w:numPr>
        <w:spacing w:after="0" w:line="240" w:lineRule="auto"/>
        <w:jc w:val="both"/>
        <w:rPr>
          <w:rFonts w:ascii="Garamond" w:hAnsi="Garamond" w:cstheme="minorHAnsi"/>
          <w:sz w:val="24"/>
          <w:szCs w:val="24"/>
        </w:rPr>
      </w:pPr>
      <w:r w:rsidRPr="00DC34EF">
        <w:rPr>
          <w:rFonts w:ascii="Garamond" w:hAnsi="Garamond" w:cstheme="minorHAnsi"/>
          <w:sz w:val="24"/>
          <w:szCs w:val="24"/>
        </w:rPr>
        <w:t>In some instances, the data on physical shares tendered in CR through stock exchanges (</w:t>
      </w:r>
      <w:r w:rsidRPr="00DC34EF">
        <w:rPr>
          <w:rFonts w:ascii="Garamond" w:hAnsi="Garamond" w:cstheme="minorHAnsi"/>
          <w:sz w:val="24"/>
          <w:szCs w:val="24"/>
        </w:rPr>
        <w:fldChar w:fldCharType="begin"/>
      </w:r>
      <w:r w:rsidRPr="00DC34EF">
        <w:rPr>
          <w:rFonts w:ascii="Garamond" w:hAnsi="Garamond" w:cstheme="minorHAnsi"/>
          <w:sz w:val="24"/>
          <w:szCs w:val="24"/>
        </w:rPr>
        <w:instrText xml:space="preserve"> REF _Ref64458050 \h  \* MERGEFORMAT </w:instrText>
      </w:r>
      <w:r w:rsidRPr="00DC34EF">
        <w:rPr>
          <w:rFonts w:ascii="Garamond" w:hAnsi="Garamond" w:cstheme="minorHAnsi"/>
          <w:sz w:val="24"/>
          <w:szCs w:val="24"/>
        </w:rPr>
      </w:r>
      <w:r w:rsidRPr="00DC34EF">
        <w:rPr>
          <w:rFonts w:ascii="Garamond" w:hAnsi="Garamond" w:cstheme="minorHAnsi"/>
          <w:sz w:val="24"/>
          <w:szCs w:val="24"/>
        </w:rPr>
        <w:fldChar w:fldCharType="separate"/>
      </w:r>
      <w:r w:rsidRPr="00DC34EF">
        <w:rPr>
          <w:rFonts w:ascii="Garamond" w:hAnsi="Garamond" w:cstheme="minorHAnsi"/>
          <w:sz w:val="24"/>
          <w:szCs w:val="24"/>
        </w:rPr>
        <w:t xml:space="preserve">Table </w:t>
      </w:r>
      <w:r w:rsidRPr="00DC34EF">
        <w:rPr>
          <w:rFonts w:ascii="Garamond" w:hAnsi="Garamond" w:cstheme="minorHAnsi"/>
          <w:noProof/>
          <w:sz w:val="24"/>
          <w:szCs w:val="24"/>
        </w:rPr>
        <w:t>12</w:t>
      </w:r>
      <w:r w:rsidRPr="00DC34EF">
        <w:rPr>
          <w:rFonts w:ascii="Garamond" w:hAnsi="Garamond" w:cstheme="minorHAnsi"/>
          <w:sz w:val="24"/>
          <w:szCs w:val="24"/>
        </w:rPr>
        <w:fldChar w:fldCharType="end"/>
      </w:r>
      <w:r w:rsidRPr="00DC34EF">
        <w:rPr>
          <w:rFonts w:ascii="Garamond" w:hAnsi="Garamond" w:cstheme="minorHAnsi"/>
          <w:sz w:val="24"/>
          <w:szCs w:val="24"/>
        </w:rPr>
        <w:t xml:space="preserve">) show that physical shares have been accepted, whereas the column ‘physical shares tendered’, shows nil. Hence, it is felt that data provided in the stock exchange website is not reconciled data; i.e. not reconciled with data from the RTA and hence needs further exploration. </w:t>
      </w:r>
    </w:p>
    <w:p w:rsidR="00DC34EF" w:rsidRPr="00DC34EF" w:rsidRDefault="00DC34EF" w:rsidP="00DC34EF">
      <w:pPr>
        <w:ind w:left="360"/>
        <w:jc w:val="both"/>
        <w:rPr>
          <w:rFonts w:ascii="Garamond" w:hAnsi="Garamond" w:cstheme="minorHAnsi"/>
          <w:lang w:val="en-US"/>
        </w:rPr>
      </w:pPr>
    </w:p>
    <w:p w:rsidR="00DC34EF" w:rsidRPr="00DC34EF" w:rsidRDefault="00DC34EF" w:rsidP="00DC34EF">
      <w:pPr>
        <w:jc w:val="both"/>
        <w:rPr>
          <w:rFonts w:ascii="Garamond" w:hAnsi="Garamond" w:cstheme="minorHAnsi"/>
          <w:lang w:val="en-US"/>
        </w:rPr>
      </w:pPr>
    </w:p>
    <w:p w:rsidR="000C6BCB" w:rsidRDefault="000C6BCB" w:rsidP="002E1041">
      <w:pPr>
        <w:spacing w:after="160" w:line="259" w:lineRule="auto"/>
        <w:rPr>
          <w:rFonts w:ascii="Garamond" w:hAnsi="Garamond" w:cstheme="minorHAnsi"/>
          <w:b/>
          <w:bCs/>
          <w:lang w:val="en-US"/>
        </w:rPr>
      </w:pPr>
      <w:bookmarkStart w:id="58" w:name="_Ref63681403"/>
      <w:bookmarkStart w:id="59" w:name="_Ref63681407"/>
      <w:bookmarkStart w:id="60" w:name="_Ref63681440"/>
      <w:bookmarkStart w:id="61" w:name="_Toc66185874"/>
    </w:p>
    <w:p w:rsidR="000C6BCB" w:rsidRDefault="000C6BCB" w:rsidP="002E1041">
      <w:pPr>
        <w:spacing w:after="160" w:line="259" w:lineRule="auto"/>
        <w:rPr>
          <w:rFonts w:ascii="Garamond" w:hAnsi="Garamond" w:cstheme="minorHAnsi"/>
          <w:b/>
          <w:bCs/>
          <w:lang w:val="en-US"/>
        </w:rPr>
      </w:pPr>
    </w:p>
    <w:p w:rsidR="000C6BCB" w:rsidRDefault="000C6BCB" w:rsidP="002E1041">
      <w:pPr>
        <w:spacing w:after="160" w:line="259" w:lineRule="auto"/>
        <w:rPr>
          <w:rFonts w:ascii="Garamond" w:hAnsi="Garamond" w:cstheme="minorHAnsi"/>
          <w:b/>
          <w:bCs/>
          <w:lang w:val="en-US"/>
        </w:rPr>
      </w:pPr>
    </w:p>
    <w:p w:rsidR="000C6BCB" w:rsidRDefault="000C6BCB" w:rsidP="002E1041">
      <w:pPr>
        <w:spacing w:after="160" w:line="259" w:lineRule="auto"/>
        <w:rPr>
          <w:rFonts w:ascii="Garamond" w:hAnsi="Garamond" w:cstheme="minorHAnsi"/>
          <w:b/>
          <w:bCs/>
          <w:lang w:val="en-US"/>
        </w:rPr>
      </w:pPr>
    </w:p>
    <w:p w:rsidR="00DC34EF" w:rsidRPr="002E1041" w:rsidRDefault="00DC34EF" w:rsidP="002E1041">
      <w:pPr>
        <w:spacing w:after="160" w:line="259" w:lineRule="auto"/>
        <w:rPr>
          <w:rFonts w:ascii="Garamond" w:eastAsiaTheme="majorEastAsia" w:hAnsi="Garamond" w:cstheme="minorHAnsi"/>
          <w:color w:val="2E74B5" w:themeColor="accent1" w:themeShade="BF"/>
          <w:lang w:val="en-US"/>
        </w:rPr>
      </w:pPr>
      <w:r w:rsidRPr="002E1041">
        <w:rPr>
          <w:rFonts w:ascii="Garamond" w:hAnsi="Garamond" w:cstheme="minorHAnsi"/>
          <w:b/>
          <w:bCs/>
          <w:lang w:val="en-US"/>
        </w:rPr>
        <w:lastRenderedPageBreak/>
        <w:t>Annexure – I   Primary Market</w:t>
      </w:r>
      <w:bookmarkEnd w:id="58"/>
      <w:bookmarkEnd w:id="59"/>
      <w:bookmarkEnd w:id="60"/>
      <w:bookmarkEnd w:id="61"/>
    </w:p>
    <w:p w:rsidR="00DC34EF" w:rsidRPr="00DC34EF" w:rsidRDefault="00DC34EF" w:rsidP="00DC34EF">
      <w:pPr>
        <w:jc w:val="both"/>
        <w:rPr>
          <w:rFonts w:ascii="Garamond" w:hAnsi="Garamond" w:cstheme="minorHAnsi"/>
          <w:lang w:val="en-US"/>
        </w:rPr>
      </w:pPr>
    </w:p>
    <w:p w:rsidR="00DC34EF" w:rsidRPr="00DC34EF" w:rsidRDefault="00DC34EF" w:rsidP="00456F4D">
      <w:pPr>
        <w:pStyle w:val="ListParagraph"/>
        <w:numPr>
          <w:ilvl w:val="0"/>
          <w:numId w:val="29"/>
        </w:numPr>
        <w:spacing w:after="0" w:line="240" w:lineRule="auto"/>
        <w:jc w:val="both"/>
        <w:rPr>
          <w:rFonts w:ascii="Garamond" w:hAnsi="Garamond" w:cstheme="minorHAnsi"/>
          <w:bCs/>
          <w:sz w:val="24"/>
          <w:szCs w:val="24"/>
        </w:rPr>
      </w:pPr>
      <w:r w:rsidRPr="00DC34EF">
        <w:rPr>
          <w:rFonts w:ascii="Garamond" w:hAnsi="Garamond" w:cstheme="minorHAnsi"/>
          <w:bCs/>
          <w:sz w:val="24"/>
          <w:szCs w:val="24"/>
        </w:rPr>
        <w:t>IPO, FPO, preferential, QIP, Rights, Offer for sale of Equity, Debt, partly / convertible Debt instruments, warrants etc.</w:t>
      </w:r>
    </w:p>
    <w:p w:rsidR="00DC34EF" w:rsidRPr="00DC34EF" w:rsidRDefault="00DC34EF" w:rsidP="0032692D">
      <w:pPr>
        <w:jc w:val="both"/>
        <w:rPr>
          <w:rFonts w:ascii="Garamond" w:hAnsi="Garamond" w:cstheme="minorHAnsi"/>
          <w:lang w:val="en-US"/>
        </w:rPr>
      </w:pPr>
    </w:p>
    <w:p w:rsidR="00DC34EF" w:rsidRPr="00DC34EF" w:rsidRDefault="00DC34EF" w:rsidP="00456F4D">
      <w:pPr>
        <w:pStyle w:val="ListParagraph"/>
        <w:numPr>
          <w:ilvl w:val="1"/>
          <w:numId w:val="29"/>
        </w:numPr>
        <w:spacing w:after="0" w:line="240" w:lineRule="auto"/>
        <w:jc w:val="both"/>
        <w:rPr>
          <w:rFonts w:ascii="Garamond" w:hAnsi="Garamond" w:cstheme="minorHAnsi"/>
          <w:sz w:val="24"/>
          <w:szCs w:val="24"/>
        </w:rPr>
      </w:pPr>
      <w:r w:rsidRPr="00DC34EF">
        <w:rPr>
          <w:rFonts w:ascii="Garamond" w:hAnsi="Garamond" w:cstheme="minorHAnsi"/>
          <w:sz w:val="24"/>
          <w:szCs w:val="24"/>
        </w:rPr>
        <w:t>Creation / generation of unclaimed assets</w:t>
      </w:r>
    </w:p>
    <w:p w:rsidR="00DC34EF" w:rsidRPr="00DC34EF" w:rsidRDefault="00DC34EF" w:rsidP="00456F4D">
      <w:pPr>
        <w:pStyle w:val="ListParagraph"/>
        <w:numPr>
          <w:ilvl w:val="2"/>
          <w:numId w:val="29"/>
        </w:numPr>
        <w:spacing w:after="0" w:line="240" w:lineRule="auto"/>
        <w:jc w:val="both"/>
        <w:rPr>
          <w:rFonts w:ascii="Garamond" w:hAnsi="Garamond" w:cstheme="minorHAnsi"/>
          <w:sz w:val="24"/>
          <w:szCs w:val="24"/>
        </w:rPr>
      </w:pPr>
      <w:bookmarkStart w:id="62" w:name="_Ref60310896"/>
      <w:r w:rsidRPr="00DC34EF">
        <w:rPr>
          <w:rFonts w:ascii="Garamond" w:hAnsi="Garamond" w:cstheme="minorHAnsi"/>
          <w:sz w:val="24"/>
          <w:szCs w:val="24"/>
        </w:rPr>
        <w:t>Money</w:t>
      </w:r>
      <w:bookmarkEnd w:id="62"/>
    </w:p>
    <w:p w:rsidR="00DC34EF" w:rsidRPr="00DC34EF" w:rsidRDefault="00DC34EF" w:rsidP="0032692D">
      <w:pPr>
        <w:ind w:left="720"/>
        <w:jc w:val="both"/>
        <w:rPr>
          <w:rFonts w:ascii="Garamond" w:hAnsi="Garamond" w:cstheme="minorHAnsi"/>
          <w:lang w:val="en-US"/>
        </w:rPr>
      </w:pPr>
      <w:r w:rsidRPr="00DC34EF">
        <w:rPr>
          <w:rFonts w:ascii="Garamond" w:hAnsi="Garamond" w:cstheme="minorHAnsi"/>
          <w:lang w:val="en-US"/>
        </w:rPr>
        <w:t>Non-receipt of refunds in public issues were a major source of investor grievances. Addressing this, the Application Supported by Blocked Amount (ASBA) mechanism was innovated, wherein the application money is blocked in the bank account of the investor and is debited only upon allotment. The blockade is released if there is no / part allotment. Hence, there is no scope for refund in ASBA. All non-retail applications in Public and Rights Issues are mandated to be made only through ASBA w.e.f. May 02, 2011</w:t>
      </w:r>
      <w:r w:rsidRPr="00DC34EF">
        <w:rPr>
          <w:rStyle w:val="FootnoteReference"/>
          <w:rFonts w:ascii="Garamond" w:hAnsi="Garamond" w:cstheme="minorHAnsi"/>
          <w:lang w:val="en-US"/>
        </w:rPr>
        <w:footnoteReference w:id="67"/>
      </w:r>
      <w:r w:rsidRPr="00DC34EF">
        <w:rPr>
          <w:rFonts w:ascii="Garamond" w:hAnsi="Garamond" w:cstheme="minorHAnsi"/>
          <w:lang w:val="en-US"/>
        </w:rPr>
        <w:t xml:space="preserve">. Thereafter, ASBA has been made mandatory for all applicants in </w:t>
      </w:r>
      <w:r w:rsidR="0032692D">
        <w:rPr>
          <w:rFonts w:ascii="Garamond" w:hAnsi="Garamond" w:cstheme="minorHAnsi"/>
          <w:lang w:val="en-US"/>
        </w:rPr>
        <w:t>p</w:t>
      </w:r>
      <w:r w:rsidRPr="00DC34EF">
        <w:rPr>
          <w:rFonts w:ascii="Garamond" w:hAnsi="Garamond" w:cstheme="minorHAnsi"/>
          <w:lang w:val="en-US"/>
        </w:rPr>
        <w:t xml:space="preserve">ublic and </w:t>
      </w:r>
      <w:r w:rsidR="0032692D">
        <w:rPr>
          <w:rFonts w:ascii="Garamond" w:hAnsi="Garamond" w:cstheme="minorHAnsi"/>
          <w:lang w:val="en-US"/>
        </w:rPr>
        <w:t>r</w:t>
      </w:r>
      <w:r w:rsidRPr="00DC34EF">
        <w:rPr>
          <w:rFonts w:ascii="Garamond" w:hAnsi="Garamond" w:cstheme="minorHAnsi"/>
          <w:lang w:val="en-US"/>
        </w:rPr>
        <w:t>ights issue, w.e.f. January 01, 2016</w:t>
      </w:r>
      <w:r w:rsidRPr="00DC34EF">
        <w:rPr>
          <w:rStyle w:val="FootnoteReference"/>
          <w:rFonts w:ascii="Garamond" w:hAnsi="Garamond" w:cstheme="minorHAnsi"/>
          <w:lang w:val="en-US"/>
        </w:rPr>
        <w:footnoteReference w:id="68"/>
      </w:r>
      <w:r w:rsidRPr="00DC34EF">
        <w:rPr>
          <w:rFonts w:ascii="Garamond" w:hAnsi="Garamond" w:cstheme="minorHAnsi"/>
          <w:lang w:val="en-US"/>
        </w:rPr>
        <w:t>, w</w:t>
      </w:r>
      <w:r w:rsidRPr="00DC34EF">
        <w:rPr>
          <w:rFonts w:ascii="Garamond" w:hAnsi="Garamond" w:cstheme="minorHAnsi"/>
        </w:rPr>
        <w:t>here only one mode of payment is provided in a rights issue</w:t>
      </w:r>
      <w:r w:rsidRPr="00DC34EF">
        <w:rPr>
          <w:rFonts w:ascii="Garamond" w:hAnsi="Garamond" w:cstheme="minorHAnsi"/>
          <w:lang w:val="en-US"/>
        </w:rPr>
        <w:t xml:space="preserve">. The foregoing choice has been removed and w.e.f. February 14, 2020, all applications for </w:t>
      </w:r>
      <w:r w:rsidR="0032692D">
        <w:rPr>
          <w:rFonts w:ascii="Garamond" w:hAnsi="Garamond" w:cstheme="minorHAnsi"/>
          <w:lang w:val="en-US"/>
        </w:rPr>
        <w:t>r</w:t>
      </w:r>
      <w:r w:rsidRPr="00DC34EF">
        <w:rPr>
          <w:rFonts w:ascii="Garamond" w:hAnsi="Garamond" w:cstheme="minorHAnsi"/>
          <w:lang w:val="en-US"/>
        </w:rPr>
        <w:t xml:space="preserve">ights </w:t>
      </w:r>
      <w:r w:rsidR="0032692D">
        <w:rPr>
          <w:rFonts w:ascii="Garamond" w:hAnsi="Garamond" w:cstheme="minorHAnsi"/>
          <w:lang w:val="en-US"/>
        </w:rPr>
        <w:t>i</w:t>
      </w:r>
      <w:r w:rsidRPr="00DC34EF">
        <w:rPr>
          <w:rFonts w:ascii="Garamond" w:hAnsi="Garamond" w:cstheme="minorHAnsi"/>
          <w:lang w:val="en-US"/>
        </w:rPr>
        <w:t>ssue</w:t>
      </w:r>
      <w:r w:rsidRPr="00DC34EF">
        <w:rPr>
          <w:rStyle w:val="FootnoteReference"/>
          <w:rFonts w:ascii="Garamond" w:hAnsi="Garamond" w:cstheme="minorHAnsi"/>
          <w:lang w:val="en-US"/>
        </w:rPr>
        <w:footnoteReference w:id="69"/>
      </w:r>
      <w:r w:rsidRPr="00DC34EF">
        <w:rPr>
          <w:rFonts w:ascii="Garamond" w:hAnsi="Garamond" w:cstheme="minorHAnsi"/>
          <w:lang w:val="en-US"/>
        </w:rPr>
        <w:t xml:space="preserve"> is mandated to be made only through ASBA. The aforesaid is also applicable to FPO.  </w:t>
      </w:r>
    </w:p>
    <w:p w:rsidR="00DC34EF" w:rsidRPr="00DC34EF" w:rsidRDefault="00DC34EF" w:rsidP="0032692D">
      <w:pPr>
        <w:ind w:left="360"/>
        <w:jc w:val="both"/>
        <w:rPr>
          <w:rFonts w:ascii="Garamond" w:hAnsi="Garamond" w:cstheme="minorHAnsi"/>
          <w:lang w:val="en-US"/>
        </w:rPr>
      </w:pPr>
    </w:p>
    <w:p w:rsidR="00DC34EF" w:rsidRPr="00DC34EF" w:rsidRDefault="00DC34EF" w:rsidP="0032692D">
      <w:pPr>
        <w:ind w:left="720"/>
        <w:jc w:val="both"/>
        <w:rPr>
          <w:rFonts w:ascii="Garamond" w:hAnsi="Garamond" w:cstheme="minorHAnsi"/>
          <w:lang w:val="en-US"/>
        </w:rPr>
      </w:pPr>
      <w:r w:rsidRPr="00DC34EF">
        <w:rPr>
          <w:rFonts w:ascii="Garamond" w:hAnsi="Garamond" w:cstheme="minorHAnsi"/>
          <w:lang w:val="en-US"/>
        </w:rPr>
        <w:t>In the case of private placement, preferential allotment and QIP</w:t>
      </w:r>
      <w:r w:rsidR="0032692D">
        <w:rPr>
          <w:rFonts w:ascii="Garamond" w:hAnsi="Garamond" w:cstheme="minorHAnsi"/>
          <w:lang w:val="en-US"/>
        </w:rPr>
        <w:t>,</w:t>
      </w:r>
      <w:r w:rsidRPr="00DC34EF">
        <w:rPr>
          <w:rFonts w:ascii="Garamond" w:hAnsi="Garamond" w:cstheme="minorHAnsi"/>
          <w:lang w:val="en-US"/>
        </w:rPr>
        <w:t xml:space="preserve"> the scope for refunds is inherently negligible as the placement is done only to limited number of investors who are institutions / promoter &amp; promoter group / promoter related entities.   </w:t>
      </w:r>
    </w:p>
    <w:p w:rsidR="00DC34EF" w:rsidRPr="00DC34EF" w:rsidRDefault="00DC34EF" w:rsidP="0032692D">
      <w:pPr>
        <w:tabs>
          <w:tab w:val="left" w:pos="1815"/>
        </w:tabs>
        <w:ind w:left="720"/>
        <w:jc w:val="both"/>
        <w:rPr>
          <w:rFonts w:ascii="Garamond" w:hAnsi="Garamond" w:cstheme="minorHAnsi"/>
          <w:lang w:val="en-US"/>
        </w:rPr>
      </w:pPr>
      <w:r w:rsidRPr="00DC34EF">
        <w:rPr>
          <w:rFonts w:ascii="Garamond" w:hAnsi="Garamond" w:cstheme="minorHAnsi"/>
          <w:lang w:val="en-US"/>
        </w:rPr>
        <w:tab/>
      </w:r>
    </w:p>
    <w:p w:rsidR="00DC34EF" w:rsidRPr="00DC34EF" w:rsidRDefault="00DC34EF" w:rsidP="0032692D">
      <w:pPr>
        <w:ind w:left="720"/>
        <w:jc w:val="both"/>
        <w:rPr>
          <w:rFonts w:ascii="Garamond" w:hAnsi="Garamond" w:cstheme="minorHAnsi"/>
          <w:lang w:val="en-US"/>
        </w:rPr>
      </w:pPr>
      <w:r w:rsidRPr="00DC34EF">
        <w:rPr>
          <w:rFonts w:ascii="Garamond" w:hAnsi="Garamond" w:cstheme="minorHAnsi"/>
          <w:lang w:val="en-US"/>
        </w:rPr>
        <w:t>In an Offer for sale-cum-listing, the promoters of an unlisted company offer their shares for sale through the stock exchange and the company is simultaneously listed. Investors make their payment through their trading member. Unclaimed money of investors with TM, if any, is covered separately under ‘Secondary markets’.</w:t>
      </w:r>
    </w:p>
    <w:p w:rsidR="00DC34EF" w:rsidRPr="00DC34EF" w:rsidRDefault="00DC34EF" w:rsidP="0032692D">
      <w:pPr>
        <w:jc w:val="both"/>
        <w:rPr>
          <w:rFonts w:ascii="Garamond" w:hAnsi="Garamond" w:cstheme="minorHAnsi"/>
          <w:lang w:val="en-US"/>
        </w:rPr>
      </w:pPr>
    </w:p>
    <w:p w:rsidR="00DC34EF" w:rsidRPr="00DC34EF" w:rsidRDefault="00DC34EF" w:rsidP="00456F4D">
      <w:pPr>
        <w:pStyle w:val="ListParagraph"/>
        <w:numPr>
          <w:ilvl w:val="2"/>
          <w:numId w:val="29"/>
        </w:numPr>
        <w:spacing w:after="0" w:line="240" w:lineRule="auto"/>
        <w:jc w:val="both"/>
        <w:rPr>
          <w:rFonts w:ascii="Garamond" w:hAnsi="Garamond" w:cstheme="minorHAnsi"/>
          <w:sz w:val="24"/>
          <w:szCs w:val="24"/>
        </w:rPr>
      </w:pPr>
      <w:bookmarkStart w:id="63" w:name="_Ref60220944"/>
      <w:r w:rsidRPr="00DC34EF">
        <w:rPr>
          <w:rFonts w:ascii="Garamond" w:hAnsi="Garamond" w:cstheme="minorHAnsi"/>
          <w:sz w:val="24"/>
          <w:szCs w:val="24"/>
        </w:rPr>
        <w:t xml:space="preserve">Securities </w:t>
      </w:r>
      <w:bookmarkEnd w:id="63"/>
    </w:p>
    <w:p w:rsidR="00DC34EF" w:rsidRPr="00DC34EF" w:rsidRDefault="00DC34EF" w:rsidP="0032692D">
      <w:pPr>
        <w:ind w:left="720"/>
        <w:jc w:val="both"/>
        <w:rPr>
          <w:rFonts w:ascii="Garamond" w:hAnsi="Garamond" w:cstheme="minorHAnsi"/>
          <w:lang w:val="en-US"/>
        </w:rPr>
      </w:pPr>
      <w:r w:rsidRPr="00DC34EF">
        <w:rPr>
          <w:rFonts w:ascii="Garamond" w:hAnsi="Garamond" w:cstheme="minorHAnsi"/>
          <w:lang w:val="en-US"/>
        </w:rPr>
        <w:t xml:space="preserve">Physical share certificates returning undelivered or being pilfered in transit, used to be the major source of investor grievances. In this regard, </w:t>
      </w:r>
      <w:r w:rsidR="00631936" w:rsidRPr="00DC34EF">
        <w:rPr>
          <w:rFonts w:ascii="Garamond" w:hAnsi="Garamond" w:cstheme="minorHAnsi"/>
          <w:lang w:val="en-US"/>
        </w:rPr>
        <w:t xml:space="preserve">public issue </w:t>
      </w:r>
      <w:r w:rsidRPr="00DC34EF">
        <w:rPr>
          <w:rFonts w:ascii="Garamond" w:hAnsi="Garamond" w:cstheme="minorHAnsi"/>
          <w:lang w:val="en-US"/>
        </w:rPr>
        <w:t>of securities over Rs. 10 crore is mandated to be only in demat mode w.e.f. December 13, 2000</w:t>
      </w:r>
      <w:r w:rsidRPr="00DC34EF">
        <w:rPr>
          <w:rStyle w:val="FootnoteReference"/>
          <w:rFonts w:ascii="Garamond" w:hAnsi="Garamond" w:cstheme="minorHAnsi"/>
          <w:lang w:val="en-US"/>
        </w:rPr>
        <w:footnoteReference w:id="70"/>
      </w:r>
      <w:r w:rsidRPr="00DC34EF">
        <w:rPr>
          <w:rFonts w:ascii="Garamond" w:hAnsi="Garamond" w:cstheme="minorHAnsi"/>
          <w:lang w:val="en-US"/>
        </w:rPr>
        <w:t>. This size restriction was removed w.e.f. September 12, 2013</w:t>
      </w:r>
      <w:r w:rsidRPr="00DC34EF">
        <w:rPr>
          <w:rStyle w:val="FootnoteReference"/>
          <w:rFonts w:ascii="Garamond" w:hAnsi="Garamond" w:cstheme="minorHAnsi"/>
          <w:lang w:val="en-US"/>
        </w:rPr>
        <w:footnoteReference w:id="71"/>
      </w:r>
      <w:r w:rsidRPr="00DC34EF">
        <w:rPr>
          <w:rFonts w:ascii="Garamond" w:hAnsi="Garamond" w:cstheme="minorHAnsi"/>
          <w:lang w:val="en-US"/>
        </w:rPr>
        <w:t xml:space="preserve">  and all </w:t>
      </w:r>
      <w:r w:rsidR="00631936" w:rsidRPr="00DC34EF">
        <w:rPr>
          <w:rFonts w:ascii="Garamond" w:hAnsi="Garamond" w:cstheme="minorHAnsi"/>
          <w:lang w:val="en-US"/>
        </w:rPr>
        <w:t xml:space="preserve">public issue </w:t>
      </w:r>
      <w:r w:rsidRPr="00DC34EF">
        <w:rPr>
          <w:rFonts w:ascii="Garamond" w:hAnsi="Garamond" w:cstheme="minorHAnsi"/>
          <w:lang w:val="en-US"/>
        </w:rPr>
        <w:t xml:space="preserve">of securities is required to be done only in demat mode.  Rights </w:t>
      </w:r>
      <w:r w:rsidR="00631936">
        <w:rPr>
          <w:rFonts w:ascii="Garamond" w:hAnsi="Garamond" w:cstheme="minorHAnsi"/>
          <w:lang w:val="en-US"/>
        </w:rPr>
        <w:t>i</w:t>
      </w:r>
      <w:r w:rsidRPr="00DC34EF">
        <w:rPr>
          <w:rFonts w:ascii="Garamond" w:hAnsi="Garamond" w:cstheme="minorHAnsi"/>
          <w:lang w:val="en-US"/>
        </w:rPr>
        <w:t>ssues are required to be done only in demat mode w.e.f. December 26, 2019</w:t>
      </w:r>
      <w:r w:rsidRPr="00DC34EF">
        <w:rPr>
          <w:rStyle w:val="FootnoteReference"/>
          <w:rFonts w:ascii="Garamond" w:hAnsi="Garamond" w:cstheme="minorHAnsi"/>
          <w:lang w:val="en-US"/>
        </w:rPr>
        <w:footnoteReference w:id="72"/>
      </w:r>
      <w:r w:rsidRPr="00DC34EF">
        <w:rPr>
          <w:rFonts w:ascii="Garamond" w:hAnsi="Garamond" w:cstheme="minorHAnsi"/>
          <w:lang w:val="en-US"/>
        </w:rPr>
        <w:t xml:space="preserve">. </w:t>
      </w:r>
    </w:p>
    <w:p w:rsidR="00DC34EF" w:rsidRPr="00DC34EF" w:rsidRDefault="00DC34EF" w:rsidP="0032692D">
      <w:pPr>
        <w:jc w:val="both"/>
        <w:rPr>
          <w:rFonts w:ascii="Garamond" w:hAnsi="Garamond" w:cstheme="minorHAnsi"/>
          <w:lang w:val="en-US"/>
        </w:rPr>
      </w:pPr>
    </w:p>
    <w:p w:rsidR="00DC34EF" w:rsidRPr="00DC34EF" w:rsidRDefault="00DC34EF" w:rsidP="0032692D">
      <w:pPr>
        <w:ind w:left="720"/>
        <w:jc w:val="both"/>
        <w:rPr>
          <w:rFonts w:ascii="Garamond" w:hAnsi="Garamond" w:cstheme="minorHAnsi"/>
          <w:lang w:val="en-US"/>
        </w:rPr>
      </w:pPr>
      <w:r w:rsidRPr="00DC34EF">
        <w:rPr>
          <w:rFonts w:ascii="Garamond" w:hAnsi="Garamond" w:cstheme="minorHAnsi"/>
          <w:lang w:val="en-US"/>
        </w:rPr>
        <w:t xml:space="preserve">Given its very nature, as described earlier, private placement, preferential allotment and QIP are done in demat mode only.   </w:t>
      </w:r>
    </w:p>
    <w:p w:rsidR="00DC34EF" w:rsidRPr="00DC34EF" w:rsidRDefault="00DC34EF" w:rsidP="0032692D">
      <w:pPr>
        <w:ind w:left="720"/>
        <w:jc w:val="both"/>
        <w:rPr>
          <w:rFonts w:ascii="Garamond" w:hAnsi="Garamond" w:cstheme="minorHAnsi"/>
          <w:lang w:val="en-US"/>
        </w:rPr>
      </w:pPr>
    </w:p>
    <w:p w:rsidR="00DC34EF" w:rsidRPr="00DC34EF" w:rsidRDefault="00DC34EF" w:rsidP="0032692D">
      <w:pPr>
        <w:ind w:left="720"/>
        <w:jc w:val="both"/>
        <w:rPr>
          <w:rFonts w:ascii="Garamond" w:hAnsi="Garamond" w:cstheme="minorHAnsi"/>
          <w:lang w:val="en-US"/>
        </w:rPr>
      </w:pPr>
      <w:r w:rsidRPr="00DC34EF">
        <w:rPr>
          <w:rFonts w:ascii="Garamond" w:hAnsi="Garamond" w:cstheme="minorHAnsi"/>
          <w:lang w:val="en-US"/>
        </w:rPr>
        <w:t xml:space="preserve">Unclaimed securities can still be generated when the demat account number provided in the application form is incorrect, invalid or if it is inactive or frozen, at the time of crediting the shares. </w:t>
      </w:r>
    </w:p>
    <w:p w:rsidR="00DC34EF" w:rsidRPr="00DC34EF" w:rsidRDefault="00DC34EF" w:rsidP="00DC34EF">
      <w:pPr>
        <w:jc w:val="both"/>
        <w:rPr>
          <w:rFonts w:ascii="Garamond" w:hAnsi="Garamond" w:cstheme="minorHAnsi"/>
          <w:lang w:val="en-US"/>
        </w:rPr>
      </w:pPr>
    </w:p>
    <w:p w:rsidR="00DC34EF" w:rsidRPr="00DC34EF" w:rsidRDefault="00DC34EF" w:rsidP="00456F4D">
      <w:pPr>
        <w:pStyle w:val="ListParagraph"/>
        <w:numPr>
          <w:ilvl w:val="1"/>
          <w:numId w:val="29"/>
        </w:numPr>
        <w:spacing w:after="0"/>
        <w:jc w:val="both"/>
        <w:rPr>
          <w:rFonts w:ascii="Garamond" w:hAnsi="Garamond" w:cstheme="minorHAnsi"/>
          <w:sz w:val="24"/>
          <w:szCs w:val="24"/>
        </w:rPr>
      </w:pPr>
      <w:r w:rsidRPr="00DC34EF">
        <w:rPr>
          <w:rFonts w:ascii="Garamond" w:hAnsi="Garamond" w:cstheme="minorHAnsi"/>
          <w:sz w:val="24"/>
          <w:szCs w:val="24"/>
        </w:rPr>
        <w:t xml:space="preserve">Legal and regulatory provisions available to protect the investors </w:t>
      </w:r>
    </w:p>
    <w:p w:rsidR="00DC34EF" w:rsidRPr="00DC34EF" w:rsidRDefault="00DC34EF" w:rsidP="00DC34EF">
      <w:pPr>
        <w:ind w:left="360"/>
        <w:jc w:val="both"/>
        <w:rPr>
          <w:rFonts w:ascii="Garamond" w:hAnsi="Garamond" w:cstheme="minorHAnsi"/>
          <w:lang w:val="en-US"/>
        </w:rPr>
      </w:pPr>
      <w:r w:rsidRPr="00DC34EF">
        <w:rPr>
          <w:rFonts w:ascii="Garamond" w:hAnsi="Garamond" w:cstheme="minorHAnsi"/>
          <w:lang w:val="en-US"/>
        </w:rPr>
        <w:lastRenderedPageBreak/>
        <w:t xml:space="preserve">Unclaimed application money is required to be transferred to the IEPF w.e.f. October 31, 1998 u/s 205 C (2) (b) of Companies Act, 1956. Accrued interest on this is also transferred to IEPF u/s 205 C (2) (e) of this Act. The aforesaid obligations continue to be in force u/s 125 (2) (h) &amp; (k) of The Companies Act, 2013, respectively, w.e.f. September 07, 2016. </w:t>
      </w:r>
    </w:p>
    <w:p w:rsidR="00DC34EF" w:rsidRPr="00DC34EF" w:rsidRDefault="00DC34EF" w:rsidP="00DC34EF">
      <w:pPr>
        <w:ind w:left="360"/>
        <w:jc w:val="both"/>
        <w:rPr>
          <w:rFonts w:ascii="Garamond" w:hAnsi="Garamond" w:cstheme="minorHAnsi"/>
          <w:lang w:val="en-US"/>
        </w:rPr>
      </w:pPr>
    </w:p>
    <w:p w:rsidR="00A20B1A" w:rsidRPr="00DC34EF" w:rsidRDefault="00DC34EF" w:rsidP="000C6BCB">
      <w:pPr>
        <w:ind w:left="360"/>
        <w:jc w:val="both"/>
        <w:rPr>
          <w:rFonts w:ascii="Garamond" w:hAnsi="Garamond" w:cstheme="minorHAnsi"/>
          <w:lang w:val="en-US"/>
        </w:rPr>
      </w:pPr>
      <w:r w:rsidRPr="00DC34EF">
        <w:rPr>
          <w:rFonts w:ascii="Garamond" w:hAnsi="Garamond" w:cstheme="minorHAnsi"/>
          <w:lang w:val="en-US"/>
        </w:rPr>
        <w:t xml:space="preserve">Provisions on securities are covered in the chapter, ‘Introduction’ (paragraph </w:t>
      </w:r>
      <w:r w:rsidRPr="00DC34EF">
        <w:rPr>
          <w:rFonts w:ascii="Garamond" w:hAnsi="Garamond" w:cstheme="minorHAnsi"/>
          <w:lang w:val="en-US"/>
        </w:rPr>
        <w:fldChar w:fldCharType="begin"/>
      </w:r>
      <w:r w:rsidRPr="00DC34EF">
        <w:rPr>
          <w:rFonts w:ascii="Garamond" w:hAnsi="Garamond" w:cstheme="minorHAnsi"/>
          <w:lang w:val="en-US"/>
        </w:rPr>
        <w:instrText xml:space="preserve"> REF _Ref64730171 \r \h  \* MERGEFORMAT </w:instrText>
      </w:r>
      <w:r w:rsidRPr="00DC34EF">
        <w:rPr>
          <w:rFonts w:ascii="Garamond" w:hAnsi="Garamond" w:cstheme="minorHAnsi"/>
          <w:lang w:val="en-US"/>
        </w:rPr>
      </w:r>
      <w:r w:rsidRPr="00DC34EF">
        <w:rPr>
          <w:rFonts w:ascii="Garamond" w:hAnsi="Garamond" w:cstheme="minorHAnsi"/>
          <w:lang w:val="en-US"/>
        </w:rPr>
        <w:fldChar w:fldCharType="separate"/>
      </w:r>
      <w:r w:rsidRPr="00DC34EF">
        <w:rPr>
          <w:rFonts w:ascii="Garamond" w:hAnsi="Garamond" w:cstheme="minorHAnsi"/>
          <w:lang w:val="en-US"/>
        </w:rPr>
        <w:t>5.3</w:t>
      </w:r>
      <w:r w:rsidRPr="00DC34EF">
        <w:rPr>
          <w:rFonts w:ascii="Garamond" w:hAnsi="Garamond" w:cstheme="minorHAnsi"/>
          <w:lang w:val="en-US"/>
        </w:rPr>
        <w:fldChar w:fldCharType="end"/>
      </w:r>
      <w:r w:rsidRPr="00DC34EF">
        <w:rPr>
          <w:rFonts w:ascii="Garamond" w:hAnsi="Garamond" w:cstheme="minorHAnsi"/>
          <w:lang w:val="en-US"/>
        </w:rPr>
        <w:t xml:space="preserve">). IEPF filing and claims are covered in the chapter, ‘Holding of Securities’ (paragraph </w:t>
      </w:r>
      <w:r w:rsidRPr="00DC34EF">
        <w:rPr>
          <w:rFonts w:ascii="Garamond" w:hAnsi="Garamond" w:cstheme="minorHAnsi"/>
          <w:lang w:val="en-US"/>
        </w:rPr>
        <w:fldChar w:fldCharType="begin"/>
      </w:r>
      <w:r w:rsidRPr="00DC34EF">
        <w:rPr>
          <w:rFonts w:ascii="Garamond" w:hAnsi="Garamond" w:cstheme="minorHAnsi"/>
          <w:lang w:val="en-US"/>
        </w:rPr>
        <w:instrText xml:space="preserve"> REF _Ref65834666 \r \h  \* MERGEFORMAT </w:instrText>
      </w:r>
      <w:r w:rsidRPr="00DC34EF">
        <w:rPr>
          <w:rFonts w:ascii="Garamond" w:hAnsi="Garamond" w:cstheme="minorHAnsi"/>
          <w:lang w:val="en-US"/>
        </w:rPr>
      </w:r>
      <w:r w:rsidRPr="00DC34EF">
        <w:rPr>
          <w:rFonts w:ascii="Garamond" w:hAnsi="Garamond" w:cstheme="minorHAnsi"/>
          <w:lang w:val="en-US"/>
        </w:rPr>
        <w:fldChar w:fldCharType="separate"/>
      </w:r>
      <w:r w:rsidRPr="00DC34EF">
        <w:rPr>
          <w:rFonts w:ascii="Garamond" w:hAnsi="Garamond" w:cstheme="minorHAnsi"/>
          <w:lang w:val="en-US"/>
        </w:rPr>
        <w:t>1.7.3</w:t>
      </w:r>
      <w:r w:rsidRPr="00DC34EF">
        <w:rPr>
          <w:rFonts w:ascii="Garamond" w:hAnsi="Garamond" w:cstheme="minorHAnsi"/>
          <w:lang w:val="en-US"/>
        </w:rPr>
        <w:fldChar w:fldCharType="end"/>
      </w:r>
      <w:r w:rsidRPr="00DC34EF">
        <w:rPr>
          <w:rFonts w:ascii="Garamond" w:hAnsi="Garamond" w:cstheme="minorHAnsi"/>
          <w:lang w:val="en-US"/>
        </w:rPr>
        <w:t xml:space="preserve">). </w:t>
      </w:r>
    </w:p>
    <w:p w:rsidR="00DC34EF" w:rsidRPr="00DC34EF" w:rsidRDefault="00DC34EF" w:rsidP="00DC34EF">
      <w:pPr>
        <w:jc w:val="both"/>
        <w:rPr>
          <w:rFonts w:ascii="Garamond" w:hAnsi="Garamond" w:cstheme="minorHAnsi"/>
          <w:lang w:val="en-US"/>
        </w:rPr>
      </w:pPr>
    </w:p>
    <w:p w:rsidR="00DC34EF" w:rsidRPr="00DC34EF" w:rsidRDefault="00DC34EF" w:rsidP="00456F4D">
      <w:pPr>
        <w:pStyle w:val="ListParagraph"/>
        <w:numPr>
          <w:ilvl w:val="1"/>
          <w:numId w:val="29"/>
        </w:numPr>
        <w:spacing w:after="0"/>
        <w:jc w:val="both"/>
        <w:rPr>
          <w:rFonts w:ascii="Garamond" w:hAnsi="Garamond" w:cstheme="minorHAnsi"/>
          <w:sz w:val="24"/>
          <w:szCs w:val="24"/>
        </w:rPr>
      </w:pPr>
      <w:r w:rsidRPr="00DC34EF">
        <w:rPr>
          <w:rFonts w:ascii="Garamond" w:hAnsi="Garamond" w:cstheme="minorHAnsi"/>
          <w:sz w:val="24"/>
          <w:szCs w:val="24"/>
        </w:rPr>
        <w:t>Extent and size of unclaimed assets</w:t>
      </w:r>
    </w:p>
    <w:p w:rsidR="00DC34EF" w:rsidRPr="00DC34EF" w:rsidRDefault="00DC34EF" w:rsidP="000C6BCB">
      <w:pPr>
        <w:jc w:val="both"/>
        <w:rPr>
          <w:rFonts w:ascii="Garamond" w:hAnsi="Garamond" w:cstheme="minorHAnsi"/>
          <w:lang w:val="en-US"/>
        </w:rPr>
      </w:pPr>
      <w:r w:rsidRPr="00DC34EF">
        <w:rPr>
          <w:rFonts w:ascii="Garamond" w:hAnsi="Garamond" w:cstheme="minorHAnsi"/>
          <w:lang w:val="en-US"/>
        </w:rPr>
        <w:t>Based on the data collated from RTAs</w:t>
      </w:r>
      <w:r w:rsidRPr="00DC34EF">
        <w:rPr>
          <w:rStyle w:val="FootnoteReference"/>
          <w:rFonts w:ascii="Garamond" w:hAnsi="Garamond" w:cstheme="minorHAnsi"/>
          <w:lang w:val="en-US"/>
        </w:rPr>
        <w:footnoteReference w:id="73"/>
      </w:r>
      <w:r w:rsidRPr="00DC34EF">
        <w:rPr>
          <w:rFonts w:ascii="Garamond" w:hAnsi="Garamond" w:cstheme="minorHAnsi"/>
          <w:lang w:val="en-US"/>
        </w:rPr>
        <w:t xml:space="preserve">, it is estimated that as on March 31, 2020, </w:t>
      </w:r>
      <w:r w:rsidRPr="00DC34EF">
        <w:rPr>
          <w:rFonts w:ascii="Times New Roman" w:hAnsi="Times New Roman"/>
          <w:lang w:val="en-US"/>
        </w:rPr>
        <w:t>₹</w:t>
      </w:r>
      <w:r w:rsidRPr="00DC34EF">
        <w:rPr>
          <w:rFonts w:ascii="Garamond" w:hAnsi="Garamond" w:cstheme="minorHAnsi"/>
          <w:lang w:val="en-US"/>
        </w:rPr>
        <w:t xml:space="preserve">0.68 crore has been transferred by listed companies to the IEPF as unclaimed application money. </w:t>
      </w:r>
    </w:p>
    <w:p w:rsidR="00631936" w:rsidRDefault="00631936" w:rsidP="00631936">
      <w:pPr>
        <w:pStyle w:val="Heading1"/>
        <w:rPr>
          <w:rFonts w:eastAsiaTheme="minorHAnsi" w:cstheme="minorHAnsi"/>
          <w:bCs w:val="0"/>
          <w:szCs w:val="24"/>
          <w:lang w:val="en-US"/>
        </w:rPr>
      </w:pPr>
      <w:bookmarkStart w:id="64" w:name="_Ref63676506"/>
      <w:bookmarkStart w:id="65" w:name="_Ref64718931"/>
      <w:bookmarkStart w:id="66" w:name="_Toc66185875"/>
    </w:p>
    <w:p w:rsidR="00DC34EF" w:rsidRPr="00631936" w:rsidRDefault="00DC34EF" w:rsidP="00631936">
      <w:pPr>
        <w:pStyle w:val="Heading1"/>
        <w:rPr>
          <w:rFonts w:cstheme="minorHAnsi"/>
          <w:b/>
          <w:bCs w:val="0"/>
          <w:szCs w:val="24"/>
          <w:lang w:val="en-US"/>
        </w:rPr>
      </w:pPr>
      <w:r w:rsidRPr="00631936">
        <w:rPr>
          <w:rFonts w:cstheme="minorHAnsi"/>
          <w:b/>
          <w:bCs w:val="0"/>
          <w:szCs w:val="24"/>
          <w:lang w:val="en-US"/>
        </w:rPr>
        <w:t>Annexure – II   Corporate Restructuring</w:t>
      </w:r>
      <w:bookmarkEnd w:id="64"/>
      <w:bookmarkEnd w:id="65"/>
      <w:bookmarkEnd w:id="66"/>
    </w:p>
    <w:p w:rsidR="00DC34EF" w:rsidRPr="00DC34EF" w:rsidRDefault="00DC34EF" w:rsidP="00DC34EF">
      <w:pPr>
        <w:jc w:val="both"/>
        <w:rPr>
          <w:rFonts w:ascii="Garamond" w:hAnsi="Garamond" w:cstheme="minorHAnsi"/>
          <w:lang w:val="en-US"/>
        </w:rPr>
      </w:pPr>
    </w:p>
    <w:p w:rsidR="00DC34EF" w:rsidRPr="00DC34EF" w:rsidRDefault="00DC34EF" w:rsidP="00456F4D">
      <w:pPr>
        <w:pStyle w:val="ListParagraph"/>
        <w:numPr>
          <w:ilvl w:val="0"/>
          <w:numId w:val="29"/>
        </w:numPr>
        <w:spacing w:after="0"/>
        <w:jc w:val="both"/>
        <w:rPr>
          <w:rFonts w:ascii="Garamond" w:hAnsi="Garamond" w:cstheme="minorHAnsi"/>
          <w:sz w:val="24"/>
          <w:szCs w:val="24"/>
        </w:rPr>
      </w:pPr>
      <w:r w:rsidRPr="00DC34EF">
        <w:rPr>
          <w:rFonts w:ascii="Garamond" w:hAnsi="Garamond" w:cstheme="minorHAnsi"/>
          <w:sz w:val="24"/>
          <w:szCs w:val="24"/>
        </w:rPr>
        <w:t>Buy-back, Delisting and Substantial Acquisition of Shares &amp; Takeovers (SAST)</w:t>
      </w:r>
    </w:p>
    <w:p w:rsidR="00DC34EF" w:rsidRPr="00DC34EF" w:rsidRDefault="00DC34EF" w:rsidP="00631936">
      <w:pPr>
        <w:jc w:val="both"/>
        <w:rPr>
          <w:rFonts w:ascii="Garamond" w:hAnsi="Garamond" w:cstheme="minorHAnsi"/>
          <w:lang w:val="en-US"/>
        </w:rPr>
      </w:pPr>
    </w:p>
    <w:p w:rsidR="00DC34EF" w:rsidRPr="00DC34EF" w:rsidRDefault="00DC34EF" w:rsidP="00456F4D">
      <w:pPr>
        <w:pStyle w:val="ListParagraph"/>
        <w:numPr>
          <w:ilvl w:val="1"/>
          <w:numId w:val="29"/>
        </w:numPr>
        <w:spacing w:after="0" w:line="240" w:lineRule="auto"/>
        <w:jc w:val="both"/>
        <w:rPr>
          <w:rFonts w:ascii="Garamond" w:hAnsi="Garamond" w:cstheme="minorHAnsi"/>
          <w:sz w:val="24"/>
          <w:szCs w:val="24"/>
        </w:rPr>
      </w:pPr>
      <w:r w:rsidRPr="00DC34EF">
        <w:rPr>
          <w:rFonts w:ascii="Garamond" w:hAnsi="Garamond" w:cstheme="minorHAnsi"/>
          <w:sz w:val="24"/>
          <w:szCs w:val="24"/>
        </w:rPr>
        <w:t xml:space="preserve">In corporate restructuring </w:t>
      </w:r>
      <w:r w:rsidRPr="00631936">
        <w:rPr>
          <w:rFonts w:ascii="Garamond" w:hAnsi="Garamond" w:cstheme="minorHAnsi"/>
          <w:sz w:val="24"/>
          <w:szCs w:val="24"/>
        </w:rPr>
        <w:t>(CR)</w:t>
      </w:r>
      <w:r w:rsidRPr="00DC34EF">
        <w:rPr>
          <w:rFonts w:ascii="Garamond" w:hAnsi="Garamond" w:cstheme="minorHAnsi"/>
          <w:sz w:val="24"/>
          <w:szCs w:val="24"/>
        </w:rPr>
        <w:t xml:space="preserve"> the shareholders have the option to tender their shares to the company, promoter or acquirer, as the case may be. In return they are entitled for consideration or part / full return of their shares, depending on the extent of its acceptance. As much as dividend payments are unsuccessful or </w:t>
      </w:r>
      <w:r w:rsidRPr="00A20B1A">
        <w:rPr>
          <w:rFonts w:ascii="Garamond" w:hAnsi="Garamond" w:cstheme="minorHAnsi"/>
          <w:sz w:val="24"/>
          <w:szCs w:val="24"/>
        </w:rPr>
        <w:t>corresponden</w:t>
      </w:r>
      <w:r w:rsidR="00631936" w:rsidRPr="00A20B1A">
        <w:rPr>
          <w:rFonts w:ascii="Garamond" w:hAnsi="Garamond" w:cstheme="minorHAnsi"/>
          <w:sz w:val="24"/>
          <w:szCs w:val="24"/>
        </w:rPr>
        <w:t>ce</w:t>
      </w:r>
      <w:r w:rsidRPr="00A20B1A">
        <w:rPr>
          <w:rFonts w:ascii="Garamond" w:hAnsi="Garamond" w:cstheme="minorHAnsi"/>
          <w:sz w:val="24"/>
          <w:szCs w:val="24"/>
        </w:rPr>
        <w:t xml:space="preserve"> to investors</w:t>
      </w:r>
      <w:r w:rsidRPr="00DC34EF">
        <w:rPr>
          <w:rFonts w:ascii="Garamond" w:hAnsi="Garamond" w:cstheme="minorHAnsi"/>
          <w:sz w:val="24"/>
          <w:szCs w:val="24"/>
        </w:rPr>
        <w:t xml:space="preserve"> return undelivered, there is scope for unclaimed moneys and physical securities in CR too. </w:t>
      </w:r>
    </w:p>
    <w:p w:rsidR="00DC34EF" w:rsidRPr="00DC34EF" w:rsidRDefault="00DC34EF" w:rsidP="00631936">
      <w:pPr>
        <w:jc w:val="both"/>
        <w:rPr>
          <w:rFonts w:ascii="Garamond" w:hAnsi="Garamond" w:cstheme="minorHAnsi"/>
          <w:lang w:val="en-US"/>
        </w:rPr>
      </w:pPr>
      <w:r w:rsidRPr="00DC34EF">
        <w:rPr>
          <w:rFonts w:ascii="Garamond" w:hAnsi="Garamond" w:cstheme="minorHAnsi"/>
          <w:lang w:val="en-US"/>
        </w:rPr>
        <w:t xml:space="preserve"> </w:t>
      </w:r>
    </w:p>
    <w:p w:rsidR="00DC34EF" w:rsidRPr="00DC34EF" w:rsidRDefault="00DC34EF" w:rsidP="00456F4D">
      <w:pPr>
        <w:pStyle w:val="ListParagraph"/>
        <w:numPr>
          <w:ilvl w:val="1"/>
          <w:numId w:val="29"/>
        </w:numPr>
        <w:spacing w:after="0" w:line="240" w:lineRule="auto"/>
        <w:jc w:val="both"/>
        <w:rPr>
          <w:rFonts w:ascii="Garamond" w:hAnsi="Garamond" w:cstheme="minorHAnsi"/>
          <w:sz w:val="24"/>
          <w:szCs w:val="24"/>
        </w:rPr>
      </w:pPr>
      <w:r w:rsidRPr="00DC34EF">
        <w:rPr>
          <w:rFonts w:ascii="Garamond" w:hAnsi="Garamond" w:cstheme="minorHAnsi"/>
          <w:sz w:val="24"/>
          <w:szCs w:val="24"/>
        </w:rPr>
        <w:t>However, the three CR regulations were amended</w:t>
      </w:r>
      <w:r w:rsidRPr="00DC34EF">
        <w:rPr>
          <w:rStyle w:val="FootnoteReference"/>
          <w:rFonts w:ascii="Garamond" w:hAnsi="Garamond" w:cstheme="minorHAnsi"/>
          <w:sz w:val="24"/>
          <w:szCs w:val="24"/>
        </w:rPr>
        <w:footnoteReference w:id="74"/>
      </w:r>
      <w:r w:rsidRPr="00DC34EF">
        <w:rPr>
          <w:rFonts w:ascii="Garamond" w:hAnsi="Garamond" w:cstheme="minorHAnsi"/>
          <w:sz w:val="24"/>
          <w:szCs w:val="24"/>
        </w:rPr>
        <w:t xml:space="preserve"> to facilitate tendering of shares and settlement through stock exchange mechanism w.e.f. July 01, 2015</w:t>
      </w:r>
      <w:r w:rsidRPr="00DC34EF">
        <w:rPr>
          <w:rStyle w:val="FootnoteReference"/>
          <w:rFonts w:ascii="Garamond" w:hAnsi="Garamond" w:cstheme="minorHAnsi"/>
          <w:sz w:val="24"/>
          <w:szCs w:val="24"/>
        </w:rPr>
        <w:footnoteReference w:id="75"/>
      </w:r>
      <w:r w:rsidRPr="00DC34EF">
        <w:rPr>
          <w:rFonts w:ascii="Garamond" w:hAnsi="Garamond" w:cstheme="minorHAnsi"/>
          <w:sz w:val="24"/>
          <w:szCs w:val="24"/>
        </w:rPr>
        <w:t>. Enhancing investor protection further, w.e.f. January 02, 2017</w:t>
      </w:r>
      <w:r w:rsidRPr="00DC34EF">
        <w:rPr>
          <w:rStyle w:val="FootnoteReference"/>
          <w:rFonts w:ascii="Garamond" w:hAnsi="Garamond" w:cstheme="minorHAnsi"/>
          <w:sz w:val="24"/>
          <w:szCs w:val="24"/>
        </w:rPr>
        <w:footnoteReference w:id="76"/>
      </w:r>
      <w:r w:rsidRPr="00DC34EF">
        <w:rPr>
          <w:rFonts w:ascii="Garamond" w:hAnsi="Garamond" w:cstheme="minorHAnsi"/>
          <w:sz w:val="24"/>
          <w:szCs w:val="24"/>
        </w:rPr>
        <w:t xml:space="preserve">, shares are tendered directly to the account of the clearing corporation of the stock exchange and the consideration or the shares that are returned, are directly credited to the account of the investor. </w:t>
      </w:r>
    </w:p>
    <w:p w:rsidR="00DC34EF" w:rsidRPr="00DC34EF" w:rsidRDefault="00DC34EF" w:rsidP="00631936">
      <w:pPr>
        <w:jc w:val="both"/>
        <w:rPr>
          <w:rFonts w:ascii="Garamond" w:hAnsi="Garamond" w:cstheme="minorHAnsi"/>
          <w:lang w:val="en-US"/>
        </w:rPr>
      </w:pPr>
    </w:p>
    <w:p w:rsidR="00DC34EF" w:rsidRPr="00DC34EF" w:rsidRDefault="00DC34EF" w:rsidP="00456F4D">
      <w:pPr>
        <w:pStyle w:val="ListParagraph"/>
        <w:numPr>
          <w:ilvl w:val="1"/>
          <w:numId w:val="29"/>
        </w:numPr>
        <w:spacing w:after="0" w:line="240" w:lineRule="auto"/>
        <w:jc w:val="both"/>
        <w:rPr>
          <w:rFonts w:ascii="Garamond" w:hAnsi="Garamond" w:cstheme="minorHAnsi"/>
          <w:bCs/>
          <w:sz w:val="24"/>
          <w:szCs w:val="24"/>
        </w:rPr>
      </w:pPr>
      <w:bookmarkStart w:id="67" w:name="_Ref64455748"/>
      <w:r w:rsidRPr="00DC34EF">
        <w:rPr>
          <w:rFonts w:ascii="Garamond" w:hAnsi="Garamond" w:cstheme="minorHAnsi"/>
          <w:bCs/>
          <w:sz w:val="24"/>
          <w:szCs w:val="24"/>
        </w:rPr>
        <w:t xml:space="preserve">Data on tender </w:t>
      </w:r>
      <w:r w:rsidRPr="00DC34EF">
        <w:rPr>
          <w:rFonts w:ascii="Garamond" w:hAnsi="Garamond" w:cstheme="minorHAnsi"/>
          <w:sz w:val="24"/>
          <w:szCs w:val="24"/>
        </w:rPr>
        <w:t>offers</w:t>
      </w:r>
      <w:r w:rsidRPr="00DC34EF">
        <w:rPr>
          <w:rFonts w:ascii="Garamond" w:hAnsi="Garamond" w:cstheme="minorHAnsi"/>
          <w:bCs/>
          <w:sz w:val="24"/>
          <w:szCs w:val="24"/>
        </w:rPr>
        <w:t xml:space="preserve"> through stock exchange mechanism</w:t>
      </w:r>
      <w:bookmarkEnd w:id="67"/>
    </w:p>
    <w:p w:rsidR="00DC34EF" w:rsidRPr="00DC34EF" w:rsidRDefault="00DC34EF" w:rsidP="00631936">
      <w:pPr>
        <w:ind w:left="720"/>
        <w:jc w:val="both"/>
        <w:rPr>
          <w:rFonts w:ascii="Garamond" w:hAnsi="Garamond" w:cstheme="minorHAnsi"/>
          <w:bCs/>
          <w:lang w:val="en-US"/>
        </w:rPr>
      </w:pPr>
      <w:r w:rsidRPr="00DC34EF">
        <w:rPr>
          <w:rFonts w:ascii="Garamond" w:hAnsi="Garamond" w:cstheme="minorHAnsi"/>
          <w:bCs/>
          <w:lang w:val="en-US"/>
        </w:rPr>
        <w:t>The robust mechanism of tendering of shares through stock exchange mechanism is an option which is available only for eligible entities and it co-exist</w:t>
      </w:r>
      <w:r w:rsidR="00631936">
        <w:rPr>
          <w:rFonts w:ascii="Garamond" w:hAnsi="Garamond" w:cstheme="minorHAnsi"/>
          <w:bCs/>
          <w:lang w:val="en-US"/>
        </w:rPr>
        <w:t>s</w:t>
      </w:r>
      <w:r w:rsidRPr="00DC34EF">
        <w:rPr>
          <w:rFonts w:ascii="Garamond" w:hAnsi="Garamond" w:cstheme="minorHAnsi"/>
          <w:bCs/>
          <w:lang w:val="en-US"/>
        </w:rPr>
        <w:t xml:space="preserve"> with the conventional method. In this regard the data on CRs in the last three years viz. the mode of tendering shares is presented in table below.  </w:t>
      </w:r>
    </w:p>
    <w:p w:rsidR="00DC34EF" w:rsidRPr="00631936" w:rsidRDefault="00DC34EF" w:rsidP="00DC34EF">
      <w:pPr>
        <w:pStyle w:val="Caption"/>
        <w:spacing w:after="0"/>
        <w:jc w:val="center"/>
        <w:rPr>
          <w:rFonts w:ascii="Garamond" w:hAnsi="Garamond" w:cstheme="minorHAnsi"/>
          <w:noProof/>
          <w:sz w:val="22"/>
          <w:szCs w:val="22"/>
        </w:rPr>
      </w:pPr>
      <w:bookmarkStart w:id="68" w:name="_Ref64455698"/>
      <w:bookmarkStart w:id="69" w:name="_Toc66185886"/>
      <w:r w:rsidRPr="00631936">
        <w:rPr>
          <w:rFonts w:ascii="Garamond" w:hAnsi="Garamond" w:cstheme="minorHAnsi"/>
          <w:noProof/>
          <w:sz w:val="22"/>
          <w:szCs w:val="22"/>
        </w:rPr>
        <w:t xml:space="preserve">Table </w:t>
      </w:r>
      <w:r w:rsidRPr="00631936">
        <w:rPr>
          <w:rFonts w:ascii="Garamond" w:hAnsi="Garamond" w:cstheme="minorHAnsi"/>
          <w:noProof/>
          <w:sz w:val="22"/>
          <w:szCs w:val="22"/>
        </w:rPr>
        <w:fldChar w:fldCharType="begin"/>
      </w:r>
      <w:r w:rsidRPr="00631936">
        <w:rPr>
          <w:rFonts w:ascii="Garamond" w:hAnsi="Garamond" w:cstheme="minorHAnsi"/>
          <w:noProof/>
          <w:sz w:val="22"/>
          <w:szCs w:val="22"/>
        </w:rPr>
        <w:instrText xml:space="preserve"> SEQ Table \* ARABIC </w:instrText>
      </w:r>
      <w:r w:rsidRPr="00631936">
        <w:rPr>
          <w:rFonts w:ascii="Garamond" w:hAnsi="Garamond" w:cstheme="minorHAnsi"/>
          <w:noProof/>
          <w:sz w:val="22"/>
          <w:szCs w:val="22"/>
        </w:rPr>
        <w:fldChar w:fldCharType="separate"/>
      </w:r>
      <w:r w:rsidRPr="00631936">
        <w:rPr>
          <w:rFonts w:ascii="Garamond" w:hAnsi="Garamond" w:cstheme="minorHAnsi"/>
          <w:noProof/>
          <w:sz w:val="22"/>
          <w:szCs w:val="22"/>
        </w:rPr>
        <w:t>11</w:t>
      </w:r>
      <w:r w:rsidRPr="00631936">
        <w:rPr>
          <w:rFonts w:ascii="Garamond" w:hAnsi="Garamond" w:cstheme="minorHAnsi"/>
          <w:noProof/>
          <w:sz w:val="22"/>
          <w:szCs w:val="22"/>
        </w:rPr>
        <w:fldChar w:fldCharType="end"/>
      </w:r>
      <w:bookmarkEnd w:id="68"/>
      <w:r w:rsidRPr="00631936">
        <w:rPr>
          <w:rFonts w:ascii="Garamond" w:hAnsi="Garamond" w:cstheme="minorHAnsi"/>
          <w:noProof/>
          <w:sz w:val="22"/>
          <w:szCs w:val="22"/>
        </w:rPr>
        <w:t>: Tendering shares through Stock Exchange in Corporate Restructuring during April 01, 2017 to March 31, 2020</w:t>
      </w:r>
      <w:bookmarkEnd w:id="69"/>
    </w:p>
    <w:p w:rsidR="00DC34EF" w:rsidRPr="00631936" w:rsidRDefault="00DC34EF" w:rsidP="00DC34EF">
      <w:pPr>
        <w:ind w:left="720"/>
        <w:jc w:val="right"/>
        <w:rPr>
          <w:rFonts w:ascii="Garamond" w:hAnsi="Garamond" w:cstheme="minorHAnsi"/>
          <w:bCs/>
          <w:sz w:val="22"/>
          <w:szCs w:val="22"/>
          <w:lang w:val="en-US"/>
        </w:rPr>
      </w:pPr>
    </w:p>
    <w:tbl>
      <w:tblPr>
        <w:tblStyle w:val="TableGrid"/>
        <w:tblW w:w="0" w:type="auto"/>
        <w:jc w:val="center"/>
        <w:tblLook w:val="04A0" w:firstRow="1" w:lastRow="0" w:firstColumn="1" w:lastColumn="0" w:noHBand="0" w:noVBand="1"/>
      </w:tblPr>
      <w:tblGrid>
        <w:gridCol w:w="2952"/>
        <w:gridCol w:w="1204"/>
        <w:gridCol w:w="1074"/>
        <w:gridCol w:w="737"/>
      </w:tblGrid>
      <w:tr w:rsidR="00DC34EF" w:rsidRPr="00631936" w:rsidTr="00DC34EF">
        <w:trPr>
          <w:jc w:val="center"/>
        </w:trPr>
        <w:tc>
          <w:tcPr>
            <w:tcW w:w="0" w:type="auto"/>
          </w:tcPr>
          <w:p w:rsidR="00DC34EF" w:rsidRPr="00631936" w:rsidRDefault="00DC34EF" w:rsidP="00DC34EF">
            <w:pPr>
              <w:jc w:val="center"/>
              <w:rPr>
                <w:rFonts w:ascii="Garamond" w:hAnsi="Garamond" w:cstheme="minorHAnsi"/>
                <w:b/>
                <w:sz w:val="22"/>
                <w:szCs w:val="22"/>
              </w:rPr>
            </w:pPr>
            <w:r w:rsidRPr="00631936">
              <w:rPr>
                <w:rFonts w:ascii="Garamond" w:hAnsi="Garamond" w:cstheme="minorHAnsi"/>
                <w:b/>
                <w:sz w:val="22"/>
                <w:szCs w:val="22"/>
              </w:rPr>
              <w:t>Mode Tendering Shares</w:t>
            </w:r>
          </w:p>
        </w:tc>
        <w:tc>
          <w:tcPr>
            <w:tcW w:w="0" w:type="auto"/>
          </w:tcPr>
          <w:p w:rsidR="00DC34EF" w:rsidRPr="00631936" w:rsidRDefault="00DC34EF" w:rsidP="00DC34EF">
            <w:pPr>
              <w:jc w:val="center"/>
              <w:rPr>
                <w:rFonts w:ascii="Garamond" w:hAnsi="Garamond" w:cstheme="minorHAnsi"/>
                <w:b/>
                <w:sz w:val="22"/>
                <w:szCs w:val="22"/>
              </w:rPr>
            </w:pPr>
            <w:r w:rsidRPr="00631936">
              <w:rPr>
                <w:rFonts w:ascii="Garamond" w:hAnsi="Garamond" w:cstheme="minorHAnsi"/>
                <w:b/>
                <w:sz w:val="22"/>
                <w:szCs w:val="22"/>
              </w:rPr>
              <w:t>Buy-back</w:t>
            </w:r>
            <w:r w:rsidRPr="00631936">
              <w:rPr>
                <w:rFonts w:ascii="Garamond" w:hAnsi="Garamond" w:cstheme="minorHAnsi"/>
                <w:bCs/>
                <w:sz w:val="22"/>
                <w:szCs w:val="22"/>
              </w:rPr>
              <w:t>*</w:t>
            </w:r>
          </w:p>
        </w:tc>
        <w:tc>
          <w:tcPr>
            <w:tcW w:w="0" w:type="auto"/>
          </w:tcPr>
          <w:p w:rsidR="00DC34EF" w:rsidRPr="00631936" w:rsidRDefault="00DC34EF" w:rsidP="00DC34EF">
            <w:pPr>
              <w:jc w:val="center"/>
              <w:rPr>
                <w:rFonts w:ascii="Garamond" w:hAnsi="Garamond" w:cstheme="minorHAnsi"/>
                <w:b/>
                <w:sz w:val="22"/>
                <w:szCs w:val="22"/>
              </w:rPr>
            </w:pPr>
            <w:r w:rsidRPr="00631936">
              <w:rPr>
                <w:rFonts w:ascii="Garamond" w:hAnsi="Garamond" w:cstheme="minorHAnsi"/>
                <w:b/>
                <w:sz w:val="22"/>
                <w:szCs w:val="22"/>
              </w:rPr>
              <w:t>Delisting</w:t>
            </w:r>
          </w:p>
        </w:tc>
        <w:tc>
          <w:tcPr>
            <w:tcW w:w="0" w:type="auto"/>
          </w:tcPr>
          <w:p w:rsidR="00DC34EF" w:rsidRPr="00631936" w:rsidRDefault="00DC34EF" w:rsidP="00DC34EF">
            <w:pPr>
              <w:jc w:val="center"/>
              <w:rPr>
                <w:rFonts w:ascii="Garamond" w:hAnsi="Garamond" w:cstheme="minorHAnsi"/>
                <w:b/>
                <w:sz w:val="22"/>
                <w:szCs w:val="22"/>
              </w:rPr>
            </w:pPr>
            <w:r w:rsidRPr="00631936">
              <w:rPr>
                <w:rFonts w:ascii="Garamond" w:hAnsi="Garamond" w:cstheme="minorHAnsi"/>
                <w:b/>
                <w:sz w:val="22"/>
                <w:szCs w:val="22"/>
              </w:rPr>
              <w:t>SAST</w:t>
            </w:r>
          </w:p>
        </w:tc>
      </w:tr>
      <w:tr w:rsidR="00DC34EF" w:rsidRPr="00631936" w:rsidTr="00DC34EF">
        <w:trPr>
          <w:trHeight w:val="245"/>
          <w:jc w:val="center"/>
        </w:trPr>
        <w:tc>
          <w:tcPr>
            <w:tcW w:w="0" w:type="auto"/>
          </w:tcPr>
          <w:p w:rsidR="00DC34EF" w:rsidRPr="00631936" w:rsidRDefault="00DC34EF" w:rsidP="00456F4D">
            <w:pPr>
              <w:pStyle w:val="ListParagraph"/>
              <w:numPr>
                <w:ilvl w:val="0"/>
                <w:numId w:val="21"/>
              </w:numPr>
              <w:spacing w:after="0" w:line="240" w:lineRule="auto"/>
              <w:jc w:val="both"/>
              <w:rPr>
                <w:rFonts w:ascii="Garamond" w:hAnsi="Garamond" w:cstheme="minorHAnsi"/>
                <w:bCs/>
                <w:sz w:val="22"/>
                <w:szCs w:val="22"/>
              </w:rPr>
            </w:pPr>
            <w:r w:rsidRPr="00631936">
              <w:rPr>
                <w:rFonts w:ascii="Garamond" w:hAnsi="Garamond" w:cstheme="minorHAnsi"/>
                <w:bCs/>
                <w:sz w:val="22"/>
                <w:szCs w:val="22"/>
              </w:rPr>
              <w:t>through Stock Exchange(s)</w:t>
            </w:r>
          </w:p>
        </w:tc>
        <w:tc>
          <w:tcPr>
            <w:tcW w:w="0" w:type="auto"/>
          </w:tcPr>
          <w:p w:rsidR="00DC34EF" w:rsidRPr="00631936" w:rsidRDefault="00DC34EF" w:rsidP="00DC34EF">
            <w:pPr>
              <w:jc w:val="right"/>
              <w:rPr>
                <w:rFonts w:ascii="Garamond" w:hAnsi="Garamond" w:cstheme="minorHAnsi"/>
                <w:bCs/>
                <w:sz w:val="22"/>
                <w:szCs w:val="22"/>
              </w:rPr>
            </w:pPr>
            <w:r w:rsidRPr="00631936">
              <w:rPr>
                <w:rFonts w:ascii="Garamond" w:hAnsi="Garamond" w:cstheme="minorHAnsi"/>
                <w:bCs/>
                <w:sz w:val="22"/>
                <w:szCs w:val="22"/>
              </w:rPr>
              <w:t>138</w:t>
            </w:r>
          </w:p>
        </w:tc>
        <w:tc>
          <w:tcPr>
            <w:tcW w:w="0" w:type="auto"/>
          </w:tcPr>
          <w:p w:rsidR="00DC34EF" w:rsidRPr="00631936" w:rsidRDefault="00DC34EF" w:rsidP="00DC34EF">
            <w:pPr>
              <w:jc w:val="right"/>
              <w:rPr>
                <w:rFonts w:ascii="Garamond" w:hAnsi="Garamond" w:cstheme="minorHAnsi"/>
                <w:bCs/>
                <w:sz w:val="22"/>
                <w:szCs w:val="22"/>
              </w:rPr>
            </w:pPr>
            <w:r w:rsidRPr="00631936">
              <w:rPr>
                <w:rFonts w:ascii="Garamond" w:hAnsi="Garamond" w:cstheme="minorHAnsi"/>
                <w:bCs/>
                <w:sz w:val="22"/>
                <w:szCs w:val="22"/>
              </w:rPr>
              <w:t>19</w:t>
            </w:r>
          </w:p>
        </w:tc>
        <w:tc>
          <w:tcPr>
            <w:tcW w:w="0" w:type="auto"/>
          </w:tcPr>
          <w:p w:rsidR="00DC34EF" w:rsidRPr="00631936" w:rsidRDefault="00DC34EF" w:rsidP="00DC34EF">
            <w:pPr>
              <w:jc w:val="right"/>
              <w:rPr>
                <w:rFonts w:ascii="Garamond" w:hAnsi="Garamond" w:cstheme="minorHAnsi"/>
                <w:bCs/>
                <w:sz w:val="22"/>
                <w:szCs w:val="22"/>
              </w:rPr>
            </w:pPr>
            <w:r w:rsidRPr="00631936">
              <w:rPr>
                <w:rFonts w:ascii="Garamond" w:hAnsi="Garamond" w:cstheme="minorHAnsi"/>
                <w:bCs/>
                <w:sz w:val="22"/>
                <w:szCs w:val="22"/>
              </w:rPr>
              <w:t>174</w:t>
            </w:r>
          </w:p>
        </w:tc>
      </w:tr>
      <w:tr w:rsidR="00DC34EF" w:rsidRPr="00631936" w:rsidTr="00DC34EF">
        <w:trPr>
          <w:jc w:val="center"/>
        </w:trPr>
        <w:tc>
          <w:tcPr>
            <w:tcW w:w="0" w:type="auto"/>
          </w:tcPr>
          <w:p w:rsidR="00DC34EF" w:rsidRPr="00631936" w:rsidRDefault="00DC34EF" w:rsidP="00456F4D">
            <w:pPr>
              <w:pStyle w:val="ListParagraph"/>
              <w:numPr>
                <w:ilvl w:val="0"/>
                <w:numId w:val="21"/>
              </w:numPr>
              <w:spacing w:after="0" w:line="240" w:lineRule="auto"/>
              <w:jc w:val="both"/>
              <w:rPr>
                <w:rFonts w:ascii="Garamond" w:hAnsi="Garamond" w:cstheme="minorHAnsi"/>
                <w:bCs/>
                <w:sz w:val="22"/>
                <w:szCs w:val="22"/>
              </w:rPr>
            </w:pPr>
            <w:r w:rsidRPr="00631936">
              <w:rPr>
                <w:rFonts w:ascii="Garamond" w:hAnsi="Garamond" w:cstheme="minorHAnsi"/>
                <w:bCs/>
                <w:sz w:val="22"/>
                <w:szCs w:val="22"/>
              </w:rPr>
              <w:t>through conventional mode</w:t>
            </w:r>
          </w:p>
        </w:tc>
        <w:tc>
          <w:tcPr>
            <w:tcW w:w="0" w:type="auto"/>
          </w:tcPr>
          <w:p w:rsidR="00DC34EF" w:rsidRPr="00631936" w:rsidRDefault="00DC34EF" w:rsidP="00DC34EF">
            <w:pPr>
              <w:jc w:val="right"/>
              <w:rPr>
                <w:rFonts w:ascii="Garamond" w:hAnsi="Garamond" w:cstheme="minorHAnsi"/>
                <w:bCs/>
                <w:sz w:val="22"/>
                <w:szCs w:val="22"/>
              </w:rPr>
            </w:pPr>
            <w:r w:rsidRPr="00631936">
              <w:rPr>
                <w:rFonts w:ascii="Garamond" w:hAnsi="Garamond" w:cstheme="minorHAnsi"/>
                <w:bCs/>
                <w:sz w:val="22"/>
                <w:szCs w:val="22"/>
              </w:rPr>
              <w:t>0</w:t>
            </w:r>
          </w:p>
        </w:tc>
        <w:tc>
          <w:tcPr>
            <w:tcW w:w="0" w:type="auto"/>
          </w:tcPr>
          <w:p w:rsidR="00DC34EF" w:rsidRPr="00631936" w:rsidRDefault="00DC34EF" w:rsidP="00DC34EF">
            <w:pPr>
              <w:jc w:val="right"/>
              <w:rPr>
                <w:rFonts w:ascii="Garamond" w:hAnsi="Garamond" w:cstheme="minorHAnsi"/>
                <w:bCs/>
                <w:sz w:val="22"/>
                <w:szCs w:val="22"/>
              </w:rPr>
            </w:pPr>
            <w:r w:rsidRPr="00631936">
              <w:rPr>
                <w:rFonts w:ascii="Garamond" w:hAnsi="Garamond" w:cstheme="minorHAnsi"/>
                <w:bCs/>
                <w:sz w:val="22"/>
                <w:szCs w:val="22"/>
              </w:rPr>
              <w:t>0</w:t>
            </w:r>
          </w:p>
        </w:tc>
        <w:tc>
          <w:tcPr>
            <w:tcW w:w="0" w:type="auto"/>
          </w:tcPr>
          <w:p w:rsidR="00DC34EF" w:rsidRPr="00631936" w:rsidRDefault="00DC34EF" w:rsidP="00DC34EF">
            <w:pPr>
              <w:jc w:val="right"/>
              <w:rPr>
                <w:rFonts w:ascii="Garamond" w:hAnsi="Garamond" w:cstheme="minorHAnsi"/>
                <w:bCs/>
                <w:sz w:val="22"/>
                <w:szCs w:val="22"/>
              </w:rPr>
            </w:pPr>
            <w:r w:rsidRPr="00631936">
              <w:rPr>
                <w:rFonts w:ascii="Garamond" w:hAnsi="Garamond" w:cstheme="minorHAnsi"/>
                <w:bCs/>
                <w:sz w:val="22"/>
                <w:szCs w:val="22"/>
              </w:rPr>
              <w:t>10</w:t>
            </w:r>
          </w:p>
        </w:tc>
      </w:tr>
      <w:tr w:rsidR="00DC34EF" w:rsidRPr="00631936" w:rsidTr="00DC34EF">
        <w:trPr>
          <w:jc w:val="center"/>
        </w:trPr>
        <w:tc>
          <w:tcPr>
            <w:tcW w:w="0" w:type="auto"/>
          </w:tcPr>
          <w:p w:rsidR="00DC34EF" w:rsidRPr="00631936" w:rsidRDefault="00DC34EF" w:rsidP="00DC34EF">
            <w:pPr>
              <w:jc w:val="both"/>
              <w:rPr>
                <w:rFonts w:ascii="Garamond" w:hAnsi="Garamond" w:cstheme="minorHAnsi"/>
                <w:b/>
                <w:sz w:val="22"/>
                <w:szCs w:val="22"/>
              </w:rPr>
            </w:pPr>
            <w:r w:rsidRPr="00631936">
              <w:rPr>
                <w:rFonts w:ascii="Garamond" w:hAnsi="Garamond" w:cstheme="minorHAnsi"/>
                <w:b/>
                <w:sz w:val="22"/>
                <w:szCs w:val="22"/>
              </w:rPr>
              <w:t>Total</w:t>
            </w:r>
          </w:p>
        </w:tc>
        <w:tc>
          <w:tcPr>
            <w:tcW w:w="0" w:type="auto"/>
          </w:tcPr>
          <w:p w:rsidR="00DC34EF" w:rsidRPr="00631936" w:rsidRDefault="00DC34EF" w:rsidP="00DC34EF">
            <w:pPr>
              <w:jc w:val="right"/>
              <w:rPr>
                <w:rFonts w:ascii="Garamond" w:hAnsi="Garamond" w:cstheme="minorHAnsi"/>
                <w:bCs/>
                <w:sz w:val="22"/>
                <w:szCs w:val="22"/>
              </w:rPr>
            </w:pPr>
            <w:r w:rsidRPr="00631936">
              <w:rPr>
                <w:rFonts w:ascii="Garamond" w:hAnsi="Garamond" w:cstheme="minorHAnsi"/>
                <w:bCs/>
                <w:sz w:val="22"/>
                <w:szCs w:val="22"/>
              </w:rPr>
              <w:t>138</w:t>
            </w:r>
          </w:p>
        </w:tc>
        <w:tc>
          <w:tcPr>
            <w:tcW w:w="0" w:type="auto"/>
          </w:tcPr>
          <w:p w:rsidR="00DC34EF" w:rsidRPr="00631936" w:rsidRDefault="00DC34EF" w:rsidP="00DC34EF">
            <w:pPr>
              <w:jc w:val="right"/>
              <w:rPr>
                <w:rFonts w:ascii="Garamond" w:hAnsi="Garamond" w:cstheme="minorHAnsi"/>
                <w:bCs/>
                <w:sz w:val="22"/>
                <w:szCs w:val="22"/>
              </w:rPr>
            </w:pPr>
            <w:r w:rsidRPr="00631936">
              <w:rPr>
                <w:rFonts w:ascii="Garamond" w:hAnsi="Garamond" w:cstheme="minorHAnsi"/>
                <w:bCs/>
                <w:sz w:val="22"/>
                <w:szCs w:val="22"/>
              </w:rPr>
              <w:t>19</w:t>
            </w:r>
          </w:p>
        </w:tc>
        <w:tc>
          <w:tcPr>
            <w:tcW w:w="0" w:type="auto"/>
          </w:tcPr>
          <w:p w:rsidR="00DC34EF" w:rsidRPr="00631936" w:rsidRDefault="00DC34EF" w:rsidP="00DC34EF">
            <w:pPr>
              <w:jc w:val="right"/>
              <w:rPr>
                <w:rFonts w:ascii="Garamond" w:hAnsi="Garamond" w:cstheme="minorHAnsi"/>
                <w:bCs/>
                <w:sz w:val="22"/>
                <w:szCs w:val="22"/>
              </w:rPr>
            </w:pPr>
            <w:r w:rsidRPr="00631936">
              <w:rPr>
                <w:rFonts w:ascii="Garamond" w:hAnsi="Garamond" w:cstheme="minorHAnsi"/>
                <w:bCs/>
                <w:sz w:val="22"/>
                <w:szCs w:val="22"/>
              </w:rPr>
              <w:t>184</w:t>
            </w:r>
          </w:p>
        </w:tc>
      </w:tr>
    </w:tbl>
    <w:p w:rsidR="00DC34EF" w:rsidRPr="000C6BCB" w:rsidRDefault="002E1041" w:rsidP="000C6BCB">
      <w:pPr>
        <w:pStyle w:val="ListParagraph"/>
        <w:spacing w:after="0"/>
        <w:ind w:left="360"/>
        <w:jc w:val="both"/>
        <w:rPr>
          <w:rFonts w:ascii="Garamond" w:hAnsi="Garamond" w:cstheme="minorHAnsi"/>
          <w:sz w:val="22"/>
          <w:szCs w:val="22"/>
        </w:rPr>
      </w:pPr>
      <w:r>
        <w:rPr>
          <w:rFonts w:ascii="Garamond" w:hAnsi="Garamond" w:cstheme="minorHAnsi"/>
          <w:sz w:val="22"/>
          <w:szCs w:val="22"/>
        </w:rPr>
        <w:t xml:space="preserve">            </w:t>
      </w:r>
      <w:r w:rsidR="000C6BCB">
        <w:rPr>
          <w:rFonts w:ascii="Garamond" w:hAnsi="Garamond" w:cstheme="minorHAnsi"/>
          <w:sz w:val="22"/>
          <w:szCs w:val="22"/>
        </w:rPr>
        <w:t xml:space="preserve">               </w:t>
      </w:r>
      <w:r w:rsidRPr="000C6BCB">
        <w:rPr>
          <w:rFonts w:ascii="Garamond" w:hAnsi="Garamond" w:cstheme="minorHAnsi"/>
          <w:sz w:val="22"/>
          <w:szCs w:val="22"/>
        </w:rPr>
        <w:t xml:space="preserve"> </w:t>
      </w:r>
      <w:r w:rsidR="00DC34EF" w:rsidRPr="000C6BCB">
        <w:rPr>
          <w:rFonts w:ascii="Garamond" w:hAnsi="Garamond" w:cstheme="minorHAnsi"/>
          <w:sz w:val="22"/>
          <w:szCs w:val="22"/>
        </w:rPr>
        <w:t>*through tender offer</w:t>
      </w:r>
    </w:p>
    <w:p w:rsidR="00DC34EF" w:rsidRPr="00DC34EF" w:rsidRDefault="00DC34EF" w:rsidP="00DC34EF">
      <w:pPr>
        <w:pStyle w:val="ListParagraph"/>
        <w:spacing w:after="0"/>
        <w:ind w:left="360"/>
        <w:jc w:val="both"/>
        <w:rPr>
          <w:rFonts w:ascii="Garamond" w:hAnsi="Garamond" w:cstheme="minorHAnsi"/>
          <w:sz w:val="24"/>
          <w:szCs w:val="24"/>
        </w:rPr>
      </w:pPr>
    </w:p>
    <w:p w:rsidR="00A20B1A" w:rsidRDefault="00DC34EF" w:rsidP="00DC34EF">
      <w:pPr>
        <w:ind w:left="720"/>
        <w:jc w:val="both"/>
        <w:rPr>
          <w:rFonts w:ascii="Garamond" w:hAnsi="Garamond" w:cstheme="minorHAnsi"/>
          <w:lang w:val="en-US"/>
        </w:rPr>
      </w:pPr>
      <w:r w:rsidRPr="00DC34EF">
        <w:rPr>
          <w:rFonts w:ascii="Garamond" w:hAnsi="Garamond" w:cstheme="minorHAnsi"/>
          <w:lang w:val="en-US"/>
        </w:rPr>
        <w:t xml:space="preserve">As tendering shares through stock exchanges mechanism is the mode in 331 of the 341 CR issues (97%), it virtually eliminates the possibility of generation of unclaimed assets.    </w:t>
      </w:r>
    </w:p>
    <w:p w:rsidR="00DC34EF" w:rsidRPr="00DC34EF" w:rsidRDefault="00DC34EF" w:rsidP="00DC34EF">
      <w:pPr>
        <w:ind w:left="720"/>
        <w:jc w:val="both"/>
        <w:rPr>
          <w:rFonts w:ascii="Garamond" w:hAnsi="Garamond" w:cstheme="minorHAnsi"/>
          <w:lang w:val="en-US"/>
        </w:rPr>
      </w:pPr>
      <w:r w:rsidRPr="00DC34EF">
        <w:rPr>
          <w:rFonts w:ascii="Garamond" w:hAnsi="Garamond" w:cstheme="minorHAnsi"/>
          <w:lang w:val="en-US"/>
        </w:rPr>
        <w:t xml:space="preserve">   </w:t>
      </w:r>
    </w:p>
    <w:p w:rsidR="00DC34EF" w:rsidRPr="00DC34EF" w:rsidRDefault="00DC34EF" w:rsidP="00DC34EF">
      <w:pPr>
        <w:jc w:val="both"/>
        <w:rPr>
          <w:rFonts w:ascii="Garamond" w:hAnsi="Garamond" w:cstheme="minorHAnsi"/>
          <w:b/>
          <w:lang w:val="en-US"/>
        </w:rPr>
      </w:pPr>
    </w:p>
    <w:p w:rsidR="00DC34EF" w:rsidRPr="00DC34EF" w:rsidRDefault="00DC34EF" w:rsidP="00456F4D">
      <w:pPr>
        <w:pStyle w:val="ListParagraph"/>
        <w:numPr>
          <w:ilvl w:val="1"/>
          <w:numId w:val="29"/>
        </w:numPr>
        <w:spacing w:after="0"/>
        <w:jc w:val="both"/>
        <w:rPr>
          <w:rFonts w:ascii="Garamond" w:hAnsi="Garamond" w:cstheme="minorHAnsi"/>
          <w:sz w:val="24"/>
          <w:szCs w:val="24"/>
        </w:rPr>
      </w:pPr>
      <w:bookmarkStart w:id="70" w:name="_Ref64458085"/>
      <w:r w:rsidRPr="00DC34EF">
        <w:rPr>
          <w:rFonts w:ascii="Garamond" w:hAnsi="Garamond" w:cstheme="minorHAnsi"/>
          <w:sz w:val="24"/>
          <w:szCs w:val="24"/>
        </w:rPr>
        <w:t>Data on physical shares tendered in CR</w:t>
      </w:r>
      <w:bookmarkEnd w:id="70"/>
    </w:p>
    <w:p w:rsidR="00DC34EF" w:rsidRPr="00DC34EF" w:rsidRDefault="00DC34EF" w:rsidP="00DC34EF">
      <w:pPr>
        <w:ind w:left="720"/>
        <w:jc w:val="both"/>
        <w:rPr>
          <w:rFonts w:ascii="Garamond" w:hAnsi="Garamond" w:cstheme="minorHAnsi"/>
          <w:lang w:val="en-US"/>
        </w:rPr>
      </w:pPr>
      <w:r w:rsidRPr="00DC34EF">
        <w:rPr>
          <w:rFonts w:ascii="Garamond" w:hAnsi="Garamond" w:cstheme="minorHAnsi"/>
          <w:lang w:val="en-US"/>
        </w:rPr>
        <w:t>On a sample of 32 CR issues wherein shares aggregating to 184 crore were on offer, investors tendered 984 crore shares out of which only about 2 lakhs were physical, as given in table below</w:t>
      </w:r>
      <w:r w:rsidRPr="00DC34EF">
        <w:rPr>
          <w:rStyle w:val="FootnoteReference"/>
          <w:rFonts w:ascii="Garamond" w:hAnsi="Garamond" w:cstheme="minorHAnsi"/>
          <w:lang w:val="en-US"/>
        </w:rPr>
        <w:footnoteReference w:id="77"/>
      </w:r>
    </w:p>
    <w:p w:rsidR="00DC34EF" w:rsidRPr="00DC34EF" w:rsidRDefault="00DC34EF" w:rsidP="00DC34EF">
      <w:pPr>
        <w:pStyle w:val="Caption"/>
        <w:spacing w:after="0"/>
        <w:jc w:val="center"/>
        <w:rPr>
          <w:rFonts w:ascii="Garamond" w:hAnsi="Garamond" w:cstheme="minorHAnsi"/>
          <w:sz w:val="24"/>
          <w:szCs w:val="24"/>
        </w:rPr>
      </w:pPr>
    </w:p>
    <w:p w:rsidR="00DC34EF" w:rsidRPr="00631936" w:rsidRDefault="00DC34EF" w:rsidP="00DC34EF">
      <w:pPr>
        <w:pStyle w:val="Caption"/>
        <w:spacing w:after="0"/>
        <w:jc w:val="center"/>
        <w:rPr>
          <w:rFonts w:ascii="Garamond" w:hAnsi="Garamond" w:cstheme="minorHAnsi"/>
          <w:sz w:val="22"/>
          <w:szCs w:val="22"/>
        </w:rPr>
      </w:pPr>
      <w:bookmarkStart w:id="71" w:name="_Ref64458050"/>
      <w:bookmarkStart w:id="72" w:name="_Ref64458045"/>
      <w:bookmarkStart w:id="73" w:name="_Toc66185887"/>
      <w:r w:rsidRPr="00631936">
        <w:rPr>
          <w:rFonts w:ascii="Garamond" w:hAnsi="Garamond" w:cstheme="minorHAnsi"/>
          <w:sz w:val="22"/>
          <w:szCs w:val="22"/>
        </w:rPr>
        <w:t xml:space="preserve">Table </w:t>
      </w:r>
      <w:r w:rsidRPr="00631936">
        <w:rPr>
          <w:rFonts w:ascii="Garamond" w:hAnsi="Garamond" w:cstheme="minorHAnsi"/>
          <w:sz w:val="22"/>
          <w:szCs w:val="22"/>
        </w:rPr>
        <w:fldChar w:fldCharType="begin"/>
      </w:r>
      <w:r w:rsidRPr="00631936">
        <w:rPr>
          <w:rFonts w:ascii="Garamond" w:hAnsi="Garamond" w:cstheme="minorHAnsi"/>
          <w:sz w:val="22"/>
          <w:szCs w:val="22"/>
        </w:rPr>
        <w:instrText xml:space="preserve"> SEQ Table \* ARABIC </w:instrText>
      </w:r>
      <w:r w:rsidRPr="00631936">
        <w:rPr>
          <w:rFonts w:ascii="Garamond" w:hAnsi="Garamond" w:cstheme="minorHAnsi"/>
          <w:sz w:val="22"/>
          <w:szCs w:val="22"/>
        </w:rPr>
        <w:fldChar w:fldCharType="separate"/>
      </w:r>
      <w:r w:rsidRPr="00631936">
        <w:rPr>
          <w:rFonts w:ascii="Garamond" w:hAnsi="Garamond" w:cstheme="minorHAnsi"/>
          <w:noProof/>
          <w:sz w:val="22"/>
          <w:szCs w:val="22"/>
        </w:rPr>
        <w:t>12</w:t>
      </w:r>
      <w:r w:rsidRPr="00631936">
        <w:rPr>
          <w:rFonts w:ascii="Garamond" w:hAnsi="Garamond" w:cstheme="minorHAnsi"/>
          <w:sz w:val="22"/>
          <w:szCs w:val="22"/>
        </w:rPr>
        <w:fldChar w:fldCharType="end"/>
      </w:r>
      <w:bookmarkEnd w:id="71"/>
      <w:r w:rsidRPr="00631936">
        <w:rPr>
          <w:rFonts w:ascii="Garamond" w:hAnsi="Garamond" w:cstheme="minorHAnsi"/>
          <w:sz w:val="22"/>
          <w:szCs w:val="22"/>
        </w:rPr>
        <w:t xml:space="preserve">: Physical Shares tendered in Corporate Restructuring </w:t>
      </w:r>
      <w:bookmarkEnd w:id="72"/>
      <w:r w:rsidRPr="00631936">
        <w:rPr>
          <w:rFonts w:ascii="Garamond" w:hAnsi="Garamond" w:cstheme="minorHAnsi"/>
          <w:noProof/>
          <w:sz w:val="22"/>
          <w:szCs w:val="22"/>
        </w:rPr>
        <w:t>during April 01, 2017 to March 31, 2020</w:t>
      </w:r>
      <w:bookmarkEnd w:id="73"/>
    </w:p>
    <w:p w:rsidR="00DC34EF" w:rsidRPr="00631936" w:rsidRDefault="00DC34EF" w:rsidP="00DC34EF">
      <w:pPr>
        <w:ind w:left="720"/>
        <w:jc w:val="right"/>
        <w:rPr>
          <w:rFonts w:ascii="Garamond" w:hAnsi="Garamond" w:cstheme="minorHAnsi"/>
          <w:bCs/>
          <w:sz w:val="22"/>
          <w:szCs w:val="22"/>
          <w:lang w:val="en-US"/>
        </w:rPr>
      </w:pPr>
    </w:p>
    <w:tbl>
      <w:tblPr>
        <w:tblW w:w="0" w:type="auto"/>
        <w:jc w:val="center"/>
        <w:tblCellMar>
          <w:left w:w="0" w:type="dxa"/>
          <w:right w:w="0" w:type="dxa"/>
        </w:tblCellMar>
        <w:tblLook w:val="04A0" w:firstRow="1" w:lastRow="0" w:firstColumn="1" w:lastColumn="0" w:noHBand="0" w:noVBand="1"/>
      </w:tblPr>
      <w:tblGrid>
        <w:gridCol w:w="859"/>
        <w:gridCol w:w="1708"/>
        <w:gridCol w:w="1647"/>
        <w:gridCol w:w="1375"/>
        <w:gridCol w:w="1697"/>
        <w:gridCol w:w="1770"/>
      </w:tblGrid>
      <w:tr w:rsidR="00DC34EF" w:rsidRPr="00631936" w:rsidTr="00DC34EF">
        <w:trPr>
          <w:trHeight w:val="300"/>
          <w:jc w:val="center"/>
        </w:trPr>
        <w:tc>
          <w:tcPr>
            <w:tcW w:w="2567"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C34EF" w:rsidRPr="00631936" w:rsidRDefault="00DC34EF" w:rsidP="00DC34EF">
            <w:pPr>
              <w:ind w:left="142" w:right="92"/>
              <w:jc w:val="center"/>
              <w:rPr>
                <w:rFonts w:ascii="Garamond" w:hAnsi="Garamond" w:cstheme="minorHAnsi"/>
                <w:b/>
                <w:bCs/>
                <w:sz w:val="22"/>
                <w:szCs w:val="22"/>
                <w:lang w:val="en-US"/>
              </w:rPr>
            </w:pPr>
            <w:r w:rsidRPr="00631936">
              <w:rPr>
                <w:rFonts w:ascii="Garamond" w:hAnsi="Garamond" w:cstheme="minorHAnsi"/>
                <w:b/>
                <w:bCs/>
                <w:sz w:val="22"/>
                <w:szCs w:val="22"/>
                <w:lang w:val="en-US"/>
              </w:rPr>
              <w:t>Corporate Restructuring</w:t>
            </w:r>
          </w:p>
        </w:tc>
        <w:tc>
          <w:tcPr>
            <w:tcW w:w="6489" w:type="dxa"/>
            <w:gridSpan w:val="4"/>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C34EF" w:rsidRPr="00631936" w:rsidRDefault="00DC34EF" w:rsidP="00DC34EF">
            <w:pPr>
              <w:jc w:val="center"/>
              <w:rPr>
                <w:rFonts w:ascii="Garamond" w:hAnsi="Garamond" w:cstheme="minorHAnsi"/>
                <w:b/>
                <w:bCs/>
                <w:sz w:val="22"/>
                <w:szCs w:val="22"/>
                <w:lang w:val="en-US"/>
              </w:rPr>
            </w:pPr>
            <w:r w:rsidRPr="00631936">
              <w:rPr>
                <w:rFonts w:ascii="Garamond" w:hAnsi="Garamond" w:cstheme="minorHAnsi"/>
                <w:b/>
                <w:bCs/>
                <w:sz w:val="22"/>
                <w:szCs w:val="22"/>
                <w:lang w:val="en-US"/>
              </w:rPr>
              <w:t>Number of Shares</w:t>
            </w:r>
          </w:p>
        </w:tc>
      </w:tr>
      <w:tr w:rsidR="00DC34EF" w:rsidRPr="00631936" w:rsidTr="00DC34EF">
        <w:trPr>
          <w:trHeight w:val="300"/>
          <w:jc w:val="center"/>
        </w:trPr>
        <w:tc>
          <w:tcPr>
            <w:tcW w:w="0" w:type="auto"/>
            <w:vMerge w:val="restart"/>
            <w:tcBorders>
              <w:top w:val="nil"/>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DC34EF" w:rsidRPr="00631936" w:rsidRDefault="00DC34EF" w:rsidP="00DC34EF">
            <w:pPr>
              <w:jc w:val="center"/>
              <w:rPr>
                <w:rFonts w:ascii="Garamond" w:hAnsi="Garamond" w:cstheme="minorHAnsi"/>
                <w:b/>
                <w:bCs/>
                <w:sz w:val="22"/>
                <w:szCs w:val="22"/>
                <w:lang w:val="en-US"/>
              </w:rPr>
            </w:pPr>
            <w:r w:rsidRPr="00631936">
              <w:rPr>
                <w:rFonts w:ascii="Garamond" w:hAnsi="Garamond" w:cstheme="minorHAnsi"/>
                <w:b/>
                <w:bCs/>
                <w:sz w:val="22"/>
                <w:szCs w:val="22"/>
                <w:lang w:val="en-US"/>
              </w:rPr>
              <w:t>Type</w:t>
            </w:r>
          </w:p>
        </w:tc>
        <w:tc>
          <w:tcPr>
            <w:tcW w:w="1697" w:type="dxa"/>
            <w:vMerge w:val="restart"/>
            <w:tcBorders>
              <w:top w:val="nil"/>
              <w:left w:val="nil"/>
              <w:right w:val="single" w:sz="4" w:space="0" w:color="auto"/>
            </w:tcBorders>
            <w:shd w:val="clear" w:color="auto" w:fill="auto"/>
            <w:noWrap/>
            <w:tcMar>
              <w:top w:w="15" w:type="dxa"/>
              <w:left w:w="15" w:type="dxa"/>
              <w:bottom w:w="0" w:type="dxa"/>
              <w:right w:w="15" w:type="dxa"/>
            </w:tcMar>
            <w:vAlign w:val="bottom"/>
            <w:hideMark/>
          </w:tcPr>
          <w:p w:rsidR="00DC34EF" w:rsidRPr="00631936" w:rsidRDefault="00DC34EF" w:rsidP="00DC34EF">
            <w:pPr>
              <w:jc w:val="center"/>
              <w:rPr>
                <w:rFonts w:ascii="Garamond" w:hAnsi="Garamond" w:cstheme="minorHAnsi"/>
                <w:b/>
                <w:bCs/>
                <w:sz w:val="22"/>
                <w:szCs w:val="22"/>
                <w:lang w:val="en-US"/>
              </w:rPr>
            </w:pPr>
            <w:r w:rsidRPr="00631936">
              <w:rPr>
                <w:rFonts w:ascii="Garamond" w:hAnsi="Garamond" w:cstheme="minorHAnsi"/>
                <w:b/>
                <w:bCs/>
                <w:sz w:val="22"/>
                <w:szCs w:val="22"/>
                <w:lang w:val="en-US"/>
              </w:rPr>
              <w:t>Number</w:t>
            </w:r>
          </w:p>
        </w:tc>
        <w:tc>
          <w:tcPr>
            <w:tcW w:w="1633" w:type="dxa"/>
            <w:vMerge w:val="restart"/>
            <w:tcBorders>
              <w:top w:val="nil"/>
              <w:left w:val="nil"/>
              <w:right w:val="single" w:sz="4" w:space="0" w:color="auto"/>
            </w:tcBorders>
            <w:shd w:val="clear" w:color="auto" w:fill="auto"/>
            <w:noWrap/>
            <w:tcMar>
              <w:top w:w="15" w:type="dxa"/>
              <w:left w:w="15" w:type="dxa"/>
              <w:bottom w:w="0" w:type="dxa"/>
              <w:right w:w="15" w:type="dxa"/>
            </w:tcMar>
            <w:vAlign w:val="bottom"/>
            <w:hideMark/>
          </w:tcPr>
          <w:p w:rsidR="00DC34EF" w:rsidRPr="00631936" w:rsidRDefault="00DC34EF" w:rsidP="00DC34EF">
            <w:pPr>
              <w:jc w:val="center"/>
              <w:rPr>
                <w:rFonts w:ascii="Garamond" w:hAnsi="Garamond" w:cstheme="minorHAnsi"/>
                <w:b/>
                <w:bCs/>
                <w:sz w:val="22"/>
                <w:szCs w:val="22"/>
                <w:lang w:val="en-US"/>
              </w:rPr>
            </w:pPr>
            <w:r w:rsidRPr="00631936">
              <w:rPr>
                <w:rFonts w:ascii="Garamond" w:hAnsi="Garamond" w:cstheme="minorHAnsi"/>
                <w:b/>
                <w:bCs/>
                <w:sz w:val="22"/>
                <w:szCs w:val="22"/>
                <w:lang w:val="en-US"/>
              </w:rPr>
              <w:t>Offered</w:t>
            </w:r>
          </w:p>
        </w:tc>
        <w:tc>
          <w:tcPr>
            <w:tcW w:w="0" w:type="auto"/>
            <w:gridSpan w:val="3"/>
            <w:tcBorders>
              <w:top w:val="single" w:sz="4" w:space="0" w:color="auto"/>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rsidR="00DC34EF" w:rsidRPr="00631936" w:rsidRDefault="00DC34EF" w:rsidP="00DC34EF">
            <w:pPr>
              <w:jc w:val="center"/>
              <w:rPr>
                <w:rFonts w:ascii="Garamond" w:hAnsi="Garamond" w:cstheme="minorHAnsi"/>
                <w:b/>
                <w:bCs/>
                <w:sz w:val="22"/>
                <w:szCs w:val="22"/>
                <w:lang w:val="en-US"/>
              </w:rPr>
            </w:pPr>
            <w:r w:rsidRPr="00631936">
              <w:rPr>
                <w:rFonts w:ascii="Garamond" w:hAnsi="Garamond" w:cstheme="minorHAnsi"/>
                <w:b/>
                <w:bCs/>
                <w:sz w:val="22"/>
                <w:szCs w:val="22"/>
                <w:lang w:val="en-US"/>
              </w:rPr>
              <w:t>Tendered by Investors</w:t>
            </w:r>
          </w:p>
        </w:tc>
      </w:tr>
      <w:tr w:rsidR="00DC34EF" w:rsidRPr="00631936" w:rsidTr="00DC34EF">
        <w:trPr>
          <w:trHeight w:val="300"/>
          <w:jc w:val="center"/>
        </w:trPr>
        <w:tc>
          <w:tcPr>
            <w:tcW w:w="0" w:type="auto"/>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C34EF" w:rsidRPr="00631936" w:rsidRDefault="00DC34EF" w:rsidP="00DC34EF">
            <w:pPr>
              <w:jc w:val="center"/>
              <w:rPr>
                <w:rFonts w:ascii="Garamond" w:hAnsi="Garamond" w:cstheme="minorHAnsi"/>
                <w:b/>
                <w:sz w:val="22"/>
                <w:szCs w:val="22"/>
                <w:lang w:val="en-US"/>
              </w:rPr>
            </w:pPr>
          </w:p>
        </w:tc>
        <w:tc>
          <w:tcPr>
            <w:tcW w:w="1697" w:type="dxa"/>
            <w:vMerge/>
            <w:tcBorders>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C34EF" w:rsidRPr="00631936" w:rsidRDefault="00DC34EF" w:rsidP="00DC34EF">
            <w:pPr>
              <w:jc w:val="center"/>
              <w:rPr>
                <w:rFonts w:ascii="Garamond" w:hAnsi="Garamond" w:cstheme="minorHAnsi"/>
                <w:b/>
                <w:sz w:val="22"/>
                <w:szCs w:val="22"/>
                <w:lang w:val="en-US"/>
              </w:rPr>
            </w:pPr>
          </w:p>
        </w:tc>
        <w:tc>
          <w:tcPr>
            <w:tcW w:w="1633" w:type="dxa"/>
            <w:vMerge/>
            <w:tcBorders>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C34EF" w:rsidRPr="00631936" w:rsidRDefault="00DC34EF" w:rsidP="00DC34EF">
            <w:pPr>
              <w:jc w:val="center"/>
              <w:rPr>
                <w:rFonts w:ascii="Garamond" w:hAnsi="Garamond" w:cstheme="minorHAnsi"/>
                <w:b/>
                <w:sz w:val="22"/>
                <w:szCs w:val="22"/>
                <w:lang w:val="en-US"/>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C34EF" w:rsidRPr="00631936" w:rsidRDefault="00DC34EF" w:rsidP="00DC34EF">
            <w:pPr>
              <w:jc w:val="center"/>
              <w:rPr>
                <w:rFonts w:ascii="Garamond" w:hAnsi="Garamond" w:cstheme="minorHAnsi"/>
                <w:b/>
                <w:sz w:val="22"/>
                <w:szCs w:val="22"/>
                <w:lang w:val="en-US"/>
              </w:rPr>
            </w:pPr>
            <w:r w:rsidRPr="00631936">
              <w:rPr>
                <w:rFonts w:ascii="Garamond" w:hAnsi="Garamond" w:cstheme="minorHAnsi"/>
                <w:b/>
                <w:sz w:val="22"/>
                <w:szCs w:val="22"/>
                <w:lang w:val="en-US"/>
              </w:rPr>
              <w:t>Physical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C34EF" w:rsidRPr="00631936" w:rsidRDefault="00DC34EF" w:rsidP="00DC34EF">
            <w:pPr>
              <w:jc w:val="center"/>
              <w:rPr>
                <w:rFonts w:ascii="Garamond" w:hAnsi="Garamond" w:cstheme="minorHAnsi"/>
                <w:b/>
                <w:sz w:val="22"/>
                <w:szCs w:val="22"/>
                <w:lang w:val="en-US"/>
              </w:rPr>
            </w:pPr>
            <w:r w:rsidRPr="00631936">
              <w:rPr>
                <w:rFonts w:ascii="Garamond" w:hAnsi="Garamond" w:cstheme="minorHAnsi"/>
                <w:b/>
                <w:sz w:val="22"/>
                <w:szCs w:val="22"/>
                <w:lang w:val="en-US"/>
              </w:rPr>
              <w:t>Demat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C34EF" w:rsidRPr="00631936" w:rsidRDefault="00DC34EF" w:rsidP="00DC34EF">
            <w:pPr>
              <w:jc w:val="center"/>
              <w:rPr>
                <w:rFonts w:ascii="Garamond" w:hAnsi="Garamond" w:cstheme="minorHAnsi"/>
                <w:b/>
                <w:sz w:val="22"/>
                <w:szCs w:val="22"/>
                <w:lang w:val="en-US"/>
              </w:rPr>
            </w:pPr>
            <w:r w:rsidRPr="00631936">
              <w:rPr>
                <w:rFonts w:ascii="Garamond" w:hAnsi="Garamond" w:cstheme="minorHAnsi"/>
                <w:b/>
                <w:sz w:val="22"/>
                <w:szCs w:val="22"/>
                <w:lang w:val="en-US"/>
              </w:rPr>
              <w:t>Total</w:t>
            </w:r>
          </w:p>
        </w:tc>
      </w:tr>
      <w:tr w:rsidR="00DC34EF" w:rsidRPr="00631936" w:rsidTr="00DC34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DC34EF" w:rsidRPr="00631936" w:rsidRDefault="00DC34EF" w:rsidP="00DC34EF">
            <w:pPr>
              <w:jc w:val="both"/>
              <w:rPr>
                <w:rFonts w:ascii="Garamond" w:hAnsi="Garamond" w:cstheme="minorHAnsi"/>
                <w:sz w:val="22"/>
                <w:szCs w:val="22"/>
                <w:lang w:val="en-US"/>
              </w:rPr>
            </w:pPr>
            <w:r w:rsidRPr="00631936">
              <w:rPr>
                <w:rFonts w:ascii="Garamond" w:hAnsi="Garamond" w:cstheme="minorHAnsi"/>
                <w:sz w:val="22"/>
                <w:szCs w:val="22"/>
                <w:lang w:val="en-US"/>
              </w:rPr>
              <w:t>Buy-Back</w:t>
            </w:r>
          </w:p>
        </w:tc>
        <w:tc>
          <w:tcPr>
            <w:tcW w:w="1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C34EF" w:rsidRPr="00631936" w:rsidRDefault="00DC34EF" w:rsidP="00DC34EF">
            <w:pPr>
              <w:ind w:right="93"/>
              <w:jc w:val="right"/>
              <w:rPr>
                <w:rFonts w:ascii="Garamond" w:hAnsi="Garamond" w:cstheme="minorHAnsi"/>
                <w:sz w:val="22"/>
                <w:szCs w:val="22"/>
                <w:lang w:val="en-US"/>
              </w:rPr>
            </w:pPr>
            <w:r w:rsidRPr="00631936">
              <w:rPr>
                <w:rFonts w:ascii="Garamond" w:hAnsi="Garamond" w:cstheme="minorHAnsi"/>
                <w:sz w:val="22"/>
                <w:szCs w:val="22"/>
                <w:lang w:val="en-US"/>
              </w:rPr>
              <w:t>22</w:t>
            </w:r>
          </w:p>
        </w:tc>
        <w:tc>
          <w:tcPr>
            <w:tcW w:w="1633"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tcPr>
          <w:p w:rsidR="00DC34EF" w:rsidRPr="00631936" w:rsidRDefault="00DC34EF" w:rsidP="00DC34EF">
            <w:pPr>
              <w:ind w:right="54"/>
              <w:jc w:val="right"/>
              <w:rPr>
                <w:rFonts w:ascii="Garamond" w:hAnsi="Garamond" w:cstheme="minorHAnsi"/>
                <w:sz w:val="22"/>
                <w:szCs w:val="22"/>
                <w:lang w:val="en-US"/>
              </w:rPr>
            </w:pPr>
            <w:r w:rsidRPr="00631936">
              <w:rPr>
                <w:rFonts w:ascii="Garamond" w:hAnsi="Garamond" w:cstheme="minorHAnsi"/>
                <w:sz w:val="22"/>
                <w:szCs w:val="22"/>
                <w:lang w:val="en-US"/>
              </w:rPr>
              <w:t>1,60,67,32,876</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DC34EF" w:rsidRPr="00631936" w:rsidRDefault="00DC34EF" w:rsidP="00DC34EF">
            <w:pPr>
              <w:ind w:right="109"/>
              <w:jc w:val="right"/>
              <w:rPr>
                <w:rFonts w:ascii="Garamond" w:hAnsi="Garamond" w:cstheme="minorHAnsi"/>
                <w:sz w:val="22"/>
                <w:szCs w:val="22"/>
                <w:lang w:val="en-US"/>
              </w:rPr>
            </w:pPr>
            <w:r w:rsidRPr="00631936">
              <w:rPr>
                <w:rFonts w:ascii="Garamond" w:hAnsi="Garamond" w:cstheme="minorHAnsi"/>
                <w:sz w:val="22"/>
                <w:szCs w:val="22"/>
                <w:lang w:val="en-US"/>
              </w:rPr>
              <w:t>2,08,436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C34EF" w:rsidRPr="00631936" w:rsidRDefault="00DC34EF" w:rsidP="00DC34EF">
            <w:pPr>
              <w:ind w:right="77"/>
              <w:jc w:val="right"/>
              <w:rPr>
                <w:rFonts w:ascii="Garamond" w:hAnsi="Garamond" w:cstheme="minorHAnsi"/>
                <w:sz w:val="22"/>
                <w:szCs w:val="22"/>
                <w:lang w:val="en-US"/>
              </w:rPr>
            </w:pPr>
            <w:r w:rsidRPr="00631936">
              <w:rPr>
                <w:rFonts w:ascii="Garamond" w:hAnsi="Garamond" w:cstheme="minorHAnsi"/>
                <w:sz w:val="22"/>
                <w:szCs w:val="22"/>
                <w:lang w:val="en-US"/>
              </w:rPr>
              <w:t>9,62,32,31,950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DC34EF" w:rsidRPr="00631936" w:rsidRDefault="00DC34EF" w:rsidP="00DC34EF">
            <w:pPr>
              <w:ind w:right="95"/>
              <w:jc w:val="right"/>
              <w:rPr>
                <w:rFonts w:ascii="Garamond" w:hAnsi="Garamond" w:cstheme="minorHAnsi"/>
                <w:sz w:val="22"/>
                <w:szCs w:val="22"/>
                <w:lang w:val="en-US"/>
              </w:rPr>
            </w:pPr>
            <w:r w:rsidRPr="00631936">
              <w:rPr>
                <w:rFonts w:ascii="Garamond" w:hAnsi="Garamond" w:cstheme="minorHAnsi"/>
                <w:sz w:val="22"/>
                <w:szCs w:val="22"/>
                <w:lang w:val="en-US"/>
              </w:rPr>
              <w:t>9,62,34,40,386</w:t>
            </w:r>
          </w:p>
        </w:tc>
      </w:tr>
      <w:tr w:rsidR="00DC34EF" w:rsidRPr="00631936" w:rsidTr="00DC34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C34EF" w:rsidRPr="00631936" w:rsidRDefault="00DC34EF" w:rsidP="00DC34EF">
            <w:pPr>
              <w:jc w:val="both"/>
              <w:rPr>
                <w:rFonts w:ascii="Garamond" w:hAnsi="Garamond" w:cstheme="minorHAnsi"/>
                <w:sz w:val="22"/>
                <w:szCs w:val="22"/>
                <w:lang w:val="en-US"/>
              </w:rPr>
            </w:pPr>
            <w:r w:rsidRPr="00631936">
              <w:rPr>
                <w:rFonts w:ascii="Garamond" w:hAnsi="Garamond" w:cstheme="minorHAnsi"/>
                <w:sz w:val="22"/>
                <w:szCs w:val="22"/>
                <w:lang w:val="en-US"/>
              </w:rPr>
              <w:t>Delisting</w:t>
            </w:r>
          </w:p>
        </w:tc>
        <w:tc>
          <w:tcPr>
            <w:tcW w:w="1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C34EF" w:rsidRPr="00631936" w:rsidRDefault="00DC34EF" w:rsidP="00DC34EF">
            <w:pPr>
              <w:ind w:right="93"/>
              <w:jc w:val="right"/>
              <w:rPr>
                <w:rFonts w:ascii="Garamond" w:hAnsi="Garamond" w:cstheme="minorHAnsi"/>
                <w:sz w:val="22"/>
                <w:szCs w:val="22"/>
                <w:lang w:val="en-US"/>
              </w:rPr>
            </w:pPr>
            <w:r w:rsidRPr="00631936">
              <w:rPr>
                <w:rFonts w:ascii="Garamond" w:hAnsi="Garamond" w:cstheme="minorHAnsi"/>
                <w:sz w:val="22"/>
                <w:szCs w:val="22"/>
                <w:lang w:val="en-US"/>
              </w:rPr>
              <w:t xml:space="preserve">                 2 </w:t>
            </w:r>
          </w:p>
        </w:tc>
        <w:tc>
          <w:tcPr>
            <w:tcW w:w="1633"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DC34EF" w:rsidRPr="00631936" w:rsidRDefault="00DC34EF" w:rsidP="00DC34EF">
            <w:pPr>
              <w:ind w:right="54"/>
              <w:jc w:val="both"/>
              <w:rPr>
                <w:rFonts w:ascii="Garamond" w:hAnsi="Garamond" w:cstheme="minorHAnsi"/>
                <w:sz w:val="22"/>
                <w:szCs w:val="22"/>
                <w:lang w:val="en-US"/>
              </w:rPr>
            </w:pPr>
            <w:r w:rsidRPr="00631936">
              <w:rPr>
                <w:rFonts w:ascii="Garamond" w:hAnsi="Garamond" w:cstheme="minorHAnsi"/>
                <w:sz w:val="22"/>
                <w:szCs w:val="22"/>
                <w:lang w:val="en-US"/>
              </w:rPr>
              <w:t xml:space="preserve">         3,50,27,718 </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C34EF" w:rsidRPr="00631936" w:rsidRDefault="00DC34EF" w:rsidP="00DC34EF">
            <w:pPr>
              <w:ind w:right="109"/>
              <w:jc w:val="both"/>
              <w:rPr>
                <w:rFonts w:ascii="Garamond" w:hAnsi="Garamond" w:cstheme="minorHAnsi"/>
                <w:sz w:val="22"/>
                <w:szCs w:val="22"/>
                <w:lang w:val="en-US"/>
              </w:rPr>
            </w:pPr>
            <w:r w:rsidRPr="00631936">
              <w:rPr>
                <w:rFonts w:ascii="Garamond" w:hAnsi="Garamond" w:cstheme="minorHAnsi"/>
                <w:sz w:val="22"/>
                <w:szCs w:val="22"/>
                <w:lang w:val="en-US"/>
              </w:rPr>
              <w:t xml:space="preserve">                     -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C34EF" w:rsidRPr="00631936" w:rsidRDefault="00DC34EF" w:rsidP="00DC34EF">
            <w:pPr>
              <w:ind w:right="77"/>
              <w:jc w:val="right"/>
              <w:rPr>
                <w:rFonts w:ascii="Garamond" w:hAnsi="Garamond" w:cstheme="minorHAnsi"/>
                <w:sz w:val="22"/>
                <w:szCs w:val="22"/>
                <w:lang w:val="en-US"/>
              </w:rPr>
            </w:pPr>
            <w:r w:rsidRPr="00631936">
              <w:rPr>
                <w:rFonts w:ascii="Garamond" w:hAnsi="Garamond" w:cstheme="minorHAnsi"/>
                <w:sz w:val="22"/>
                <w:szCs w:val="22"/>
                <w:lang w:val="en-US"/>
              </w:rPr>
              <w:t xml:space="preserve">           2,63,15,696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C34EF" w:rsidRPr="00631936" w:rsidRDefault="00DC34EF" w:rsidP="00DC34EF">
            <w:pPr>
              <w:ind w:right="95"/>
              <w:jc w:val="right"/>
              <w:rPr>
                <w:rFonts w:ascii="Garamond" w:hAnsi="Garamond" w:cstheme="minorHAnsi"/>
                <w:sz w:val="22"/>
                <w:szCs w:val="22"/>
                <w:lang w:val="en-US"/>
              </w:rPr>
            </w:pPr>
            <w:r w:rsidRPr="00631936">
              <w:rPr>
                <w:rFonts w:ascii="Garamond" w:hAnsi="Garamond" w:cstheme="minorHAnsi"/>
                <w:sz w:val="22"/>
                <w:szCs w:val="22"/>
                <w:lang w:val="en-US"/>
              </w:rPr>
              <w:t xml:space="preserve">            2,63,15,696 </w:t>
            </w:r>
          </w:p>
        </w:tc>
      </w:tr>
      <w:tr w:rsidR="00DC34EF" w:rsidRPr="00631936" w:rsidTr="00DC34EF">
        <w:trPr>
          <w:trHeight w:val="41"/>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C34EF" w:rsidRPr="00631936" w:rsidRDefault="00DC34EF" w:rsidP="00DC34EF">
            <w:pPr>
              <w:jc w:val="both"/>
              <w:rPr>
                <w:rFonts w:ascii="Garamond" w:hAnsi="Garamond" w:cstheme="minorHAnsi"/>
                <w:sz w:val="22"/>
                <w:szCs w:val="22"/>
                <w:lang w:val="en-US"/>
              </w:rPr>
            </w:pPr>
            <w:r w:rsidRPr="00631936">
              <w:rPr>
                <w:rFonts w:ascii="Garamond" w:hAnsi="Garamond" w:cstheme="minorHAnsi"/>
                <w:sz w:val="22"/>
                <w:szCs w:val="22"/>
                <w:lang w:val="en-US"/>
              </w:rPr>
              <w:t>SAST</w:t>
            </w:r>
          </w:p>
        </w:tc>
        <w:tc>
          <w:tcPr>
            <w:tcW w:w="1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C34EF" w:rsidRPr="00631936" w:rsidRDefault="00DC34EF" w:rsidP="00DC34EF">
            <w:pPr>
              <w:ind w:right="93"/>
              <w:jc w:val="right"/>
              <w:rPr>
                <w:rFonts w:ascii="Garamond" w:hAnsi="Garamond" w:cstheme="minorHAnsi"/>
                <w:sz w:val="22"/>
                <w:szCs w:val="22"/>
                <w:lang w:val="en-US"/>
              </w:rPr>
            </w:pPr>
            <w:r w:rsidRPr="00631936">
              <w:rPr>
                <w:rFonts w:ascii="Garamond" w:hAnsi="Garamond" w:cstheme="minorHAnsi"/>
                <w:sz w:val="22"/>
                <w:szCs w:val="22"/>
                <w:lang w:val="en-US"/>
              </w:rPr>
              <w:t xml:space="preserve">                 8 </w:t>
            </w:r>
          </w:p>
        </w:tc>
        <w:tc>
          <w:tcPr>
            <w:tcW w:w="1633"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DC34EF" w:rsidRPr="00631936" w:rsidRDefault="00DC34EF" w:rsidP="00DC34EF">
            <w:pPr>
              <w:ind w:right="54"/>
              <w:jc w:val="right"/>
              <w:rPr>
                <w:rFonts w:ascii="Garamond" w:hAnsi="Garamond" w:cstheme="minorHAnsi"/>
                <w:sz w:val="22"/>
                <w:szCs w:val="22"/>
                <w:lang w:val="en-US"/>
              </w:rPr>
            </w:pPr>
            <w:r w:rsidRPr="00631936">
              <w:rPr>
                <w:rFonts w:ascii="Garamond" w:hAnsi="Garamond" w:cstheme="minorHAnsi"/>
                <w:sz w:val="22"/>
                <w:szCs w:val="22"/>
                <w:lang w:val="en-US"/>
              </w:rPr>
              <w:t xml:space="preserve">       20,74,92,275 </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C34EF" w:rsidRPr="00631936" w:rsidRDefault="00DC34EF" w:rsidP="00DC34EF">
            <w:pPr>
              <w:ind w:right="109"/>
              <w:jc w:val="both"/>
              <w:rPr>
                <w:rFonts w:ascii="Garamond" w:hAnsi="Garamond" w:cstheme="minorHAnsi"/>
                <w:sz w:val="22"/>
                <w:szCs w:val="22"/>
                <w:lang w:val="en-US"/>
              </w:rPr>
            </w:pPr>
            <w:r w:rsidRPr="00631936">
              <w:rPr>
                <w:rFonts w:ascii="Garamond" w:hAnsi="Garamond" w:cstheme="minorHAnsi"/>
                <w:sz w:val="22"/>
                <w:szCs w:val="22"/>
                <w:lang w:val="en-US"/>
              </w:rPr>
              <w:t xml:space="preserve">                     -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C34EF" w:rsidRPr="00631936" w:rsidRDefault="00DC34EF" w:rsidP="00DC34EF">
            <w:pPr>
              <w:ind w:right="77"/>
              <w:jc w:val="right"/>
              <w:rPr>
                <w:rFonts w:ascii="Garamond" w:hAnsi="Garamond" w:cstheme="minorHAnsi"/>
                <w:sz w:val="22"/>
                <w:szCs w:val="22"/>
                <w:lang w:val="en-US"/>
              </w:rPr>
            </w:pPr>
            <w:r w:rsidRPr="00631936">
              <w:rPr>
                <w:rFonts w:ascii="Garamond" w:hAnsi="Garamond" w:cstheme="minorHAnsi"/>
                <w:sz w:val="22"/>
                <w:szCs w:val="22"/>
                <w:lang w:val="en-US"/>
              </w:rPr>
              <w:t xml:space="preserve">         19,05,40,751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C34EF" w:rsidRPr="00631936" w:rsidRDefault="00DC34EF" w:rsidP="00DC34EF">
            <w:pPr>
              <w:ind w:right="95"/>
              <w:jc w:val="right"/>
              <w:rPr>
                <w:rFonts w:ascii="Garamond" w:hAnsi="Garamond" w:cstheme="minorHAnsi"/>
                <w:sz w:val="22"/>
                <w:szCs w:val="22"/>
                <w:lang w:val="en-US"/>
              </w:rPr>
            </w:pPr>
            <w:r w:rsidRPr="00631936">
              <w:rPr>
                <w:rFonts w:ascii="Garamond" w:hAnsi="Garamond" w:cstheme="minorHAnsi"/>
                <w:sz w:val="22"/>
                <w:szCs w:val="22"/>
                <w:lang w:val="en-US"/>
              </w:rPr>
              <w:t xml:space="preserve">          19,05,40,751 </w:t>
            </w:r>
          </w:p>
        </w:tc>
      </w:tr>
      <w:tr w:rsidR="00DC34EF" w:rsidRPr="00631936" w:rsidTr="00DC34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C34EF" w:rsidRPr="00631936" w:rsidRDefault="00DC34EF" w:rsidP="00DC34EF">
            <w:pPr>
              <w:jc w:val="both"/>
              <w:rPr>
                <w:rFonts w:ascii="Garamond" w:hAnsi="Garamond" w:cstheme="minorHAnsi"/>
                <w:b/>
                <w:bCs/>
                <w:sz w:val="22"/>
                <w:szCs w:val="22"/>
                <w:lang w:val="en-US"/>
              </w:rPr>
            </w:pPr>
            <w:r w:rsidRPr="00631936">
              <w:rPr>
                <w:rFonts w:ascii="Garamond" w:hAnsi="Garamond" w:cstheme="minorHAnsi"/>
                <w:b/>
                <w:bCs/>
                <w:sz w:val="22"/>
                <w:szCs w:val="22"/>
                <w:lang w:val="en-US"/>
              </w:rPr>
              <w:t>Total</w:t>
            </w:r>
          </w:p>
        </w:tc>
        <w:tc>
          <w:tcPr>
            <w:tcW w:w="1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C34EF" w:rsidRPr="00631936" w:rsidRDefault="00DC34EF" w:rsidP="00DC34EF">
            <w:pPr>
              <w:ind w:right="93"/>
              <w:jc w:val="right"/>
              <w:rPr>
                <w:rFonts w:ascii="Garamond" w:hAnsi="Garamond" w:cstheme="minorHAnsi"/>
                <w:sz w:val="22"/>
                <w:szCs w:val="22"/>
                <w:lang w:val="en-US"/>
              </w:rPr>
            </w:pPr>
            <w:r w:rsidRPr="00631936">
              <w:rPr>
                <w:rFonts w:ascii="Garamond" w:hAnsi="Garamond" w:cstheme="minorHAnsi"/>
                <w:sz w:val="22"/>
                <w:szCs w:val="22"/>
                <w:lang w:val="en-US"/>
              </w:rPr>
              <w:t xml:space="preserve">               32 </w:t>
            </w:r>
          </w:p>
        </w:tc>
        <w:tc>
          <w:tcPr>
            <w:tcW w:w="163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C34EF" w:rsidRPr="00631936" w:rsidRDefault="00DC34EF" w:rsidP="00DC34EF">
            <w:pPr>
              <w:ind w:right="54"/>
              <w:jc w:val="right"/>
              <w:rPr>
                <w:rFonts w:ascii="Garamond" w:hAnsi="Garamond" w:cstheme="minorHAnsi"/>
                <w:sz w:val="22"/>
                <w:szCs w:val="22"/>
                <w:lang w:val="en-US"/>
              </w:rPr>
            </w:pPr>
            <w:r w:rsidRPr="00631936">
              <w:rPr>
                <w:rFonts w:ascii="Garamond" w:hAnsi="Garamond" w:cstheme="minorHAnsi"/>
                <w:sz w:val="22"/>
                <w:szCs w:val="22"/>
                <w:lang w:val="en-US"/>
              </w:rPr>
              <w:t xml:space="preserve">   1,84,92,52,869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C34EF" w:rsidRPr="00631936" w:rsidRDefault="00DC34EF" w:rsidP="00DC34EF">
            <w:pPr>
              <w:ind w:right="109"/>
              <w:jc w:val="right"/>
              <w:rPr>
                <w:rFonts w:ascii="Garamond" w:hAnsi="Garamond" w:cstheme="minorHAnsi"/>
                <w:sz w:val="22"/>
                <w:szCs w:val="22"/>
                <w:lang w:val="en-US"/>
              </w:rPr>
            </w:pPr>
            <w:r w:rsidRPr="00631936">
              <w:rPr>
                <w:rFonts w:ascii="Garamond" w:hAnsi="Garamond" w:cstheme="minorHAnsi"/>
                <w:sz w:val="22"/>
                <w:szCs w:val="22"/>
                <w:lang w:val="en-US"/>
              </w:rPr>
              <w:t xml:space="preserve">       2,08,436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C34EF" w:rsidRPr="00631936" w:rsidRDefault="00DC34EF" w:rsidP="00DC34EF">
            <w:pPr>
              <w:ind w:right="77"/>
              <w:jc w:val="right"/>
              <w:rPr>
                <w:rFonts w:ascii="Garamond" w:hAnsi="Garamond" w:cstheme="minorHAnsi"/>
                <w:sz w:val="22"/>
                <w:szCs w:val="22"/>
                <w:lang w:val="en-US"/>
              </w:rPr>
            </w:pPr>
            <w:r w:rsidRPr="00631936">
              <w:rPr>
                <w:rFonts w:ascii="Garamond" w:hAnsi="Garamond" w:cstheme="minorHAnsi"/>
                <w:sz w:val="22"/>
                <w:szCs w:val="22"/>
                <w:lang w:val="en-US"/>
              </w:rPr>
              <w:t xml:space="preserve">      9,84,00,88,397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C34EF" w:rsidRPr="00631936" w:rsidRDefault="00DC34EF" w:rsidP="00DC34EF">
            <w:pPr>
              <w:ind w:right="95"/>
              <w:jc w:val="right"/>
              <w:rPr>
                <w:rFonts w:ascii="Garamond" w:hAnsi="Garamond" w:cstheme="minorHAnsi"/>
                <w:sz w:val="22"/>
                <w:szCs w:val="22"/>
                <w:lang w:val="en-US"/>
              </w:rPr>
            </w:pPr>
            <w:r w:rsidRPr="00631936">
              <w:rPr>
                <w:rFonts w:ascii="Garamond" w:hAnsi="Garamond" w:cstheme="minorHAnsi"/>
                <w:sz w:val="22"/>
                <w:szCs w:val="22"/>
                <w:lang w:val="en-US"/>
              </w:rPr>
              <w:t xml:space="preserve">      9,84,02,96,833 </w:t>
            </w:r>
          </w:p>
        </w:tc>
      </w:tr>
    </w:tbl>
    <w:p w:rsidR="00A20B1A" w:rsidRDefault="00A20B1A" w:rsidP="002E1041">
      <w:pPr>
        <w:jc w:val="both"/>
        <w:rPr>
          <w:rFonts w:ascii="Garamond" w:hAnsi="Garamond" w:cstheme="minorHAnsi"/>
          <w:lang w:val="en-US"/>
        </w:rPr>
      </w:pPr>
    </w:p>
    <w:p w:rsidR="002E1041" w:rsidRDefault="00DC34EF" w:rsidP="002E1041">
      <w:pPr>
        <w:jc w:val="both"/>
        <w:rPr>
          <w:rFonts w:ascii="Garamond" w:hAnsi="Garamond" w:cstheme="minorHAnsi"/>
          <w:lang w:val="en-US"/>
        </w:rPr>
      </w:pPr>
      <w:r w:rsidRPr="00DC34EF">
        <w:rPr>
          <w:rFonts w:ascii="Garamond" w:hAnsi="Garamond" w:cstheme="minorHAnsi"/>
          <w:lang w:val="en-US"/>
        </w:rPr>
        <w:t xml:space="preserve">Notwithstanding, the miniscule number of physical shares tendered in CR, tendering of physical shares in CR has to be disallowed, as detailed in paragraph </w:t>
      </w:r>
      <w:r w:rsidRPr="00DC34EF">
        <w:rPr>
          <w:rFonts w:ascii="Garamond" w:hAnsi="Garamond" w:cstheme="minorHAnsi"/>
          <w:lang w:val="en-US"/>
        </w:rPr>
        <w:fldChar w:fldCharType="begin"/>
      </w:r>
      <w:r w:rsidRPr="00DC34EF">
        <w:rPr>
          <w:rFonts w:ascii="Garamond" w:hAnsi="Garamond" w:cstheme="minorHAnsi"/>
          <w:lang w:val="en-US"/>
        </w:rPr>
        <w:instrText xml:space="preserve"> REF _Ref60133939 \r \h  \* MERGEFORMAT </w:instrText>
      </w:r>
      <w:r w:rsidRPr="00DC34EF">
        <w:rPr>
          <w:rFonts w:ascii="Garamond" w:hAnsi="Garamond" w:cstheme="minorHAnsi"/>
          <w:lang w:val="en-US"/>
        </w:rPr>
      </w:r>
      <w:r w:rsidRPr="00DC34EF">
        <w:rPr>
          <w:rFonts w:ascii="Garamond" w:hAnsi="Garamond" w:cstheme="minorHAnsi"/>
          <w:lang w:val="en-US"/>
        </w:rPr>
        <w:fldChar w:fldCharType="separate"/>
      </w:r>
      <w:r w:rsidRPr="00DC34EF">
        <w:rPr>
          <w:rFonts w:ascii="Garamond" w:hAnsi="Garamond" w:cstheme="minorHAnsi"/>
          <w:lang w:val="en-US"/>
        </w:rPr>
        <w:t>I.6.1</w:t>
      </w:r>
      <w:r w:rsidRPr="00DC34EF">
        <w:rPr>
          <w:rFonts w:ascii="Garamond" w:hAnsi="Garamond" w:cstheme="minorHAnsi"/>
          <w:lang w:val="en-US"/>
        </w:rPr>
        <w:fldChar w:fldCharType="end"/>
      </w:r>
      <w:r w:rsidRPr="00DC34EF">
        <w:rPr>
          <w:rFonts w:ascii="Garamond" w:hAnsi="Garamond" w:cstheme="minorHAnsi"/>
          <w:lang w:val="en-US"/>
        </w:rPr>
        <w:t xml:space="preserve"> in ‘Introduction’.</w:t>
      </w:r>
    </w:p>
    <w:p w:rsidR="003A028D" w:rsidRDefault="003A028D" w:rsidP="002E1041">
      <w:pPr>
        <w:jc w:val="center"/>
        <w:rPr>
          <w:rFonts w:ascii="Garamond" w:hAnsi="Garamond" w:cs="Helvetica"/>
          <w:b/>
          <w:color w:val="1F4E79" w:themeColor="accent1" w:themeShade="80"/>
          <w:sz w:val="28"/>
          <w:szCs w:val="28"/>
        </w:rPr>
      </w:pPr>
    </w:p>
    <w:p w:rsidR="003A028D" w:rsidRDefault="003A028D" w:rsidP="002E1041">
      <w:pPr>
        <w:jc w:val="center"/>
        <w:rPr>
          <w:rFonts w:ascii="Garamond" w:hAnsi="Garamond" w:cs="Helvetica"/>
          <w:b/>
          <w:color w:val="1F4E79" w:themeColor="accent1" w:themeShade="80"/>
          <w:sz w:val="28"/>
          <w:szCs w:val="28"/>
        </w:rPr>
      </w:pPr>
    </w:p>
    <w:p w:rsidR="003A028D" w:rsidRDefault="003A028D" w:rsidP="002E1041">
      <w:pPr>
        <w:jc w:val="center"/>
        <w:rPr>
          <w:rFonts w:ascii="Garamond" w:hAnsi="Garamond" w:cs="Helvetica"/>
          <w:b/>
          <w:color w:val="1F4E79" w:themeColor="accent1" w:themeShade="80"/>
          <w:sz w:val="28"/>
          <w:szCs w:val="28"/>
        </w:rPr>
      </w:pPr>
    </w:p>
    <w:p w:rsidR="003A028D" w:rsidRDefault="003A028D" w:rsidP="002E1041">
      <w:pPr>
        <w:jc w:val="center"/>
        <w:rPr>
          <w:rFonts w:ascii="Garamond" w:hAnsi="Garamond" w:cs="Helvetica"/>
          <w:b/>
          <w:color w:val="1F4E79" w:themeColor="accent1" w:themeShade="80"/>
          <w:sz w:val="28"/>
          <w:szCs w:val="28"/>
        </w:rPr>
      </w:pPr>
    </w:p>
    <w:p w:rsidR="003A028D" w:rsidRDefault="003A028D" w:rsidP="002E1041">
      <w:pPr>
        <w:jc w:val="center"/>
        <w:rPr>
          <w:rFonts w:ascii="Garamond" w:hAnsi="Garamond" w:cs="Helvetica"/>
          <w:b/>
          <w:color w:val="1F4E79" w:themeColor="accent1" w:themeShade="80"/>
          <w:sz w:val="28"/>
          <w:szCs w:val="28"/>
        </w:rPr>
      </w:pPr>
    </w:p>
    <w:p w:rsidR="003A028D" w:rsidRDefault="003A028D" w:rsidP="002E1041">
      <w:pPr>
        <w:jc w:val="center"/>
        <w:rPr>
          <w:rFonts w:ascii="Garamond" w:hAnsi="Garamond" w:cs="Helvetica"/>
          <w:b/>
          <w:color w:val="1F4E79" w:themeColor="accent1" w:themeShade="80"/>
          <w:sz w:val="28"/>
          <w:szCs w:val="28"/>
        </w:rPr>
      </w:pPr>
    </w:p>
    <w:p w:rsidR="00A20B1A" w:rsidRDefault="00A20B1A" w:rsidP="002E1041">
      <w:pPr>
        <w:jc w:val="center"/>
        <w:rPr>
          <w:rFonts w:ascii="Garamond" w:hAnsi="Garamond" w:cs="Helvetica"/>
          <w:b/>
          <w:color w:val="1F4E79" w:themeColor="accent1" w:themeShade="80"/>
          <w:sz w:val="28"/>
          <w:szCs w:val="28"/>
        </w:rPr>
      </w:pPr>
    </w:p>
    <w:p w:rsidR="00A20B1A" w:rsidRDefault="00A20B1A" w:rsidP="002E1041">
      <w:pPr>
        <w:jc w:val="center"/>
        <w:rPr>
          <w:rFonts w:ascii="Garamond" w:hAnsi="Garamond" w:cs="Helvetica"/>
          <w:b/>
          <w:color w:val="1F4E79" w:themeColor="accent1" w:themeShade="80"/>
          <w:sz w:val="28"/>
          <w:szCs w:val="28"/>
        </w:rPr>
      </w:pPr>
    </w:p>
    <w:p w:rsidR="00A20B1A" w:rsidRDefault="00A20B1A" w:rsidP="002E1041">
      <w:pPr>
        <w:jc w:val="center"/>
        <w:rPr>
          <w:rFonts w:ascii="Garamond" w:hAnsi="Garamond" w:cs="Helvetica"/>
          <w:b/>
          <w:color w:val="1F4E79" w:themeColor="accent1" w:themeShade="80"/>
          <w:sz w:val="28"/>
          <w:szCs w:val="28"/>
        </w:rPr>
      </w:pPr>
    </w:p>
    <w:p w:rsidR="00A20B1A" w:rsidRDefault="00A20B1A" w:rsidP="002E1041">
      <w:pPr>
        <w:jc w:val="center"/>
        <w:rPr>
          <w:rFonts w:ascii="Garamond" w:hAnsi="Garamond" w:cs="Helvetica"/>
          <w:b/>
          <w:color w:val="1F4E79" w:themeColor="accent1" w:themeShade="80"/>
          <w:sz w:val="28"/>
          <w:szCs w:val="28"/>
        </w:rPr>
      </w:pPr>
    </w:p>
    <w:p w:rsidR="00A20B1A" w:rsidRDefault="00A20B1A" w:rsidP="002E1041">
      <w:pPr>
        <w:jc w:val="center"/>
        <w:rPr>
          <w:rFonts w:ascii="Garamond" w:hAnsi="Garamond" w:cs="Helvetica"/>
          <w:b/>
          <w:color w:val="1F4E79" w:themeColor="accent1" w:themeShade="80"/>
          <w:sz w:val="28"/>
          <w:szCs w:val="28"/>
        </w:rPr>
      </w:pPr>
    </w:p>
    <w:p w:rsidR="00A20B1A" w:rsidRDefault="00A20B1A" w:rsidP="002E1041">
      <w:pPr>
        <w:jc w:val="center"/>
        <w:rPr>
          <w:rFonts w:ascii="Garamond" w:hAnsi="Garamond" w:cs="Helvetica"/>
          <w:b/>
          <w:color w:val="1F4E79" w:themeColor="accent1" w:themeShade="80"/>
          <w:sz w:val="28"/>
          <w:szCs w:val="28"/>
        </w:rPr>
      </w:pPr>
    </w:p>
    <w:p w:rsidR="00A20B1A" w:rsidRDefault="00A20B1A" w:rsidP="002E1041">
      <w:pPr>
        <w:jc w:val="center"/>
        <w:rPr>
          <w:rFonts w:ascii="Garamond" w:hAnsi="Garamond" w:cs="Helvetica"/>
          <w:b/>
          <w:color w:val="1F4E79" w:themeColor="accent1" w:themeShade="80"/>
          <w:sz w:val="28"/>
          <w:szCs w:val="28"/>
        </w:rPr>
      </w:pPr>
    </w:p>
    <w:p w:rsidR="00A20B1A" w:rsidRDefault="00A20B1A" w:rsidP="002E1041">
      <w:pPr>
        <w:jc w:val="center"/>
        <w:rPr>
          <w:rFonts w:ascii="Garamond" w:hAnsi="Garamond" w:cs="Helvetica"/>
          <w:b/>
          <w:color w:val="1F4E79" w:themeColor="accent1" w:themeShade="80"/>
          <w:sz w:val="28"/>
          <w:szCs w:val="28"/>
        </w:rPr>
      </w:pPr>
    </w:p>
    <w:p w:rsidR="00A20B1A" w:rsidRDefault="00A20B1A" w:rsidP="002E1041">
      <w:pPr>
        <w:jc w:val="center"/>
        <w:rPr>
          <w:rFonts w:ascii="Garamond" w:hAnsi="Garamond" w:cs="Helvetica"/>
          <w:b/>
          <w:color w:val="1F4E79" w:themeColor="accent1" w:themeShade="80"/>
          <w:sz w:val="28"/>
          <w:szCs w:val="28"/>
        </w:rPr>
      </w:pPr>
    </w:p>
    <w:p w:rsidR="00A20B1A" w:rsidRDefault="00A20B1A" w:rsidP="002E1041">
      <w:pPr>
        <w:jc w:val="center"/>
        <w:rPr>
          <w:rFonts w:ascii="Garamond" w:hAnsi="Garamond" w:cs="Helvetica"/>
          <w:b/>
          <w:color w:val="1F4E79" w:themeColor="accent1" w:themeShade="80"/>
          <w:sz w:val="28"/>
          <w:szCs w:val="28"/>
        </w:rPr>
      </w:pPr>
    </w:p>
    <w:p w:rsidR="00A20B1A" w:rsidRDefault="00A20B1A" w:rsidP="002E1041">
      <w:pPr>
        <w:jc w:val="center"/>
        <w:rPr>
          <w:rFonts w:ascii="Garamond" w:hAnsi="Garamond" w:cs="Helvetica"/>
          <w:b/>
          <w:color w:val="1F4E79" w:themeColor="accent1" w:themeShade="80"/>
          <w:sz w:val="28"/>
          <w:szCs w:val="28"/>
        </w:rPr>
      </w:pPr>
    </w:p>
    <w:p w:rsidR="00A20B1A" w:rsidRDefault="00A20B1A" w:rsidP="002E1041">
      <w:pPr>
        <w:jc w:val="center"/>
        <w:rPr>
          <w:rFonts w:ascii="Garamond" w:hAnsi="Garamond" w:cs="Helvetica"/>
          <w:b/>
          <w:color w:val="1F4E79" w:themeColor="accent1" w:themeShade="80"/>
          <w:sz w:val="28"/>
          <w:szCs w:val="28"/>
        </w:rPr>
      </w:pPr>
    </w:p>
    <w:p w:rsidR="00A20B1A" w:rsidRDefault="00A20B1A" w:rsidP="002E1041">
      <w:pPr>
        <w:jc w:val="center"/>
        <w:rPr>
          <w:rFonts w:ascii="Garamond" w:hAnsi="Garamond" w:cs="Helvetica"/>
          <w:b/>
          <w:color w:val="1F4E79" w:themeColor="accent1" w:themeShade="80"/>
          <w:sz w:val="28"/>
          <w:szCs w:val="28"/>
        </w:rPr>
      </w:pPr>
    </w:p>
    <w:p w:rsidR="00A20B1A" w:rsidRDefault="00A20B1A" w:rsidP="002E1041">
      <w:pPr>
        <w:jc w:val="center"/>
        <w:rPr>
          <w:rFonts w:ascii="Garamond" w:hAnsi="Garamond" w:cs="Helvetica"/>
          <w:b/>
          <w:color w:val="1F4E79" w:themeColor="accent1" w:themeShade="80"/>
          <w:sz w:val="28"/>
          <w:szCs w:val="28"/>
        </w:rPr>
      </w:pPr>
    </w:p>
    <w:p w:rsidR="00D91B4B" w:rsidRDefault="00D91B4B" w:rsidP="002E1041">
      <w:pPr>
        <w:jc w:val="center"/>
        <w:rPr>
          <w:rFonts w:ascii="Garamond" w:hAnsi="Garamond" w:cs="Helvetica"/>
          <w:b/>
          <w:color w:val="1F4E79" w:themeColor="accent1" w:themeShade="80"/>
          <w:sz w:val="28"/>
          <w:szCs w:val="28"/>
        </w:rPr>
      </w:pPr>
    </w:p>
    <w:p w:rsidR="006A6CB3" w:rsidRPr="002E1041" w:rsidRDefault="006A6CB3" w:rsidP="002E1041">
      <w:pPr>
        <w:jc w:val="center"/>
        <w:rPr>
          <w:rFonts w:ascii="Garamond" w:hAnsi="Garamond" w:cstheme="minorHAnsi"/>
          <w:lang w:val="en-US"/>
        </w:rPr>
      </w:pPr>
      <w:r w:rsidRPr="00C4512E">
        <w:rPr>
          <w:rFonts w:ascii="Garamond" w:hAnsi="Garamond" w:cs="Helvetica"/>
          <w:b/>
          <w:color w:val="1F4E79" w:themeColor="accent1" w:themeShade="80"/>
          <w:sz w:val="28"/>
          <w:szCs w:val="28"/>
        </w:rPr>
        <w:t>CAPITAL MARKET REVIEW</w:t>
      </w:r>
    </w:p>
    <w:p w:rsidR="006A6CB3" w:rsidRPr="00C4512E" w:rsidRDefault="006A6CB3" w:rsidP="006A6CB3">
      <w:pPr>
        <w:jc w:val="center"/>
        <w:outlineLvl w:val="0"/>
        <w:rPr>
          <w:rFonts w:ascii="Garamond" w:hAnsi="Garamond" w:cs="Helvetica"/>
          <w:b/>
          <w:color w:val="1F4E79" w:themeColor="accent1" w:themeShade="80"/>
        </w:rPr>
      </w:pPr>
    </w:p>
    <w:p w:rsidR="006A6CB3" w:rsidRPr="006A6CB3" w:rsidRDefault="006A6CB3" w:rsidP="006A6CB3">
      <w:pPr>
        <w:widowControl w:val="0"/>
        <w:ind w:left="-284"/>
        <w:jc w:val="both"/>
        <w:rPr>
          <w:rFonts w:ascii="Garamond" w:hAnsi="Garamond"/>
          <w:b/>
          <w:color w:val="0F0684"/>
        </w:rPr>
      </w:pPr>
    </w:p>
    <w:p w:rsidR="006A6CB3" w:rsidRPr="00545C71" w:rsidRDefault="006A6CB3" w:rsidP="00545C71">
      <w:pPr>
        <w:widowControl w:val="0"/>
        <w:numPr>
          <w:ilvl w:val="0"/>
          <w:numId w:val="2"/>
        </w:numPr>
        <w:spacing w:line="276" w:lineRule="auto"/>
        <w:ind w:left="454" w:hanging="454"/>
        <w:rPr>
          <w:rFonts w:ascii="Garamond" w:eastAsia="Palatino Linotype" w:hAnsi="Garamond" w:cs="Palatino Linotype"/>
          <w:b/>
        </w:rPr>
      </w:pPr>
      <w:r w:rsidRPr="006A6CB3">
        <w:rPr>
          <w:rFonts w:ascii="Garamond" w:eastAsia="Palatino Linotype" w:hAnsi="Garamond" w:cs="Palatino Linotype"/>
          <w:b/>
        </w:rPr>
        <w:t xml:space="preserve">Trends in Resource Mobilisation by Corporates  </w:t>
      </w:r>
    </w:p>
    <w:p w:rsidR="00D0348E" w:rsidRPr="00D0348E" w:rsidRDefault="00D0348E" w:rsidP="00545C71">
      <w:pPr>
        <w:numPr>
          <w:ilvl w:val="0"/>
          <w:numId w:val="1"/>
        </w:numPr>
        <w:pBdr>
          <w:between w:val="nil"/>
        </w:pBdr>
        <w:ind w:left="714" w:hanging="357"/>
        <w:contextualSpacing/>
        <w:jc w:val="both"/>
        <w:rPr>
          <w:rFonts w:ascii="Garamond" w:eastAsia="Palatino Linotype" w:hAnsi="Garamond" w:cs="Palatino Linotype"/>
        </w:rPr>
      </w:pPr>
      <w:r w:rsidRPr="00D0348E">
        <w:rPr>
          <w:rFonts w:ascii="Garamond" w:eastAsia="Palatino Linotype" w:hAnsi="Garamond" w:cs="Palatino Linotype"/>
        </w:rPr>
        <w:t>Resource mobilised through equity issu</w:t>
      </w:r>
      <w:r w:rsidR="001846C4">
        <w:rPr>
          <w:rFonts w:ascii="Garamond" w:eastAsia="Palatino Linotype" w:hAnsi="Garamond" w:cs="Palatino Linotype"/>
        </w:rPr>
        <w:t>e</w:t>
      </w:r>
      <w:r w:rsidR="00545C71">
        <w:rPr>
          <w:rFonts w:ascii="Garamond" w:eastAsia="Palatino Linotype" w:hAnsi="Garamond" w:cs="Palatino Linotype"/>
        </w:rPr>
        <w:t>s</w:t>
      </w:r>
      <w:r w:rsidRPr="00D0348E">
        <w:rPr>
          <w:rFonts w:ascii="Garamond" w:eastAsia="Palatino Linotype" w:hAnsi="Garamond" w:cs="Palatino Linotype"/>
        </w:rPr>
        <w:t xml:space="preserve"> </w:t>
      </w:r>
      <w:r w:rsidR="003A028D">
        <w:rPr>
          <w:rFonts w:ascii="Garamond" w:eastAsia="Palatino Linotype" w:hAnsi="Garamond" w:cs="Palatino Linotype"/>
        </w:rPr>
        <w:t>declined</w:t>
      </w:r>
      <w:r w:rsidRPr="00D0348E">
        <w:rPr>
          <w:rFonts w:ascii="Garamond" w:eastAsia="Palatino Linotype" w:hAnsi="Garamond" w:cs="Palatino Linotype"/>
        </w:rPr>
        <w:t xml:space="preserve"> by </w:t>
      </w:r>
      <w:r w:rsidR="001846C4">
        <w:rPr>
          <w:rFonts w:ascii="Garamond" w:eastAsia="Palatino Linotype" w:hAnsi="Garamond" w:cs="Palatino Linotype"/>
        </w:rPr>
        <w:t xml:space="preserve">48.4 </w:t>
      </w:r>
      <w:r w:rsidRPr="00D0348E">
        <w:rPr>
          <w:rFonts w:ascii="Garamond" w:eastAsia="Palatino Linotype" w:hAnsi="Garamond" w:cs="Palatino Linotype"/>
        </w:rPr>
        <w:t xml:space="preserve">per cent month on month in October 2021. During the month, </w:t>
      </w:r>
      <w:r w:rsidR="00C538C1">
        <w:rPr>
          <w:rFonts w:ascii="Garamond" w:eastAsia="Palatino Linotype" w:hAnsi="Garamond" w:cs="Palatino Linotype"/>
        </w:rPr>
        <w:t>13</w:t>
      </w:r>
      <w:r w:rsidRPr="00D0348E">
        <w:rPr>
          <w:rFonts w:ascii="Garamond" w:eastAsia="Palatino Linotype" w:hAnsi="Garamond" w:cs="Palatino Linotype"/>
        </w:rPr>
        <w:t xml:space="preserve"> new issues raised  </w:t>
      </w:r>
      <w:r w:rsidRPr="00D0348E">
        <w:rPr>
          <w:rFonts w:ascii="Times New Roman" w:eastAsia="Palatino Linotype" w:hAnsi="Times New Roman"/>
        </w:rPr>
        <w:t>₹</w:t>
      </w:r>
      <w:r w:rsidRPr="00D0348E">
        <w:rPr>
          <w:rFonts w:ascii="Garamond" w:eastAsia="Palatino Linotype" w:hAnsi="Garamond"/>
        </w:rPr>
        <w:t xml:space="preserve"> 3,047 crore, which includes </w:t>
      </w:r>
      <w:r w:rsidRPr="00D0348E">
        <w:rPr>
          <w:rFonts w:ascii="Times New Roman" w:eastAsia="Palatino Linotype" w:hAnsi="Times New Roman"/>
        </w:rPr>
        <w:t>₹</w:t>
      </w:r>
      <w:r w:rsidRPr="00D0348E">
        <w:rPr>
          <w:rFonts w:ascii="Garamond" w:eastAsia="Palatino Linotype" w:hAnsi="Garamond"/>
        </w:rPr>
        <w:t xml:space="preserve"> 2,939 crore raised through two main board IPO iss</w:t>
      </w:r>
      <w:r w:rsidR="001846C4">
        <w:rPr>
          <w:rFonts w:ascii="Garamond" w:eastAsia="Palatino Linotype" w:hAnsi="Garamond"/>
        </w:rPr>
        <w:t>u</w:t>
      </w:r>
      <w:r w:rsidRPr="00D0348E">
        <w:rPr>
          <w:rFonts w:ascii="Garamond" w:eastAsia="Palatino Linotype" w:hAnsi="Garamond"/>
        </w:rPr>
        <w:t xml:space="preserve">es and </w:t>
      </w:r>
      <w:r w:rsidRPr="00D0348E">
        <w:rPr>
          <w:rFonts w:ascii="Times New Roman" w:eastAsia="Palatino Linotype" w:hAnsi="Times New Roman"/>
        </w:rPr>
        <w:t>₹</w:t>
      </w:r>
      <w:r w:rsidRPr="00D0348E">
        <w:rPr>
          <w:rFonts w:ascii="Garamond" w:eastAsia="Palatino Linotype" w:hAnsi="Garamond"/>
        </w:rPr>
        <w:t xml:space="preserve"> 108 crore mobilised by </w:t>
      </w:r>
      <w:r w:rsidR="00C538C1">
        <w:rPr>
          <w:rFonts w:ascii="Garamond" w:eastAsia="Palatino Linotype" w:hAnsi="Garamond"/>
        </w:rPr>
        <w:t>11</w:t>
      </w:r>
      <w:r w:rsidR="00C538C1" w:rsidRPr="00D0348E">
        <w:rPr>
          <w:rFonts w:ascii="Garamond" w:eastAsia="Palatino Linotype" w:hAnsi="Garamond"/>
        </w:rPr>
        <w:t xml:space="preserve"> </w:t>
      </w:r>
      <w:r w:rsidRPr="00D0348E">
        <w:rPr>
          <w:rFonts w:ascii="Garamond" w:eastAsia="Palatino Linotype" w:hAnsi="Garamond"/>
        </w:rPr>
        <w:t xml:space="preserve">SME IPO issues. (Table 1) </w:t>
      </w:r>
    </w:p>
    <w:p w:rsidR="00D0348E" w:rsidRPr="00D0348E" w:rsidRDefault="003A028D" w:rsidP="00545C71">
      <w:pPr>
        <w:numPr>
          <w:ilvl w:val="0"/>
          <w:numId w:val="1"/>
        </w:numPr>
        <w:pBdr>
          <w:between w:val="nil"/>
        </w:pBdr>
        <w:ind w:left="714" w:hanging="357"/>
        <w:contextualSpacing/>
        <w:jc w:val="both"/>
        <w:rPr>
          <w:rFonts w:ascii="Garamond" w:eastAsia="Palatino Linotype" w:hAnsi="Garamond" w:cs="Palatino Linotype"/>
        </w:rPr>
      </w:pPr>
      <w:r>
        <w:rPr>
          <w:rFonts w:ascii="Garamond" w:eastAsia="Palatino Linotype" w:hAnsi="Garamond" w:cs="Palatino Linotype"/>
        </w:rPr>
        <w:t>T</w:t>
      </w:r>
      <w:r w:rsidR="00D0348E" w:rsidRPr="00D0348E">
        <w:rPr>
          <w:rFonts w:ascii="Garamond" w:eastAsia="Palatino Linotype" w:hAnsi="Garamond" w:cs="Palatino Linotype"/>
        </w:rPr>
        <w:t>here were five rights issue</w:t>
      </w:r>
      <w:r w:rsidR="00C538C1">
        <w:rPr>
          <w:rFonts w:ascii="Garamond" w:eastAsia="Palatino Linotype" w:hAnsi="Garamond" w:cs="Palatino Linotype"/>
        </w:rPr>
        <w:t>s</w:t>
      </w:r>
      <w:r w:rsidR="00D0348E" w:rsidRPr="00D0348E">
        <w:rPr>
          <w:rFonts w:ascii="Garamond" w:eastAsia="Palatino Linotype" w:hAnsi="Garamond" w:cs="Palatino Linotype"/>
        </w:rPr>
        <w:t xml:space="preserve"> during October 2021, which mobilised a total of  </w:t>
      </w:r>
      <w:r w:rsidR="00D0348E" w:rsidRPr="00D0348E">
        <w:rPr>
          <w:rFonts w:ascii="Times New Roman" w:eastAsia="Palatino Linotype" w:hAnsi="Times New Roman"/>
        </w:rPr>
        <w:t>₹</w:t>
      </w:r>
      <w:r w:rsidR="00D0348E" w:rsidRPr="00D0348E">
        <w:rPr>
          <w:rFonts w:ascii="Garamond" w:eastAsia="Palatino Linotype" w:hAnsi="Garamond"/>
        </w:rPr>
        <w:t xml:space="preserve"> </w:t>
      </w:r>
      <w:r w:rsidR="00D0348E" w:rsidRPr="00D0348E">
        <w:rPr>
          <w:rFonts w:ascii="Garamond" w:eastAsia="Palatino Linotype" w:hAnsi="Garamond" w:cs="Palatino Linotype"/>
        </w:rPr>
        <w:t>78</w:t>
      </w:r>
      <w:r w:rsidR="001846C4">
        <w:rPr>
          <w:rFonts w:ascii="Garamond" w:eastAsia="Palatino Linotype" w:hAnsi="Garamond" w:cs="Palatino Linotype"/>
        </w:rPr>
        <w:t>6</w:t>
      </w:r>
      <w:r w:rsidR="00D0348E" w:rsidRPr="00D0348E">
        <w:rPr>
          <w:rFonts w:ascii="Garamond" w:eastAsia="Palatino Linotype" w:hAnsi="Garamond" w:cs="Palatino Linotype"/>
        </w:rPr>
        <w:t xml:space="preserve"> crore. </w:t>
      </w:r>
      <w:r>
        <w:rPr>
          <w:rFonts w:ascii="Garamond" w:eastAsia="Palatino Linotype" w:hAnsi="Garamond" w:cs="Palatino Linotype"/>
        </w:rPr>
        <w:t>T</w:t>
      </w:r>
      <w:r w:rsidR="00D0348E" w:rsidRPr="00D0348E">
        <w:rPr>
          <w:rFonts w:ascii="Garamond" w:eastAsia="Palatino Linotype" w:hAnsi="Garamond" w:cs="Palatino Linotype"/>
        </w:rPr>
        <w:t xml:space="preserve">hree public-debt issues </w:t>
      </w:r>
      <w:r w:rsidR="00BB7396">
        <w:rPr>
          <w:rFonts w:ascii="Garamond" w:eastAsia="Palatino Linotype" w:hAnsi="Garamond" w:cs="Palatino Linotype"/>
        </w:rPr>
        <w:t xml:space="preserve">closed </w:t>
      </w:r>
      <w:r w:rsidR="00D0348E" w:rsidRPr="00D0348E">
        <w:rPr>
          <w:rFonts w:ascii="Garamond" w:eastAsia="Palatino Linotype" w:hAnsi="Garamond" w:cs="Palatino Linotype"/>
        </w:rPr>
        <w:t xml:space="preserve">in October 2021 raising </w:t>
      </w:r>
      <w:r w:rsidR="00D0348E" w:rsidRPr="00D0348E">
        <w:rPr>
          <w:rFonts w:ascii="Times New Roman" w:eastAsia="Palatino Linotype" w:hAnsi="Times New Roman"/>
        </w:rPr>
        <w:t>₹</w:t>
      </w:r>
      <w:r w:rsidR="00D0348E" w:rsidRPr="00D0348E">
        <w:rPr>
          <w:rFonts w:ascii="Garamond" w:eastAsia="Palatino Linotype" w:hAnsi="Garamond" w:cs="Palatino Linotype"/>
        </w:rPr>
        <w:t xml:space="preserve">1,437 crore as compared to four public issues raising </w:t>
      </w:r>
      <w:r w:rsidR="00D0348E" w:rsidRPr="00D0348E">
        <w:rPr>
          <w:rFonts w:ascii="Times New Roman" w:eastAsia="Palatino Linotype" w:hAnsi="Times New Roman"/>
          <w:color w:val="000000"/>
          <w:lang w:val="en-US"/>
        </w:rPr>
        <w:t>₹</w:t>
      </w:r>
      <w:r w:rsidR="00D0348E" w:rsidRPr="00D0348E">
        <w:rPr>
          <w:rFonts w:ascii="Garamond" w:eastAsia="Palatino Linotype" w:hAnsi="Garamond"/>
          <w:color w:val="000000"/>
          <w:lang w:val="en-US"/>
        </w:rPr>
        <w:t xml:space="preserve"> 1,694 crore in September 2021.</w:t>
      </w:r>
    </w:p>
    <w:p w:rsidR="00D0348E" w:rsidRPr="00D0348E" w:rsidRDefault="00D0348E" w:rsidP="00545C71">
      <w:pPr>
        <w:numPr>
          <w:ilvl w:val="0"/>
          <w:numId w:val="1"/>
        </w:numPr>
        <w:pBdr>
          <w:between w:val="nil"/>
        </w:pBdr>
        <w:ind w:left="714" w:hanging="357"/>
        <w:contextualSpacing/>
        <w:jc w:val="both"/>
        <w:rPr>
          <w:rFonts w:ascii="Garamond" w:eastAsia="Palatino Linotype" w:hAnsi="Garamond" w:cs="Palatino Linotype"/>
        </w:rPr>
      </w:pPr>
      <w:r w:rsidRPr="00D0348E">
        <w:rPr>
          <w:rFonts w:ascii="Garamond" w:eastAsia="Palatino Linotype" w:hAnsi="Garamond" w:cs="Palatino Linotype"/>
        </w:rPr>
        <w:t xml:space="preserve">Amount raised through preferential allotment and QIPs during October stood at </w:t>
      </w:r>
      <w:r w:rsidRPr="001846C4">
        <w:rPr>
          <w:rFonts w:ascii="Times New Roman" w:eastAsia="Palatino Linotype" w:hAnsi="Times New Roman"/>
        </w:rPr>
        <w:t>₹</w:t>
      </w:r>
      <w:r w:rsidRPr="00D0348E">
        <w:rPr>
          <w:rFonts w:ascii="Garamond" w:eastAsia="Palatino Linotype" w:hAnsi="Garamond" w:cs="Palatino Linotype"/>
        </w:rPr>
        <w:t>2,</w:t>
      </w:r>
      <w:r w:rsidR="00C538C1" w:rsidRPr="00D0348E">
        <w:rPr>
          <w:rFonts w:ascii="Garamond" w:eastAsia="Palatino Linotype" w:hAnsi="Garamond" w:cs="Palatino Linotype"/>
        </w:rPr>
        <w:t>63</w:t>
      </w:r>
      <w:r w:rsidR="00C538C1">
        <w:rPr>
          <w:rFonts w:ascii="Garamond" w:eastAsia="Palatino Linotype" w:hAnsi="Garamond" w:cs="Palatino Linotype"/>
        </w:rPr>
        <w:t>7</w:t>
      </w:r>
      <w:r w:rsidR="00C538C1" w:rsidRPr="00D0348E">
        <w:rPr>
          <w:rFonts w:ascii="Garamond" w:eastAsia="Palatino Linotype" w:hAnsi="Garamond" w:cs="Palatino Linotype"/>
        </w:rPr>
        <w:t xml:space="preserve"> </w:t>
      </w:r>
      <w:r w:rsidRPr="00D0348E">
        <w:rPr>
          <w:rFonts w:ascii="Garamond" w:eastAsia="Palatino Linotype" w:hAnsi="Garamond" w:cs="Palatino Linotype"/>
        </w:rPr>
        <w:t xml:space="preserve">crore as compared to </w:t>
      </w:r>
      <w:r w:rsidRPr="001846C4">
        <w:rPr>
          <w:rFonts w:ascii="Times New Roman" w:eastAsia="Palatino Linotype" w:hAnsi="Times New Roman"/>
        </w:rPr>
        <w:t>₹</w:t>
      </w:r>
      <w:r w:rsidRPr="00D0348E">
        <w:rPr>
          <w:rFonts w:ascii="Garamond" w:eastAsia="Palatino Linotype" w:hAnsi="Garamond" w:cs="Palatino Linotype"/>
        </w:rPr>
        <w:t xml:space="preserve">8,671 crore raised during September 2021. </w:t>
      </w:r>
    </w:p>
    <w:p w:rsidR="00D0348E" w:rsidRPr="00D0348E" w:rsidRDefault="00D0348E" w:rsidP="00545C71">
      <w:pPr>
        <w:numPr>
          <w:ilvl w:val="0"/>
          <w:numId w:val="1"/>
        </w:numPr>
        <w:pBdr>
          <w:between w:val="nil"/>
        </w:pBdr>
        <w:ind w:left="714" w:hanging="357"/>
        <w:contextualSpacing/>
        <w:jc w:val="both"/>
        <w:rPr>
          <w:rFonts w:ascii="Garamond" w:eastAsia="Palatino Linotype" w:hAnsi="Garamond" w:cs="Palatino Linotype"/>
        </w:rPr>
      </w:pPr>
      <w:r w:rsidRPr="00D0348E">
        <w:rPr>
          <w:rFonts w:ascii="Garamond" w:eastAsia="Palatino Linotype" w:hAnsi="Garamond" w:cs="Palatino Linotype"/>
        </w:rPr>
        <w:t xml:space="preserve">Private placement of corporate debt reported on exchanges stood at </w:t>
      </w:r>
      <w:r w:rsidRPr="001846C4">
        <w:rPr>
          <w:rFonts w:ascii="Times New Roman" w:eastAsia="Palatino Linotype" w:hAnsi="Times New Roman"/>
        </w:rPr>
        <w:t>₹</w:t>
      </w:r>
      <w:r w:rsidRPr="001846C4">
        <w:rPr>
          <w:rFonts w:ascii="Garamond" w:eastAsia="Palatino Linotype" w:hAnsi="Garamond" w:cs="Palatino Linotype"/>
        </w:rPr>
        <w:t xml:space="preserve"> 46,845 crore during October 2021, compared to </w:t>
      </w:r>
      <w:r w:rsidRPr="001846C4">
        <w:rPr>
          <w:rFonts w:ascii="Times New Roman" w:eastAsia="Palatino Linotype" w:hAnsi="Times New Roman"/>
        </w:rPr>
        <w:t>₹</w:t>
      </w:r>
      <w:r w:rsidRPr="001846C4">
        <w:rPr>
          <w:rFonts w:ascii="Garamond" w:eastAsia="Palatino Linotype" w:hAnsi="Garamond" w:cs="Palatino Linotype"/>
        </w:rPr>
        <w:t xml:space="preserve"> </w:t>
      </w:r>
      <w:r w:rsidRPr="00D0348E">
        <w:rPr>
          <w:rFonts w:ascii="Garamond" w:eastAsia="Palatino Linotype" w:hAnsi="Garamond" w:cs="Palatino Linotype"/>
        </w:rPr>
        <w:t xml:space="preserve">92,727 crore during September 2021, a decline of 49.5 per cent over previous month. </w:t>
      </w:r>
    </w:p>
    <w:p w:rsidR="006A6CB3" w:rsidRPr="006A6CB3" w:rsidRDefault="006A6CB3" w:rsidP="006A6CB3">
      <w:pPr>
        <w:widowControl w:val="0"/>
        <w:spacing w:line="276" w:lineRule="auto"/>
        <w:jc w:val="both"/>
        <w:rPr>
          <w:rFonts w:ascii="Garamond" w:eastAsia="Palatino Linotype" w:hAnsi="Garamond" w:cs="Palatino Linotype"/>
          <w:b/>
          <w:color w:val="2E74B5"/>
        </w:rPr>
      </w:pPr>
    </w:p>
    <w:p w:rsidR="006A6CB3" w:rsidRPr="006A6CB3" w:rsidRDefault="006A6CB3" w:rsidP="006A6CB3">
      <w:pPr>
        <w:widowControl w:val="0"/>
        <w:spacing w:line="276" w:lineRule="auto"/>
        <w:ind w:firstLine="454"/>
        <w:jc w:val="both"/>
        <w:rPr>
          <w:rFonts w:ascii="Garamond" w:eastAsia="Palatino Linotype" w:hAnsi="Garamond" w:cs="Palatino Linotype"/>
          <w:b/>
        </w:rPr>
      </w:pPr>
      <w:r w:rsidRPr="006A6CB3">
        <w:rPr>
          <w:rFonts w:ascii="Garamond" w:eastAsia="Palatino Linotype" w:hAnsi="Garamond" w:cs="Palatino Linotype"/>
          <w:b/>
        </w:rPr>
        <w:t xml:space="preserve">             </w:t>
      </w:r>
      <w:r>
        <w:rPr>
          <w:rFonts w:ascii="Garamond" w:eastAsia="Palatino Linotype" w:hAnsi="Garamond" w:cs="Palatino Linotype"/>
          <w:b/>
        </w:rPr>
        <w:t xml:space="preserve">           </w:t>
      </w:r>
      <w:r w:rsidRPr="006A6CB3">
        <w:rPr>
          <w:rFonts w:ascii="Garamond" w:eastAsia="Palatino Linotype" w:hAnsi="Garamond" w:cs="Palatino Linotype"/>
          <w:b/>
        </w:rPr>
        <w:t>Table 1: Fund Mobilisation by Corporates (</w:t>
      </w:r>
      <w:r w:rsidRPr="006A6CB3">
        <w:rPr>
          <w:rFonts w:ascii="Times New Roman" w:eastAsia="Tahoma" w:hAnsi="Times New Roman"/>
          <w:b/>
        </w:rPr>
        <w:t>₹</w:t>
      </w:r>
      <w:r w:rsidRPr="006A6CB3">
        <w:rPr>
          <w:rFonts w:ascii="Garamond" w:eastAsia="Tahoma" w:hAnsi="Garamond"/>
          <w:b/>
        </w:rPr>
        <w:t xml:space="preserve"> </w:t>
      </w:r>
      <w:r w:rsidRPr="006A6CB3">
        <w:rPr>
          <w:rFonts w:ascii="Garamond" w:eastAsia="Palatino Linotype" w:hAnsi="Garamond" w:cs="Palatino Linotype"/>
          <w:b/>
        </w:rPr>
        <w:t xml:space="preserve">crore) </w:t>
      </w:r>
      <w:r w:rsidRPr="006A6CB3">
        <w:rPr>
          <w:rFonts w:ascii="Garamond" w:hAnsi="Garamond"/>
        </w:rPr>
        <w:fldChar w:fldCharType="begin"/>
      </w:r>
      <w:r w:rsidRPr="006A6CB3">
        <w:rPr>
          <w:rFonts w:ascii="Garamond" w:hAnsi="Garamond"/>
        </w:rPr>
        <w:instrText xml:space="preserve"> LINK Excel.Sheet.12 "E:\\C DRIVE DATA BACKUP 19-12-2019\\Desktop\\Bulletin\\CMR Aug 2021.xlsx" E1!R19C8:R31C10 \a \f 4 \h  \* MERGEFORMAT </w:instrText>
      </w:r>
      <w:r w:rsidRPr="006A6CB3">
        <w:rPr>
          <w:rFonts w:ascii="Garamond" w:hAnsi="Garamond"/>
        </w:rPr>
        <w:fldChar w:fldCharType="separate"/>
      </w:r>
    </w:p>
    <w:tbl>
      <w:tblPr>
        <w:tblW w:w="6200" w:type="dxa"/>
        <w:jc w:val="center"/>
        <w:tblLook w:val="04A0" w:firstRow="1" w:lastRow="0" w:firstColumn="1" w:lastColumn="0" w:noHBand="0" w:noVBand="1"/>
      </w:tblPr>
      <w:tblGrid>
        <w:gridCol w:w="3420"/>
        <w:gridCol w:w="1420"/>
        <w:gridCol w:w="1360"/>
      </w:tblGrid>
      <w:tr w:rsidR="00D0348E" w:rsidRPr="006A6CB3" w:rsidTr="006A6CB3">
        <w:trPr>
          <w:trHeight w:val="315"/>
          <w:jc w:val="center"/>
        </w:trPr>
        <w:tc>
          <w:tcPr>
            <w:tcW w:w="3420" w:type="dxa"/>
            <w:tcBorders>
              <w:top w:val="single" w:sz="4" w:space="0" w:color="auto"/>
              <w:left w:val="single" w:sz="4" w:space="0" w:color="auto"/>
              <w:bottom w:val="single" w:sz="4" w:space="0" w:color="auto"/>
              <w:right w:val="single" w:sz="4" w:space="0" w:color="auto"/>
            </w:tcBorders>
            <w:shd w:val="clear" w:color="A9D08E" w:fill="A9D08E"/>
            <w:noWrap/>
            <w:vAlign w:val="center"/>
            <w:hideMark/>
          </w:tcPr>
          <w:p w:rsidR="00D0348E" w:rsidRPr="006A6CB3" w:rsidRDefault="00D0348E" w:rsidP="00D0348E">
            <w:pPr>
              <w:rPr>
                <w:rFonts w:ascii="Garamond" w:eastAsia="Times New Roman" w:hAnsi="Garamond"/>
                <w:b/>
                <w:bCs/>
                <w:color w:val="000000"/>
                <w:sz w:val="22"/>
                <w:szCs w:val="22"/>
                <w:lang w:val="en-IN" w:eastAsia="en-IN" w:bidi="hi-IN"/>
              </w:rPr>
            </w:pPr>
            <w:r w:rsidRPr="006A6CB3">
              <w:rPr>
                <w:rFonts w:ascii="Garamond" w:eastAsia="Times New Roman" w:hAnsi="Garamond"/>
                <w:b/>
                <w:bCs/>
                <w:color w:val="000000"/>
                <w:sz w:val="22"/>
                <w:szCs w:val="22"/>
                <w:lang w:val="en-IN" w:eastAsia="en-IN" w:bidi="hi-IN"/>
              </w:rPr>
              <w:t>Particulars</w:t>
            </w:r>
          </w:p>
        </w:tc>
        <w:tc>
          <w:tcPr>
            <w:tcW w:w="1420" w:type="dxa"/>
            <w:tcBorders>
              <w:top w:val="single" w:sz="4" w:space="0" w:color="auto"/>
              <w:left w:val="nil"/>
              <w:bottom w:val="single" w:sz="4" w:space="0" w:color="auto"/>
              <w:right w:val="single" w:sz="4" w:space="0" w:color="auto"/>
            </w:tcBorders>
            <w:shd w:val="clear" w:color="A9D08E" w:fill="A9D08E"/>
            <w:noWrap/>
            <w:vAlign w:val="center"/>
            <w:hideMark/>
          </w:tcPr>
          <w:p w:rsidR="00D0348E" w:rsidRPr="00891713" w:rsidRDefault="00D0348E" w:rsidP="00D0348E">
            <w:pPr>
              <w:jc w:val="right"/>
              <w:rPr>
                <w:rFonts w:ascii="Garamond" w:eastAsia="Times New Roman" w:hAnsi="Garamond" w:cs="Calibri"/>
                <w:b/>
                <w:bCs/>
                <w:color w:val="000000"/>
                <w:szCs w:val="22"/>
                <w:lang w:eastAsia="en-IN"/>
              </w:rPr>
            </w:pPr>
            <w:r w:rsidRPr="00891713">
              <w:rPr>
                <w:rFonts w:ascii="Garamond" w:eastAsia="Times New Roman" w:hAnsi="Garamond" w:cs="Calibri"/>
                <w:b/>
                <w:bCs/>
                <w:color w:val="000000"/>
                <w:szCs w:val="22"/>
                <w:lang w:eastAsia="en-IN"/>
              </w:rPr>
              <w:t>Sep-21</w:t>
            </w:r>
          </w:p>
        </w:tc>
        <w:tc>
          <w:tcPr>
            <w:tcW w:w="1360" w:type="dxa"/>
            <w:tcBorders>
              <w:top w:val="single" w:sz="4" w:space="0" w:color="auto"/>
              <w:left w:val="nil"/>
              <w:bottom w:val="single" w:sz="4" w:space="0" w:color="auto"/>
              <w:right w:val="single" w:sz="4" w:space="0" w:color="auto"/>
            </w:tcBorders>
            <w:shd w:val="clear" w:color="A9D08E" w:fill="A9D08E"/>
            <w:noWrap/>
            <w:vAlign w:val="center"/>
            <w:hideMark/>
          </w:tcPr>
          <w:p w:rsidR="00D0348E" w:rsidRPr="00891713" w:rsidRDefault="00D0348E" w:rsidP="00D0348E">
            <w:pPr>
              <w:jc w:val="right"/>
              <w:rPr>
                <w:rFonts w:ascii="Garamond" w:eastAsia="Times New Roman" w:hAnsi="Garamond" w:cs="Calibri"/>
                <w:b/>
                <w:bCs/>
                <w:color w:val="000000"/>
                <w:szCs w:val="22"/>
                <w:lang w:eastAsia="en-IN"/>
              </w:rPr>
            </w:pPr>
            <w:r w:rsidRPr="00891713">
              <w:rPr>
                <w:rFonts w:ascii="Garamond" w:eastAsia="Times New Roman" w:hAnsi="Garamond" w:cs="Calibri"/>
                <w:b/>
                <w:bCs/>
                <w:color w:val="000000"/>
                <w:szCs w:val="22"/>
                <w:lang w:eastAsia="en-IN"/>
              </w:rPr>
              <w:t>Oct-21</w:t>
            </w:r>
          </w:p>
        </w:tc>
      </w:tr>
      <w:tr w:rsidR="001846C4" w:rsidRPr="006A6CB3" w:rsidTr="006A6CB3">
        <w:trPr>
          <w:trHeight w:val="315"/>
          <w:jc w:val="center"/>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846C4" w:rsidRPr="006A6CB3" w:rsidRDefault="001846C4" w:rsidP="001846C4">
            <w:pPr>
              <w:rPr>
                <w:rFonts w:ascii="Garamond" w:eastAsia="Times New Roman" w:hAnsi="Garamond"/>
                <w:b/>
                <w:bCs/>
                <w:i/>
                <w:iCs/>
                <w:color w:val="000000"/>
                <w:sz w:val="22"/>
                <w:szCs w:val="22"/>
                <w:lang w:val="en-IN" w:eastAsia="en-IN" w:bidi="hi-IN"/>
              </w:rPr>
            </w:pPr>
            <w:r w:rsidRPr="006A6CB3">
              <w:rPr>
                <w:rFonts w:ascii="Garamond" w:eastAsia="Times New Roman" w:hAnsi="Garamond"/>
                <w:b/>
                <w:bCs/>
                <w:i/>
                <w:iCs/>
                <w:color w:val="000000"/>
                <w:sz w:val="22"/>
                <w:szCs w:val="22"/>
                <w:lang w:val="en-IN" w:eastAsia="en-IN" w:bidi="hi-IN"/>
              </w:rPr>
              <w:t>I. Equity Issues</w:t>
            </w:r>
          </w:p>
        </w:tc>
        <w:tc>
          <w:tcPr>
            <w:tcW w:w="1420" w:type="dxa"/>
            <w:tcBorders>
              <w:top w:val="nil"/>
              <w:left w:val="nil"/>
              <w:bottom w:val="single" w:sz="4" w:space="0" w:color="auto"/>
              <w:right w:val="single" w:sz="4" w:space="0" w:color="auto"/>
            </w:tcBorders>
            <w:shd w:val="clear" w:color="auto" w:fill="auto"/>
            <w:noWrap/>
            <w:vAlign w:val="center"/>
            <w:hideMark/>
          </w:tcPr>
          <w:p w:rsidR="001846C4" w:rsidRPr="001846C4" w:rsidRDefault="001846C4" w:rsidP="001846C4">
            <w:pPr>
              <w:jc w:val="right"/>
              <w:rPr>
                <w:rFonts w:ascii="Garamond" w:hAnsi="Garamond"/>
                <w:b/>
                <w:bCs/>
                <w:color w:val="000000"/>
              </w:rPr>
            </w:pPr>
            <w:r w:rsidRPr="001846C4">
              <w:rPr>
                <w:rFonts w:ascii="Garamond" w:hAnsi="Garamond"/>
                <w:b/>
                <w:bCs/>
                <w:color w:val="000000"/>
              </w:rPr>
              <w:t>12,537</w:t>
            </w:r>
          </w:p>
        </w:tc>
        <w:tc>
          <w:tcPr>
            <w:tcW w:w="1360" w:type="dxa"/>
            <w:tcBorders>
              <w:top w:val="nil"/>
              <w:left w:val="nil"/>
              <w:bottom w:val="single" w:sz="4" w:space="0" w:color="auto"/>
              <w:right w:val="single" w:sz="4" w:space="0" w:color="auto"/>
            </w:tcBorders>
            <w:shd w:val="clear" w:color="auto" w:fill="auto"/>
            <w:noWrap/>
            <w:vAlign w:val="center"/>
            <w:hideMark/>
          </w:tcPr>
          <w:p w:rsidR="001846C4" w:rsidRPr="001846C4" w:rsidRDefault="001846C4" w:rsidP="001846C4">
            <w:pPr>
              <w:jc w:val="right"/>
              <w:rPr>
                <w:rFonts w:ascii="Garamond" w:hAnsi="Garamond"/>
                <w:b/>
                <w:bCs/>
                <w:color w:val="000000"/>
              </w:rPr>
            </w:pPr>
            <w:r w:rsidRPr="001846C4">
              <w:rPr>
                <w:rFonts w:ascii="Garamond" w:hAnsi="Garamond"/>
                <w:b/>
                <w:bCs/>
                <w:color w:val="000000"/>
              </w:rPr>
              <w:t>6,468</w:t>
            </w:r>
          </w:p>
        </w:tc>
      </w:tr>
      <w:tr w:rsidR="001846C4" w:rsidRPr="006A6CB3" w:rsidTr="006A6CB3">
        <w:trPr>
          <w:trHeight w:val="315"/>
          <w:jc w:val="center"/>
        </w:trPr>
        <w:tc>
          <w:tcPr>
            <w:tcW w:w="3420" w:type="dxa"/>
            <w:tcBorders>
              <w:top w:val="nil"/>
              <w:left w:val="single" w:sz="4" w:space="0" w:color="auto"/>
              <w:bottom w:val="single" w:sz="4" w:space="0" w:color="auto"/>
              <w:right w:val="single" w:sz="4" w:space="0" w:color="auto"/>
            </w:tcBorders>
            <w:shd w:val="clear" w:color="auto" w:fill="auto"/>
            <w:noWrap/>
            <w:vAlign w:val="center"/>
            <w:hideMark/>
          </w:tcPr>
          <w:p w:rsidR="001846C4" w:rsidRPr="006A6CB3" w:rsidRDefault="001846C4" w:rsidP="001846C4">
            <w:pPr>
              <w:rPr>
                <w:rFonts w:ascii="Garamond" w:eastAsia="Times New Roman" w:hAnsi="Garamond"/>
                <w:color w:val="000000"/>
                <w:sz w:val="22"/>
                <w:szCs w:val="22"/>
                <w:lang w:val="en-IN" w:eastAsia="en-IN" w:bidi="hi-IN"/>
              </w:rPr>
            </w:pPr>
            <w:r w:rsidRPr="006A6CB3">
              <w:rPr>
                <w:rFonts w:ascii="Garamond" w:eastAsia="Times New Roman" w:hAnsi="Garamond"/>
                <w:color w:val="000000"/>
                <w:sz w:val="22"/>
                <w:szCs w:val="22"/>
                <w:lang w:val="en-IN" w:eastAsia="en-IN" w:bidi="hi-IN"/>
              </w:rPr>
              <w:t>a. IPOs (i+ii)</w:t>
            </w:r>
          </w:p>
        </w:tc>
        <w:tc>
          <w:tcPr>
            <w:tcW w:w="1420" w:type="dxa"/>
            <w:tcBorders>
              <w:top w:val="nil"/>
              <w:left w:val="nil"/>
              <w:bottom w:val="single" w:sz="4" w:space="0" w:color="auto"/>
              <w:right w:val="single" w:sz="4" w:space="0" w:color="auto"/>
            </w:tcBorders>
            <w:shd w:val="clear" w:color="auto" w:fill="auto"/>
            <w:noWrap/>
            <w:vAlign w:val="center"/>
            <w:hideMark/>
          </w:tcPr>
          <w:p w:rsidR="001846C4" w:rsidRPr="001846C4" w:rsidRDefault="001846C4" w:rsidP="001846C4">
            <w:pPr>
              <w:jc w:val="right"/>
              <w:rPr>
                <w:rFonts w:ascii="Garamond" w:hAnsi="Garamond"/>
                <w:color w:val="000000"/>
              </w:rPr>
            </w:pPr>
            <w:r w:rsidRPr="001846C4">
              <w:rPr>
                <w:rFonts w:ascii="Garamond" w:hAnsi="Garamond"/>
                <w:color w:val="000000"/>
              </w:rPr>
              <w:t>3,841</w:t>
            </w:r>
          </w:p>
        </w:tc>
        <w:tc>
          <w:tcPr>
            <w:tcW w:w="1360" w:type="dxa"/>
            <w:tcBorders>
              <w:top w:val="nil"/>
              <w:left w:val="nil"/>
              <w:bottom w:val="single" w:sz="4" w:space="0" w:color="auto"/>
              <w:right w:val="single" w:sz="4" w:space="0" w:color="auto"/>
            </w:tcBorders>
            <w:shd w:val="clear" w:color="auto" w:fill="auto"/>
            <w:noWrap/>
            <w:vAlign w:val="center"/>
            <w:hideMark/>
          </w:tcPr>
          <w:p w:rsidR="001846C4" w:rsidRPr="001846C4" w:rsidRDefault="001846C4" w:rsidP="001846C4">
            <w:pPr>
              <w:jc w:val="right"/>
              <w:rPr>
                <w:rFonts w:ascii="Garamond" w:hAnsi="Garamond"/>
                <w:color w:val="000000"/>
              </w:rPr>
            </w:pPr>
            <w:r w:rsidRPr="001846C4">
              <w:rPr>
                <w:rFonts w:ascii="Garamond" w:hAnsi="Garamond"/>
                <w:color w:val="000000"/>
              </w:rPr>
              <w:t>3,047</w:t>
            </w:r>
          </w:p>
        </w:tc>
      </w:tr>
      <w:tr w:rsidR="001846C4" w:rsidRPr="006A6CB3" w:rsidTr="006A6CB3">
        <w:trPr>
          <w:trHeight w:val="315"/>
          <w:jc w:val="center"/>
        </w:trPr>
        <w:tc>
          <w:tcPr>
            <w:tcW w:w="3420" w:type="dxa"/>
            <w:tcBorders>
              <w:top w:val="nil"/>
              <w:left w:val="single" w:sz="4" w:space="0" w:color="auto"/>
              <w:bottom w:val="single" w:sz="4" w:space="0" w:color="auto"/>
              <w:right w:val="single" w:sz="4" w:space="0" w:color="auto"/>
            </w:tcBorders>
            <w:shd w:val="clear" w:color="auto" w:fill="auto"/>
            <w:noWrap/>
            <w:vAlign w:val="center"/>
            <w:hideMark/>
          </w:tcPr>
          <w:p w:rsidR="001846C4" w:rsidRPr="006A6CB3" w:rsidRDefault="001846C4" w:rsidP="001846C4">
            <w:pPr>
              <w:rPr>
                <w:rFonts w:ascii="Garamond" w:eastAsia="Times New Roman" w:hAnsi="Garamond"/>
                <w:i/>
                <w:iCs/>
                <w:color w:val="000000"/>
                <w:sz w:val="22"/>
                <w:szCs w:val="22"/>
                <w:lang w:val="en-IN" w:eastAsia="en-IN" w:bidi="hi-IN"/>
              </w:rPr>
            </w:pPr>
            <w:r w:rsidRPr="006A6CB3">
              <w:rPr>
                <w:rFonts w:ascii="Garamond" w:eastAsia="Times New Roman" w:hAnsi="Garamond"/>
                <w:i/>
                <w:iCs/>
                <w:color w:val="000000"/>
                <w:sz w:val="22"/>
                <w:szCs w:val="22"/>
                <w:lang w:val="en-IN" w:eastAsia="en-IN" w:bidi="hi-IN"/>
              </w:rPr>
              <w:t xml:space="preserve">    i. Main Board</w:t>
            </w:r>
          </w:p>
        </w:tc>
        <w:tc>
          <w:tcPr>
            <w:tcW w:w="1420" w:type="dxa"/>
            <w:tcBorders>
              <w:top w:val="nil"/>
              <w:left w:val="nil"/>
              <w:bottom w:val="single" w:sz="4" w:space="0" w:color="auto"/>
              <w:right w:val="single" w:sz="4" w:space="0" w:color="auto"/>
            </w:tcBorders>
            <w:shd w:val="clear" w:color="auto" w:fill="auto"/>
            <w:noWrap/>
            <w:vAlign w:val="center"/>
            <w:hideMark/>
          </w:tcPr>
          <w:p w:rsidR="001846C4" w:rsidRPr="001846C4" w:rsidRDefault="001846C4" w:rsidP="001846C4">
            <w:pPr>
              <w:jc w:val="right"/>
              <w:rPr>
                <w:rFonts w:ascii="Garamond" w:hAnsi="Garamond"/>
                <w:color w:val="000000"/>
              </w:rPr>
            </w:pPr>
            <w:r w:rsidRPr="001846C4">
              <w:rPr>
                <w:rFonts w:ascii="Garamond" w:hAnsi="Garamond"/>
                <w:color w:val="000000"/>
              </w:rPr>
              <w:t>3,746</w:t>
            </w:r>
          </w:p>
        </w:tc>
        <w:tc>
          <w:tcPr>
            <w:tcW w:w="1360" w:type="dxa"/>
            <w:tcBorders>
              <w:top w:val="nil"/>
              <w:left w:val="nil"/>
              <w:bottom w:val="single" w:sz="4" w:space="0" w:color="auto"/>
              <w:right w:val="single" w:sz="4" w:space="0" w:color="auto"/>
            </w:tcBorders>
            <w:shd w:val="clear" w:color="auto" w:fill="auto"/>
            <w:noWrap/>
            <w:vAlign w:val="center"/>
            <w:hideMark/>
          </w:tcPr>
          <w:p w:rsidR="001846C4" w:rsidRPr="001846C4" w:rsidRDefault="001846C4" w:rsidP="001846C4">
            <w:pPr>
              <w:jc w:val="right"/>
              <w:rPr>
                <w:rFonts w:ascii="Garamond" w:hAnsi="Garamond"/>
                <w:color w:val="000000"/>
              </w:rPr>
            </w:pPr>
            <w:r w:rsidRPr="001846C4">
              <w:rPr>
                <w:rFonts w:ascii="Garamond" w:hAnsi="Garamond"/>
                <w:color w:val="000000"/>
              </w:rPr>
              <w:t>2,939</w:t>
            </w:r>
          </w:p>
        </w:tc>
      </w:tr>
      <w:tr w:rsidR="001846C4" w:rsidRPr="006A6CB3" w:rsidTr="006A6CB3">
        <w:trPr>
          <w:trHeight w:val="315"/>
          <w:jc w:val="center"/>
        </w:trPr>
        <w:tc>
          <w:tcPr>
            <w:tcW w:w="3420" w:type="dxa"/>
            <w:tcBorders>
              <w:top w:val="nil"/>
              <w:left w:val="single" w:sz="4" w:space="0" w:color="auto"/>
              <w:bottom w:val="single" w:sz="4" w:space="0" w:color="auto"/>
              <w:right w:val="single" w:sz="4" w:space="0" w:color="auto"/>
            </w:tcBorders>
            <w:shd w:val="clear" w:color="auto" w:fill="auto"/>
            <w:noWrap/>
            <w:vAlign w:val="center"/>
            <w:hideMark/>
          </w:tcPr>
          <w:p w:rsidR="001846C4" w:rsidRPr="006A6CB3" w:rsidRDefault="001846C4" w:rsidP="001846C4">
            <w:pPr>
              <w:rPr>
                <w:rFonts w:ascii="Garamond" w:eastAsia="Times New Roman" w:hAnsi="Garamond"/>
                <w:i/>
                <w:iCs/>
                <w:color w:val="000000"/>
                <w:sz w:val="22"/>
                <w:szCs w:val="22"/>
                <w:lang w:val="en-IN" w:eastAsia="en-IN" w:bidi="hi-IN"/>
              </w:rPr>
            </w:pPr>
            <w:r w:rsidRPr="006A6CB3">
              <w:rPr>
                <w:rFonts w:ascii="Garamond" w:eastAsia="Times New Roman" w:hAnsi="Garamond"/>
                <w:i/>
                <w:iCs/>
                <w:color w:val="000000"/>
                <w:sz w:val="22"/>
                <w:szCs w:val="22"/>
                <w:lang w:val="en-IN" w:eastAsia="en-IN" w:bidi="hi-IN"/>
              </w:rPr>
              <w:t xml:space="preserve">    ii. SME Platform</w:t>
            </w:r>
          </w:p>
        </w:tc>
        <w:tc>
          <w:tcPr>
            <w:tcW w:w="1420" w:type="dxa"/>
            <w:tcBorders>
              <w:top w:val="nil"/>
              <w:left w:val="nil"/>
              <w:bottom w:val="single" w:sz="4" w:space="0" w:color="auto"/>
              <w:right w:val="single" w:sz="4" w:space="0" w:color="auto"/>
            </w:tcBorders>
            <w:shd w:val="clear" w:color="auto" w:fill="auto"/>
            <w:noWrap/>
            <w:vAlign w:val="center"/>
            <w:hideMark/>
          </w:tcPr>
          <w:p w:rsidR="001846C4" w:rsidRPr="001846C4" w:rsidRDefault="001846C4" w:rsidP="001846C4">
            <w:pPr>
              <w:jc w:val="right"/>
              <w:rPr>
                <w:rFonts w:ascii="Garamond" w:hAnsi="Garamond"/>
                <w:color w:val="000000"/>
              </w:rPr>
            </w:pPr>
            <w:r w:rsidRPr="001846C4">
              <w:rPr>
                <w:rFonts w:ascii="Garamond" w:hAnsi="Garamond"/>
                <w:color w:val="000000"/>
              </w:rPr>
              <w:t>95</w:t>
            </w:r>
          </w:p>
        </w:tc>
        <w:tc>
          <w:tcPr>
            <w:tcW w:w="1360" w:type="dxa"/>
            <w:tcBorders>
              <w:top w:val="nil"/>
              <w:left w:val="nil"/>
              <w:bottom w:val="single" w:sz="4" w:space="0" w:color="auto"/>
              <w:right w:val="single" w:sz="4" w:space="0" w:color="auto"/>
            </w:tcBorders>
            <w:shd w:val="clear" w:color="auto" w:fill="auto"/>
            <w:noWrap/>
            <w:vAlign w:val="center"/>
            <w:hideMark/>
          </w:tcPr>
          <w:p w:rsidR="001846C4" w:rsidRPr="001846C4" w:rsidRDefault="001846C4" w:rsidP="001846C4">
            <w:pPr>
              <w:jc w:val="right"/>
              <w:rPr>
                <w:rFonts w:ascii="Garamond" w:hAnsi="Garamond"/>
                <w:color w:val="000000"/>
              </w:rPr>
            </w:pPr>
            <w:r w:rsidRPr="001846C4">
              <w:rPr>
                <w:rFonts w:ascii="Garamond" w:hAnsi="Garamond"/>
                <w:color w:val="000000"/>
              </w:rPr>
              <w:t>108</w:t>
            </w:r>
          </w:p>
        </w:tc>
      </w:tr>
      <w:tr w:rsidR="001846C4" w:rsidRPr="006A6CB3" w:rsidTr="006A6CB3">
        <w:trPr>
          <w:trHeight w:val="315"/>
          <w:jc w:val="center"/>
        </w:trPr>
        <w:tc>
          <w:tcPr>
            <w:tcW w:w="3420" w:type="dxa"/>
            <w:tcBorders>
              <w:top w:val="nil"/>
              <w:left w:val="single" w:sz="4" w:space="0" w:color="auto"/>
              <w:bottom w:val="single" w:sz="4" w:space="0" w:color="auto"/>
              <w:right w:val="single" w:sz="4" w:space="0" w:color="auto"/>
            </w:tcBorders>
            <w:shd w:val="clear" w:color="auto" w:fill="auto"/>
            <w:noWrap/>
            <w:vAlign w:val="center"/>
            <w:hideMark/>
          </w:tcPr>
          <w:p w:rsidR="001846C4" w:rsidRPr="006A6CB3" w:rsidRDefault="001846C4" w:rsidP="001846C4">
            <w:pPr>
              <w:rPr>
                <w:rFonts w:ascii="Garamond" w:eastAsia="Times New Roman" w:hAnsi="Garamond"/>
                <w:color w:val="000000"/>
                <w:sz w:val="22"/>
                <w:szCs w:val="22"/>
                <w:lang w:val="en-IN" w:eastAsia="en-IN" w:bidi="hi-IN"/>
              </w:rPr>
            </w:pPr>
            <w:r w:rsidRPr="006A6CB3">
              <w:rPr>
                <w:rFonts w:ascii="Garamond" w:eastAsia="Times New Roman" w:hAnsi="Garamond"/>
                <w:color w:val="000000"/>
                <w:sz w:val="22"/>
                <w:szCs w:val="22"/>
                <w:lang w:val="en-IN" w:eastAsia="en-IN" w:bidi="hi-IN"/>
              </w:rPr>
              <w:t>b. FPOs</w:t>
            </w:r>
          </w:p>
        </w:tc>
        <w:tc>
          <w:tcPr>
            <w:tcW w:w="1420" w:type="dxa"/>
            <w:tcBorders>
              <w:top w:val="nil"/>
              <w:left w:val="nil"/>
              <w:bottom w:val="single" w:sz="4" w:space="0" w:color="auto"/>
              <w:right w:val="single" w:sz="4" w:space="0" w:color="auto"/>
            </w:tcBorders>
            <w:shd w:val="clear" w:color="auto" w:fill="auto"/>
            <w:noWrap/>
            <w:vAlign w:val="center"/>
            <w:hideMark/>
          </w:tcPr>
          <w:p w:rsidR="001846C4" w:rsidRPr="001846C4" w:rsidRDefault="001846C4" w:rsidP="001846C4">
            <w:pPr>
              <w:jc w:val="right"/>
              <w:rPr>
                <w:rFonts w:ascii="Garamond" w:hAnsi="Garamond"/>
                <w:color w:val="000000"/>
              </w:rPr>
            </w:pPr>
            <w:r w:rsidRPr="001846C4">
              <w:rPr>
                <w:rFonts w:ascii="Garamond" w:hAnsi="Garamond"/>
                <w:color w:val="000000"/>
              </w:rPr>
              <w:t>0</w:t>
            </w:r>
          </w:p>
        </w:tc>
        <w:tc>
          <w:tcPr>
            <w:tcW w:w="1360" w:type="dxa"/>
            <w:tcBorders>
              <w:top w:val="nil"/>
              <w:left w:val="nil"/>
              <w:bottom w:val="single" w:sz="4" w:space="0" w:color="auto"/>
              <w:right w:val="single" w:sz="4" w:space="0" w:color="auto"/>
            </w:tcBorders>
            <w:shd w:val="clear" w:color="auto" w:fill="auto"/>
            <w:noWrap/>
            <w:vAlign w:val="center"/>
            <w:hideMark/>
          </w:tcPr>
          <w:p w:rsidR="001846C4" w:rsidRPr="001846C4" w:rsidRDefault="001846C4" w:rsidP="001846C4">
            <w:pPr>
              <w:jc w:val="right"/>
              <w:rPr>
                <w:rFonts w:ascii="Garamond" w:hAnsi="Garamond"/>
                <w:color w:val="000000"/>
              </w:rPr>
            </w:pPr>
            <w:r w:rsidRPr="001846C4">
              <w:rPr>
                <w:rFonts w:ascii="Garamond" w:hAnsi="Garamond"/>
                <w:color w:val="000000"/>
              </w:rPr>
              <w:t>0</w:t>
            </w:r>
          </w:p>
        </w:tc>
      </w:tr>
      <w:tr w:rsidR="001846C4" w:rsidRPr="006A6CB3" w:rsidTr="006A6CB3">
        <w:trPr>
          <w:trHeight w:val="315"/>
          <w:jc w:val="center"/>
        </w:trPr>
        <w:tc>
          <w:tcPr>
            <w:tcW w:w="3420" w:type="dxa"/>
            <w:tcBorders>
              <w:top w:val="nil"/>
              <w:left w:val="single" w:sz="4" w:space="0" w:color="auto"/>
              <w:bottom w:val="single" w:sz="4" w:space="0" w:color="auto"/>
              <w:right w:val="single" w:sz="4" w:space="0" w:color="auto"/>
            </w:tcBorders>
            <w:shd w:val="clear" w:color="auto" w:fill="auto"/>
            <w:noWrap/>
            <w:vAlign w:val="center"/>
            <w:hideMark/>
          </w:tcPr>
          <w:p w:rsidR="001846C4" w:rsidRPr="006A6CB3" w:rsidRDefault="001846C4" w:rsidP="001846C4">
            <w:pPr>
              <w:rPr>
                <w:rFonts w:ascii="Garamond" w:eastAsia="Times New Roman" w:hAnsi="Garamond"/>
                <w:color w:val="000000"/>
                <w:sz w:val="22"/>
                <w:szCs w:val="22"/>
                <w:lang w:val="en-IN" w:eastAsia="en-IN" w:bidi="hi-IN"/>
              </w:rPr>
            </w:pPr>
            <w:r w:rsidRPr="006A6CB3">
              <w:rPr>
                <w:rFonts w:ascii="Garamond" w:eastAsia="Times New Roman" w:hAnsi="Garamond"/>
                <w:color w:val="000000"/>
                <w:sz w:val="22"/>
                <w:szCs w:val="22"/>
                <w:lang w:val="en-IN" w:eastAsia="en-IN" w:bidi="hi-IN"/>
              </w:rPr>
              <w:t>c. Equity Rights Issues</w:t>
            </w:r>
          </w:p>
        </w:tc>
        <w:tc>
          <w:tcPr>
            <w:tcW w:w="1420" w:type="dxa"/>
            <w:tcBorders>
              <w:top w:val="nil"/>
              <w:left w:val="nil"/>
              <w:bottom w:val="single" w:sz="4" w:space="0" w:color="auto"/>
              <w:right w:val="single" w:sz="4" w:space="0" w:color="auto"/>
            </w:tcBorders>
            <w:shd w:val="clear" w:color="auto" w:fill="auto"/>
            <w:noWrap/>
            <w:vAlign w:val="center"/>
            <w:hideMark/>
          </w:tcPr>
          <w:p w:rsidR="001846C4" w:rsidRPr="001846C4" w:rsidRDefault="001846C4" w:rsidP="001846C4">
            <w:pPr>
              <w:jc w:val="right"/>
              <w:rPr>
                <w:rFonts w:ascii="Garamond" w:hAnsi="Garamond"/>
                <w:color w:val="000000"/>
              </w:rPr>
            </w:pPr>
            <w:r w:rsidRPr="001846C4">
              <w:rPr>
                <w:rFonts w:ascii="Garamond" w:hAnsi="Garamond"/>
                <w:color w:val="000000"/>
              </w:rPr>
              <w:t>25</w:t>
            </w:r>
          </w:p>
        </w:tc>
        <w:tc>
          <w:tcPr>
            <w:tcW w:w="1360" w:type="dxa"/>
            <w:tcBorders>
              <w:top w:val="nil"/>
              <w:left w:val="nil"/>
              <w:bottom w:val="single" w:sz="4" w:space="0" w:color="auto"/>
              <w:right w:val="single" w:sz="4" w:space="0" w:color="auto"/>
            </w:tcBorders>
            <w:shd w:val="clear" w:color="auto" w:fill="auto"/>
            <w:noWrap/>
            <w:vAlign w:val="center"/>
            <w:hideMark/>
          </w:tcPr>
          <w:p w:rsidR="001846C4" w:rsidRPr="001846C4" w:rsidRDefault="001846C4" w:rsidP="001846C4">
            <w:pPr>
              <w:jc w:val="right"/>
              <w:rPr>
                <w:rFonts w:ascii="Garamond" w:hAnsi="Garamond"/>
                <w:color w:val="000000"/>
              </w:rPr>
            </w:pPr>
            <w:r w:rsidRPr="001846C4">
              <w:rPr>
                <w:rFonts w:ascii="Garamond" w:hAnsi="Garamond"/>
                <w:color w:val="000000"/>
              </w:rPr>
              <w:t>786</w:t>
            </w:r>
          </w:p>
        </w:tc>
      </w:tr>
      <w:tr w:rsidR="001846C4" w:rsidRPr="006A6CB3" w:rsidTr="006A6CB3">
        <w:trPr>
          <w:trHeight w:val="315"/>
          <w:jc w:val="center"/>
        </w:trPr>
        <w:tc>
          <w:tcPr>
            <w:tcW w:w="3420" w:type="dxa"/>
            <w:tcBorders>
              <w:top w:val="nil"/>
              <w:left w:val="single" w:sz="4" w:space="0" w:color="auto"/>
              <w:bottom w:val="single" w:sz="4" w:space="0" w:color="auto"/>
              <w:right w:val="single" w:sz="4" w:space="0" w:color="auto"/>
            </w:tcBorders>
            <w:shd w:val="clear" w:color="auto" w:fill="auto"/>
            <w:noWrap/>
            <w:vAlign w:val="center"/>
            <w:hideMark/>
          </w:tcPr>
          <w:p w:rsidR="001846C4" w:rsidRPr="006A6CB3" w:rsidRDefault="001846C4" w:rsidP="001846C4">
            <w:pPr>
              <w:rPr>
                <w:rFonts w:ascii="Garamond" w:eastAsia="Times New Roman" w:hAnsi="Garamond"/>
                <w:color w:val="000000"/>
                <w:sz w:val="22"/>
                <w:szCs w:val="22"/>
                <w:lang w:val="en-IN" w:eastAsia="en-IN" w:bidi="hi-IN"/>
              </w:rPr>
            </w:pPr>
            <w:r w:rsidRPr="006A6CB3">
              <w:rPr>
                <w:rFonts w:ascii="Garamond" w:eastAsia="Times New Roman" w:hAnsi="Garamond"/>
                <w:color w:val="000000"/>
                <w:sz w:val="22"/>
                <w:szCs w:val="22"/>
                <w:lang w:val="en-IN" w:eastAsia="en-IN" w:bidi="hi-IN"/>
              </w:rPr>
              <w:t>d. QIPs/IPPs</w:t>
            </w:r>
          </w:p>
        </w:tc>
        <w:tc>
          <w:tcPr>
            <w:tcW w:w="1420" w:type="dxa"/>
            <w:tcBorders>
              <w:top w:val="nil"/>
              <w:left w:val="nil"/>
              <w:bottom w:val="single" w:sz="4" w:space="0" w:color="auto"/>
              <w:right w:val="single" w:sz="4" w:space="0" w:color="auto"/>
            </w:tcBorders>
            <w:shd w:val="clear" w:color="auto" w:fill="auto"/>
            <w:noWrap/>
            <w:vAlign w:val="center"/>
            <w:hideMark/>
          </w:tcPr>
          <w:p w:rsidR="001846C4" w:rsidRPr="001846C4" w:rsidRDefault="001846C4" w:rsidP="001846C4">
            <w:pPr>
              <w:jc w:val="right"/>
              <w:rPr>
                <w:rFonts w:ascii="Garamond" w:hAnsi="Garamond"/>
                <w:color w:val="000000"/>
              </w:rPr>
            </w:pPr>
            <w:r w:rsidRPr="001846C4">
              <w:rPr>
                <w:rFonts w:ascii="Garamond" w:hAnsi="Garamond"/>
                <w:color w:val="000000"/>
              </w:rPr>
              <w:t>2,686</w:t>
            </w:r>
          </w:p>
        </w:tc>
        <w:tc>
          <w:tcPr>
            <w:tcW w:w="1360" w:type="dxa"/>
            <w:tcBorders>
              <w:top w:val="nil"/>
              <w:left w:val="nil"/>
              <w:bottom w:val="single" w:sz="4" w:space="0" w:color="auto"/>
              <w:right w:val="single" w:sz="4" w:space="0" w:color="auto"/>
            </w:tcBorders>
            <w:shd w:val="clear" w:color="auto" w:fill="auto"/>
            <w:noWrap/>
            <w:vAlign w:val="center"/>
            <w:hideMark/>
          </w:tcPr>
          <w:p w:rsidR="001846C4" w:rsidRPr="001846C4" w:rsidRDefault="001846C4" w:rsidP="001846C4">
            <w:pPr>
              <w:jc w:val="right"/>
              <w:rPr>
                <w:rFonts w:ascii="Garamond" w:hAnsi="Garamond"/>
                <w:color w:val="000000"/>
              </w:rPr>
            </w:pPr>
            <w:r w:rsidRPr="001846C4">
              <w:rPr>
                <w:rFonts w:ascii="Garamond" w:hAnsi="Garamond"/>
                <w:color w:val="000000"/>
              </w:rPr>
              <w:t>1,210</w:t>
            </w:r>
          </w:p>
        </w:tc>
      </w:tr>
      <w:tr w:rsidR="001846C4" w:rsidRPr="006A6CB3" w:rsidTr="006A6CB3">
        <w:trPr>
          <w:trHeight w:val="315"/>
          <w:jc w:val="center"/>
        </w:trPr>
        <w:tc>
          <w:tcPr>
            <w:tcW w:w="3420" w:type="dxa"/>
            <w:tcBorders>
              <w:top w:val="nil"/>
              <w:left w:val="single" w:sz="4" w:space="0" w:color="auto"/>
              <w:bottom w:val="single" w:sz="4" w:space="0" w:color="auto"/>
              <w:right w:val="single" w:sz="4" w:space="0" w:color="auto"/>
            </w:tcBorders>
            <w:shd w:val="clear" w:color="auto" w:fill="auto"/>
            <w:noWrap/>
            <w:vAlign w:val="center"/>
            <w:hideMark/>
          </w:tcPr>
          <w:p w:rsidR="001846C4" w:rsidRPr="006A6CB3" w:rsidRDefault="001846C4" w:rsidP="001846C4">
            <w:pPr>
              <w:rPr>
                <w:rFonts w:ascii="Garamond" w:eastAsia="Times New Roman" w:hAnsi="Garamond"/>
                <w:color w:val="000000"/>
                <w:sz w:val="22"/>
                <w:szCs w:val="22"/>
                <w:lang w:val="en-IN" w:eastAsia="en-IN" w:bidi="hi-IN"/>
              </w:rPr>
            </w:pPr>
            <w:r w:rsidRPr="006A6CB3">
              <w:rPr>
                <w:rFonts w:ascii="Garamond" w:eastAsia="Times New Roman" w:hAnsi="Garamond"/>
                <w:color w:val="000000"/>
                <w:sz w:val="22"/>
                <w:szCs w:val="22"/>
                <w:lang w:val="en-IN" w:eastAsia="en-IN" w:bidi="hi-IN"/>
              </w:rPr>
              <w:t>e. Preferential Allotments</w:t>
            </w:r>
          </w:p>
        </w:tc>
        <w:tc>
          <w:tcPr>
            <w:tcW w:w="1420" w:type="dxa"/>
            <w:tcBorders>
              <w:top w:val="nil"/>
              <w:left w:val="nil"/>
              <w:bottom w:val="single" w:sz="4" w:space="0" w:color="auto"/>
              <w:right w:val="single" w:sz="4" w:space="0" w:color="auto"/>
            </w:tcBorders>
            <w:shd w:val="clear" w:color="auto" w:fill="auto"/>
            <w:noWrap/>
            <w:vAlign w:val="center"/>
            <w:hideMark/>
          </w:tcPr>
          <w:p w:rsidR="001846C4" w:rsidRPr="001846C4" w:rsidRDefault="001846C4" w:rsidP="001846C4">
            <w:pPr>
              <w:jc w:val="right"/>
              <w:rPr>
                <w:rFonts w:ascii="Garamond" w:hAnsi="Garamond"/>
                <w:color w:val="000000"/>
              </w:rPr>
            </w:pPr>
            <w:r w:rsidRPr="001846C4">
              <w:rPr>
                <w:rFonts w:ascii="Garamond" w:hAnsi="Garamond"/>
                <w:color w:val="000000"/>
              </w:rPr>
              <w:t>5,985</w:t>
            </w:r>
          </w:p>
        </w:tc>
        <w:tc>
          <w:tcPr>
            <w:tcW w:w="1360" w:type="dxa"/>
            <w:tcBorders>
              <w:top w:val="nil"/>
              <w:left w:val="nil"/>
              <w:bottom w:val="single" w:sz="4" w:space="0" w:color="auto"/>
              <w:right w:val="single" w:sz="4" w:space="0" w:color="auto"/>
            </w:tcBorders>
            <w:shd w:val="clear" w:color="auto" w:fill="auto"/>
            <w:noWrap/>
            <w:vAlign w:val="center"/>
            <w:hideMark/>
          </w:tcPr>
          <w:p w:rsidR="001846C4" w:rsidRPr="001846C4" w:rsidRDefault="001846C4" w:rsidP="001846C4">
            <w:pPr>
              <w:jc w:val="right"/>
              <w:rPr>
                <w:rFonts w:ascii="Garamond" w:hAnsi="Garamond"/>
                <w:color w:val="000000"/>
              </w:rPr>
            </w:pPr>
            <w:r w:rsidRPr="001846C4">
              <w:rPr>
                <w:rFonts w:ascii="Garamond" w:hAnsi="Garamond"/>
                <w:color w:val="000000"/>
              </w:rPr>
              <w:t>1,425</w:t>
            </w:r>
          </w:p>
        </w:tc>
      </w:tr>
      <w:tr w:rsidR="001846C4" w:rsidRPr="006A6CB3" w:rsidTr="006A6CB3">
        <w:trPr>
          <w:trHeight w:val="315"/>
          <w:jc w:val="center"/>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846C4" w:rsidRPr="006A6CB3" w:rsidRDefault="001846C4" w:rsidP="001846C4">
            <w:pPr>
              <w:rPr>
                <w:rFonts w:ascii="Garamond" w:eastAsia="Times New Roman" w:hAnsi="Garamond"/>
                <w:b/>
                <w:bCs/>
                <w:i/>
                <w:iCs/>
                <w:color w:val="000000"/>
                <w:sz w:val="22"/>
                <w:szCs w:val="22"/>
                <w:lang w:val="en-IN" w:eastAsia="en-IN" w:bidi="hi-IN"/>
              </w:rPr>
            </w:pPr>
            <w:r w:rsidRPr="006A6CB3">
              <w:rPr>
                <w:rFonts w:ascii="Garamond" w:eastAsia="Times New Roman" w:hAnsi="Garamond"/>
                <w:b/>
                <w:bCs/>
                <w:i/>
                <w:iCs/>
                <w:color w:val="000000"/>
                <w:sz w:val="22"/>
                <w:szCs w:val="22"/>
                <w:lang w:val="en-IN" w:eastAsia="en-IN" w:bidi="hi-IN"/>
              </w:rPr>
              <w:t>II. Debt Issues</w:t>
            </w:r>
          </w:p>
        </w:tc>
        <w:tc>
          <w:tcPr>
            <w:tcW w:w="1420" w:type="dxa"/>
            <w:tcBorders>
              <w:top w:val="nil"/>
              <w:left w:val="nil"/>
              <w:bottom w:val="single" w:sz="4" w:space="0" w:color="auto"/>
              <w:right w:val="single" w:sz="4" w:space="0" w:color="auto"/>
            </w:tcBorders>
            <w:shd w:val="clear" w:color="auto" w:fill="auto"/>
            <w:noWrap/>
            <w:vAlign w:val="center"/>
            <w:hideMark/>
          </w:tcPr>
          <w:p w:rsidR="001846C4" w:rsidRPr="001846C4" w:rsidRDefault="001846C4" w:rsidP="001846C4">
            <w:pPr>
              <w:jc w:val="right"/>
              <w:rPr>
                <w:rFonts w:ascii="Garamond" w:hAnsi="Garamond"/>
                <w:b/>
                <w:bCs/>
                <w:color w:val="000000"/>
              </w:rPr>
            </w:pPr>
            <w:r w:rsidRPr="001846C4">
              <w:rPr>
                <w:rFonts w:ascii="Garamond" w:hAnsi="Garamond"/>
                <w:b/>
                <w:bCs/>
                <w:color w:val="000000"/>
              </w:rPr>
              <w:t>94,421</w:t>
            </w:r>
          </w:p>
        </w:tc>
        <w:tc>
          <w:tcPr>
            <w:tcW w:w="1360" w:type="dxa"/>
            <w:tcBorders>
              <w:top w:val="nil"/>
              <w:left w:val="nil"/>
              <w:bottom w:val="single" w:sz="4" w:space="0" w:color="auto"/>
              <w:right w:val="single" w:sz="4" w:space="0" w:color="auto"/>
            </w:tcBorders>
            <w:shd w:val="clear" w:color="auto" w:fill="auto"/>
            <w:noWrap/>
            <w:vAlign w:val="center"/>
            <w:hideMark/>
          </w:tcPr>
          <w:p w:rsidR="001846C4" w:rsidRPr="001846C4" w:rsidRDefault="001846C4" w:rsidP="001846C4">
            <w:pPr>
              <w:jc w:val="right"/>
              <w:rPr>
                <w:rFonts w:ascii="Garamond" w:hAnsi="Garamond"/>
                <w:b/>
                <w:bCs/>
                <w:color w:val="000000"/>
              </w:rPr>
            </w:pPr>
            <w:r w:rsidRPr="001846C4">
              <w:rPr>
                <w:rFonts w:ascii="Garamond" w:hAnsi="Garamond"/>
                <w:b/>
                <w:bCs/>
                <w:color w:val="000000"/>
              </w:rPr>
              <w:t>48,282</w:t>
            </w:r>
          </w:p>
        </w:tc>
      </w:tr>
      <w:tr w:rsidR="001846C4" w:rsidRPr="006A6CB3" w:rsidTr="006A6CB3">
        <w:trPr>
          <w:trHeight w:val="315"/>
          <w:jc w:val="center"/>
        </w:trPr>
        <w:tc>
          <w:tcPr>
            <w:tcW w:w="3420" w:type="dxa"/>
            <w:tcBorders>
              <w:top w:val="nil"/>
              <w:left w:val="single" w:sz="4" w:space="0" w:color="auto"/>
              <w:bottom w:val="single" w:sz="4" w:space="0" w:color="auto"/>
              <w:right w:val="single" w:sz="4" w:space="0" w:color="auto"/>
            </w:tcBorders>
            <w:shd w:val="clear" w:color="auto" w:fill="auto"/>
            <w:noWrap/>
            <w:vAlign w:val="center"/>
            <w:hideMark/>
          </w:tcPr>
          <w:p w:rsidR="001846C4" w:rsidRPr="006A6CB3" w:rsidRDefault="001846C4" w:rsidP="001846C4">
            <w:pPr>
              <w:rPr>
                <w:rFonts w:ascii="Garamond" w:eastAsia="Times New Roman" w:hAnsi="Garamond"/>
                <w:color w:val="000000"/>
                <w:sz w:val="22"/>
                <w:szCs w:val="22"/>
                <w:lang w:val="en-IN" w:eastAsia="en-IN" w:bidi="hi-IN"/>
              </w:rPr>
            </w:pPr>
            <w:r w:rsidRPr="006A6CB3">
              <w:rPr>
                <w:rFonts w:ascii="Garamond" w:eastAsia="Times New Roman" w:hAnsi="Garamond"/>
                <w:color w:val="000000"/>
                <w:sz w:val="22"/>
                <w:szCs w:val="22"/>
                <w:lang w:val="en-IN" w:eastAsia="en-IN" w:bidi="hi-IN"/>
              </w:rPr>
              <w:t>a. Debt Public Issues</w:t>
            </w:r>
          </w:p>
        </w:tc>
        <w:tc>
          <w:tcPr>
            <w:tcW w:w="1420" w:type="dxa"/>
            <w:tcBorders>
              <w:top w:val="nil"/>
              <w:left w:val="nil"/>
              <w:bottom w:val="single" w:sz="4" w:space="0" w:color="auto"/>
              <w:right w:val="single" w:sz="4" w:space="0" w:color="auto"/>
            </w:tcBorders>
            <w:shd w:val="clear" w:color="auto" w:fill="auto"/>
            <w:noWrap/>
            <w:vAlign w:val="center"/>
            <w:hideMark/>
          </w:tcPr>
          <w:p w:rsidR="001846C4" w:rsidRPr="001846C4" w:rsidRDefault="001846C4" w:rsidP="001846C4">
            <w:pPr>
              <w:jc w:val="right"/>
              <w:rPr>
                <w:rFonts w:ascii="Garamond" w:hAnsi="Garamond"/>
                <w:color w:val="000000"/>
              </w:rPr>
            </w:pPr>
            <w:r w:rsidRPr="001846C4">
              <w:rPr>
                <w:rFonts w:ascii="Garamond" w:hAnsi="Garamond"/>
                <w:color w:val="000000"/>
              </w:rPr>
              <w:t>1,694</w:t>
            </w:r>
          </w:p>
        </w:tc>
        <w:tc>
          <w:tcPr>
            <w:tcW w:w="1360" w:type="dxa"/>
            <w:tcBorders>
              <w:top w:val="nil"/>
              <w:left w:val="nil"/>
              <w:bottom w:val="single" w:sz="4" w:space="0" w:color="auto"/>
              <w:right w:val="single" w:sz="4" w:space="0" w:color="auto"/>
            </w:tcBorders>
            <w:shd w:val="clear" w:color="auto" w:fill="auto"/>
            <w:noWrap/>
            <w:vAlign w:val="center"/>
            <w:hideMark/>
          </w:tcPr>
          <w:p w:rsidR="001846C4" w:rsidRPr="001846C4" w:rsidRDefault="001846C4" w:rsidP="001846C4">
            <w:pPr>
              <w:jc w:val="right"/>
              <w:rPr>
                <w:rFonts w:ascii="Garamond" w:hAnsi="Garamond"/>
                <w:color w:val="000000"/>
              </w:rPr>
            </w:pPr>
            <w:r w:rsidRPr="001846C4">
              <w:rPr>
                <w:rFonts w:ascii="Garamond" w:hAnsi="Garamond"/>
                <w:color w:val="000000"/>
              </w:rPr>
              <w:t>1,437</w:t>
            </w:r>
          </w:p>
        </w:tc>
      </w:tr>
      <w:tr w:rsidR="001846C4" w:rsidRPr="006A6CB3" w:rsidTr="006A6CB3">
        <w:trPr>
          <w:trHeight w:val="315"/>
          <w:jc w:val="center"/>
        </w:trPr>
        <w:tc>
          <w:tcPr>
            <w:tcW w:w="3420" w:type="dxa"/>
            <w:tcBorders>
              <w:top w:val="nil"/>
              <w:left w:val="single" w:sz="4" w:space="0" w:color="auto"/>
              <w:bottom w:val="single" w:sz="4" w:space="0" w:color="auto"/>
              <w:right w:val="single" w:sz="4" w:space="0" w:color="auto"/>
            </w:tcBorders>
            <w:shd w:val="clear" w:color="auto" w:fill="auto"/>
            <w:noWrap/>
            <w:vAlign w:val="center"/>
            <w:hideMark/>
          </w:tcPr>
          <w:p w:rsidR="001846C4" w:rsidRPr="006A6CB3" w:rsidRDefault="001846C4" w:rsidP="001846C4">
            <w:pPr>
              <w:rPr>
                <w:rFonts w:ascii="Garamond" w:eastAsia="Times New Roman" w:hAnsi="Garamond"/>
                <w:color w:val="000000"/>
                <w:sz w:val="22"/>
                <w:szCs w:val="22"/>
                <w:lang w:val="en-IN" w:eastAsia="en-IN" w:bidi="hi-IN"/>
              </w:rPr>
            </w:pPr>
            <w:r w:rsidRPr="006A6CB3">
              <w:rPr>
                <w:rFonts w:ascii="Garamond" w:eastAsia="Times New Roman" w:hAnsi="Garamond"/>
                <w:color w:val="000000"/>
                <w:sz w:val="22"/>
                <w:szCs w:val="22"/>
                <w:lang w:val="en-IN" w:eastAsia="en-IN" w:bidi="hi-IN"/>
              </w:rPr>
              <w:t>b. Private Placement of Debt</w:t>
            </w:r>
          </w:p>
        </w:tc>
        <w:tc>
          <w:tcPr>
            <w:tcW w:w="1420" w:type="dxa"/>
            <w:tcBorders>
              <w:top w:val="nil"/>
              <w:left w:val="nil"/>
              <w:bottom w:val="single" w:sz="4" w:space="0" w:color="auto"/>
              <w:right w:val="single" w:sz="4" w:space="0" w:color="auto"/>
            </w:tcBorders>
            <w:shd w:val="clear" w:color="auto" w:fill="auto"/>
            <w:noWrap/>
            <w:vAlign w:val="center"/>
            <w:hideMark/>
          </w:tcPr>
          <w:p w:rsidR="001846C4" w:rsidRPr="001846C4" w:rsidRDefault="001846C4" w:rsidP="001846C4">
            <w:pPr>
              <w:jc w:val="right"/>
              <w:rPr>
                <w:rFonts w:ascii="Garamond" w:hAnsi="Garamond"/>
                <w:color w:val="000000"/>
              </w:rPr>
            </w:pPr>
            <w:r w:rsidRPr="001846C4">
              <w:rPr>
                <w:rFonts w:ascii="Garamond" w:hAnsi="Garamond"/>
                <w:color w:val="000000"/>
              </w:rPr>
              <w:t>92,727</w:t>
            </w:r>
          </w:p>
        </w:tc>
        <w:tc>
          <w:tcPr>
            <w:tcW w:w="1360" w:type="dxa"/>
            <w:tcBorders>
              <w:top w:val="nil"/>
              <w:left w:val="nil"/>
              <w:bottom w:val="single" w:sz="4" w:space="0" w:color="auto"/>
              <w:right w:val="single" w:sz="4" w:space="0" w:color="auto"/>
            </w:tcBorders>
            <w:shd w:val="clear" w:color="auto" w:fill="auto"/>
            <w:noWrap/>
            <w:vAlign w:val="center"/>
            <w:hideMark/>
          </w:tcPr>
          <w:p w:rsidR="001846C4" w:rsidRPr="001846C4" w:rsidRDefault="001846C4" w:rsidP="001846C4">
            <w:pPr>
              <w:jc w:val="right"/>
              <w:rPr>
                <w:rFonts w:ascii="Garamond" w:hAnsi="Garamond"/>
                <w:color w:val="000000"/>
              </w:rPr>
            </w:pPr>
            <w:r w:rsidRPr="001846C4">
              <w:rPr>
                <w:rFonts w:ascii="Garamond" w:hAnsi="Garamond"/>
                <w:color w:val="000000"/>
              </w:rPr>
              <w:t>46,845</w:t>
            </w:r>
          </w:p>
        </w:tc>
      </w:tr>
      <w:tr w:rsidR="001846C4" w:rsidRPr="006A6CB3" w:rsidTr="006A6CB3">
        <w:trPr>
          <w:trHeight w:val="315"/>
          <w:jc w:val="center"/>
        </w:trPr>
        <w:tc>
          <w:tcPr>
            <w:tcW w:w="3420" w:type="dxa"/>
            <w:tcBorders>
              <w:top w:val="nil"/>
              <w:left w:val="single" w:sz="4" w:space="0" w:color="auto"/>
              <w:bottom w:val="single" w:sz="4" w:space="0" w:color="auto"/>
              <w:right w:val="single" w:sz="4" w:space="0" w:color="auto"/>
            </w:tcBorders>
            <w:shd w:val="clear" w:color="auto" w:fill="auto"/>
            <w:noWrap/>
            <w:vAlign w:val="center"/>
            <w:hideMark/>
          </w:tcPr>
          <w:p w:rsidR="001846C4" w:rsidRPr="006A6CB3" w:rsidRDefault="001846C4" w:rsidP="001846C4">
            <w:pPr>
              <w:rPr>
                <w:rFonts w:ascii="Garamond" w:eastAsia="Times New Roman" w:hAnsi="Garamond"/>
                <w:b/>
                <w:bCs/>
                <w:color w:val="000000"/>
                <w:sz w:val="22"/>
                <w:szCs w:val="22"/>
                <w:lang w:val="en-IN" w:eastAsia="en-IN" w:bidi="hi-IN"/>
              </w:rPr>
            </w:pPr>
            <w:r w:rsidRPr="006A6CB3">
              <w:rPr>
                <w:rFonts w:ascii="Garamond" w:eastAsia="Times New Roman" w:hAnsi="Garamond"/>
                <w:b/>
                <w:bCs/>
                <w:color w:val="000000"/>
                <w:sz w:val="22"/>
                <w:szCs w:val="22"/>
                <w:lang w:val="en-IN" w:eastAsia="en-IN" w:bidi="hi-IN"/>
              </w:rPr>
              <w:t>Total Funds Mobilised (I+II)</w:t>
            </w:r>
          </w:p>
        </w:tc>
        <w:tc>
          <w:tcPr>
            <w:tcW w:w="1420" w:type="dxa"/>
            <w:tcBorders>
              <w:top w:val="nil"/>
              <w:left w:val="nil"/>
              <w:bottom w:val="single" w:sz="4" w:space="0" w:color="auto"/>
              <w:right w:val="single" w:sz="4" w:space="0" w:color="auto"/>
            </w:tcBorders>
            <w:shd w:val="clear" w:color="auto" w:fill="auto"/>
            <w:noWrap/>
            <w:vAlign w:val="center"/>
            <w:hideMark/>
          </w:tcPr>
          <w:p w:rsidR="001846C4" w:rsidRPr="001846C4" w:rsidRDefault="001846C4" w:rsidP="001846C4">
            <w:pPr>
              <w:jc w:val="right"/>
              <w:rPr>
                <w:rFonts w:ascii="Garamond" w:hAnsi="Garamond"/>
                <w:b/>
                <w:bCs/>
                <w:color w:val="000000"/>
              </w:rPr>
            </w:pPr>
            <w:r w:rsidRPr="001846C4">
              <w:rPr>
                <w:rFonts w:ascii="Garamond" w:hAnsi="Garamond"/>
                <w:b/>
                <w:bCs/>
                <w:color w:val="000000"/>
              </w:rPr>
              <w:t>1,06,958</w:t>
            </w:r>
          </w:p>
        </w:tc>
        <w:tc>
          <w:tcPr>
            <w:tcW w:w="1360" w:type="dxa"/>
            <w:tcBorders>
              <w:top w:val="nil"/>
              <w:left w:val="nil"/>
              <w:bottom w:val="single" w:sz="4" w:space="0" w:color="auto"/>
              <w:right w:val="single" w:sz="4" w:space="0" w:color="auto"/>
            </w:tcBorders>
            <w:shd w:val="clear" w:color="auto" w:fill="auto"/>
            <w:noWrap/>
            <w:vAlign w:val="center"/>
            <w:hideMark/>
          </w:tcPr>
          <w:p w:rsidR="001846C4" w:rsidRPr="001846C4" w:rsidRDefault="001846C4" w:rsidP="001846C4">
            <w:pPr>
              <w:jc w:val="right"/>
              <w:rPr>
                <w:rFonts w:ascii="Garamond" w:hAnsi="Garamond"/>
                <w:b/>
                <w:bCs/>
                <w:color w:val="000000"/>
              </w:rPr>
            </w:pPr>
            <w:r w:rsidRPr="001846C4">
              <w:rPr>
                <w:rFonts w:ascii="Garamond" w:hAnsi="Garamond"/>
                <w:b/>
                <w:bCs/>
                <w:color w:val="000000"/>
              </w:rPr>
              <w:t>54,750</w:t>
            </w:r>
          </w:p>
        </w:tc>
      </w:tr>
    </w:tbl>
    <w:p w:rsidR="00D0348E" w:rsidRPr="001846C4" w:rsidRDefault="006A6CB3" w:rsidP="001846C4">
      <w:pPr>
        <w:widowControl w:val="0"/>
        <w:spacing w:line="276" w:lineRule="auto"/>
        <w:ind w:firstLine="454"/>
        <w:jc w:val="both"/>
        <w:rPr>
          <w:rFonts w:ascii="Garamond" w:eastAsia="Palatino Linotype" w:hAnsi="Garamond" w:cs="Palatino Linotype"/>
          <w:b/>
          <w:sz w:val="22"/>
          <w:szCs w:val="22"/>
        </w:rPr>
      </w:pPr>
      <w:r w:rsidRPr="006A6CB3">
        <w:rPr>
          <w:rFonts w:ascii="Garamond" w:eastAsia="Palatino Linotype" w:hAnsi="Garamond" w:cs="Palatino Linotype"/>
          <w:b/>
        </w:rPr>
        <w:fldChar w:fldCharType="end"/>
      </w:r>
      <w:r w:rsidRPr="006A6CB3">
        <w:rPr>
          <w:rFonts w:ascii="Garamond" w:eastAsia="Palatino Linotype" w:hAnsi="Garamond" w:cs="Palatino Linotype"/>
          <w:b/>
        </w:rPr>
        <w:t xml:space="preserve">              </w:t>
      </w:r>
      <w:r>
        <w:rPr>
          <w:rFonts w:ascii="Garamond" w:eastAsia="Palatino Linotype" w:hAnsi="Garamond" w:cs="Palatino Linotype"/>
          <w:b/>
        </w:rPr>
        <w:t xml:space="preserve">          </w:t>
      </w:r>
      <w:r w:rsidRPr="006A6CB3">
        <w:rPr>
          <w:rFonts w:ascii="Garamond" w:eastAsia="Palatino Linotype" w:hAnsi="Garamond" w:cs="Palatino Linotype"/>
          <w:b/>
          <w:sz w:val="22"/>
          <w:szCs w:val="22"/>
        </w:rPr>
        <w:t xml:space="preserve">Source: </w:t>
      </w:r>
      <w:r w:rsidRPr="006A6CB3">
        <w:rPr>
          <w:rFonts w:ascii="Garamond" w:eastAsia="Palatino Linotype" w:hAnsi="Garamond" w:cs="Palatino Linotype"/>
          <w:bCs/>
          <w:sz w:val="22"/>
          <w:szCs w:val="22"/>
        </w:rPr>
        <w:t xml:space="preserve">SEBI, </w:t>
      </w:r>
      <w:r w:rsidR="00087232">
        <w:rPr>
          <w:rFonts w:ascii="Garamond" w:eastAsia="Palatino Linotype" w:hAnsi="Garamond" w:cs="Palatino Linotype"/>
          <w:bCs/>
          <w:sz w:val="22"/>
          <w:szCs w:val="22"/>
        </w:rPr>
        <w:t>B</w:t>
      </w:r>
      <w:r w:rsidRPr="006A6CB3">
        <w:rPr>
          <w:rFonts w:ascii="Garamond" w:eastAsia="Palatino Linotype" w:hAnsi="Garamond" w:cs="Palatino Linotype"/>
          <w:bCs/>
          <w:sz w:val="22"/>
          <w:szCs w:val="22"/>
        </w:rPr>
        <w:t xml:space="preserve">SE, </w:t>
      </w:r>
      <w:r w:rsidR="00087232">
        <w:rPr>
          <w:rFonts w:ascii="Garamond" w:eastAsia="Palatino Linotype" w:hAnsi="Garamond" w:cs="Palatino Linotype"/>
          <w:bCs/>
          <w:sz w:val="22"/>
          <w:szCs w:val="22"/>
        </w:rPr>
        <w:t>N</w:t>
      </w:r>
      <w:r w:rsidRPr="006A6CB3">
        <w:rPr>
          <w:rFonts w:ascii="Garamond" w:eastAsia="Palatino Linotype" w:hAnsi="Garamond" w:cs="Palatino Linotype"/>
          <w:bCs/>
          <w:sz w:val="22"/>
          <w:szCs w:val="22"/>
        </w:rPr>
        <w:t>SE and MSEI</w:t>
      </w:r>
    </w:p>
    <w:p w:rsidR="006A6CB3" w:rsidRPr="006A6CB3" w:rsidRDefault="006A6CB3" w:rsidP="006A6CB3">
      <w:pPr>
        <w:widowControl w:val="0"/>
        <w:numPr>
          <w:ilvl w:val="0"/>
          <w:numId w:val="2"/>
        </w:numPr>
        <w:spacing w:line="276" w:lineRule="auto"/>
        <w:ind w:left="454" w:hanging="454"/>
        <w:rPr>
          <w:rFonts w:ascii="Garamond" w:eastAsia="Palatino Linotype" w:hAnsi="Garamond" w:cs="Palatino Linotype"/>
          <w:b/>
        </w:rPr>
      </w:pPr>
      <w:r w:rsidRPr="006A6CB3">
        <w:rPr>
          <w:rFonts w:ascii="Garamond" w:eastAsia="Palatino Linotype" w:hAnsi="Garamond" w:cs="Palatino Linotype"/>
          <w:b/>
        </w:rPr>
        <w:t>Trends in the Secondary Market</w:t>
      </w:r>
    </w:p>
    <w:p w:rsidR="006A6CB3" w:rsidRPr="006A6CB3" w:rsidRDefault="006A6CB3" w:rsidP="006A6CB3">
      <w:pPr>
        <w:pBdr>
          <w:top w:val="nil"/>
          <w:left w:val="nil"/>
          <w:bottom w:val="nil"/>
          <w:right w:val="nil"/>
          <w:between w:val="nil"/>
        </w:pBdr>
        <w:spacing w:line="276" w:lineRule="auto"/>
        <w:ind w:left="360"/>
        <w:jc w:val="both"/>
        <w:rPr>
          <w:rFonts w:ascii="Garamond" w:eastAsia="Palatino Linotype" w:hAnsi="Garamond" w:cs="Palatino Linotype"/>
        </w:rPr>
      </w:pPr>
    </w:p>
    <w:p w:rsidR="00D0348E" w:rsidRPr="009166B0" w:rsidRDefault="00D0348E" w:rsidP="00D0348E">
      <w:pPr>
        <w:numPr>
          <w:ilvl w:val="0"/>
          <w:numId w:val="1"/>
        </w:numPr>
        <w:pBdr>
          <w:between w:val="nil"/>
        </w:pBdr>
        <w:spacing w:line="276" w:lineRule="auto"/>
        <w:jc w:val="both"/>
        <w:rPr>
          <w:rFonts w:ascii="Garamond" w:eastAsia="Palatino Linotype" w:hAnsi="Garamond" w:cs="Palatino Linotype"/>
        </w:rPr>
      </w:pPr>
      <w:r w:rsidRPr="009166B0">
        <w:rPr>
          <w:rFonts w:ascii="Garamond" w:eastAsia="Palatino Linotype" w:hAnsi="Garamond" w:cs="Palatino Linotype"/>
        </w:rPr>
        <w:t>During October 2021, Nifty 50 reached all-time high of 18</w:t>
      </w:r>
      <w:r>
        <w:rPr>
          <w:rFonts w:ascii="Garamond" w:eastAsia="Palatino Linotype" w:hAnsi="Garamond" w:cs="Palatino Linotype"/>
        </w:rPr>
        <w:t>,</w:t>
      </w:r>
      <w:r w:rsidRPr="009166B0">
        <w:rPr>
          <w:rFonts w:ascii="Garamond" w:eastAsia="Palatino Linotype" w:hAnsi="Garamond" w:cs="Palatino Linotype"/>
        </w:rPr>
        <w:t xml:space="preserve">604 on October 19, 2021 and closed at 17,672, registering a rise of 0.3 per cent over September-end 2021.Similarly, BSE Sensex reached its all-time high of 62,245 on October 19, 2021 and closed at 59,307 increasing by 0.3 per cent over end of September 2021. </w:t>
      </w:r>
    </w:p>
    <w:p w:rsidR="00D0348E" w:rsidRPr="009166B0" w:rsidRDefault="00D0348E" w:rsidP="00D0348E">
      <w:pPr>
        <w:numPr>
          <w:ilvl w:val="0"/>
          <w:numId w:val="1"/>
        </w:numPr>
        <w:pBdr>
          <w:between w:val="nil"/>
        </w:pBdr>
        <w:spacing w:line="276" w:lineRule="auto"/>
        <w:jc w:val="both"/>
        <w:rPr>
          <w:rFonts w:ascii="Garamond" w:eastAsia="Palatino Linotype" w:hAnsi="Garamond" w:cs="Palatino Linotype"/>
        </w:rPr>
      </w:pPr>
      <w:r w:rsidRPr="009166B0">
        <w:rPr>
          <w:rFonts w:ascii="Garamond" w:eastAsia="Palatino Linotype" w:hAnsi="Garamond" w:cs="Palatino Linotype"/>
        </w:rPr>
        <w:t xml:space="preserve">The P/E ratios of S&amp;P BSE Sensex and Nifty 50 were 31.1 and 25.7 respectively, at the end of October 2021. </w:t>
      </w:r>
    </w:p>
    <w:p w:rsidR="00D0348E" w:rsidRDefault="00D0348E" w:rsidP="00D0348E">
      <w:pPr>
        <w:numPr>
          <w:ilvl w:val="0"/>
          <w:numId w:val="1"/>
        </w:numPr>
        <w:pBdr>
          <w:between w:val="nil"/>
        </w:pBdr>
        <w:spacing w:line="276" w:lineRule="auto"/>
        <w:jc w:val="both"/>
        <w:rPr>
          <w:rFonts w:ascii="Garamond" w:eastAsia="Palatino Linotype" w:hAnsi="Garamond" w:cs="Palatino Linotype"/>
        </w:rPr>
      </w:pPr>
      <w:r w:rsidRPr="009166B0">
        <w:rPr>
          <w:rFonts w:ascii="Garamond" w:eastAsia="Palatino Linotype" w:hAnsi="Garamond" w:cs="Palatino Linotype"/>
        </w:rPr>
        <w:t>Against the upward trend of benchmark indices, the market capitalisation of both the BSE and NSE fell by 0.3 per cent, at the end of October 2021</w:t>
      </w:r>
      <w:r>
        <w:rPr>
          <w:rFonts w:ascii="Garamond" w:eastAsia="Palatino Linotype" w:hAnsi="Garamond" w:cs="Palatino Linotype"/>
        </w:rPr>
        <w:t xml:space="preserve">, over the previous month-end. </w:t>
      </w:r>
    </w:p>
    <w:p w:rsidR="003A028D" w:rsidRDefault="003A028D" w:rsidP="006A6CB3">
      <w:pPr>
        <w:pBdr>
          <w:top w:val="nil"/>
          <w:left w:val="nil"/>
          <w:bottom w:val="nil"/>
          <w:right w:val="nil"/>
          <w:between w:val="nil"/>
        </w:pBdr>
        <w:ind w:left="714"/>
        <w:jc w:val="both"/>
        <w:rPr>
          <w:rFonts w:ascii="Garamond" w:eastAsia="Palatino Linotype" w:hAnsi="Garamond" w:cs="Palatino Linotype"/>
          <w:b/>
        </w:rPr>
      </w:pPr>
    </w:p>
    <w:p w:rsidR="001846C4" w:rsidRDefault="001846C4" w:rsidP="006A6CB3">
      <w:pPr>
        <w:pBdr>
          <w:top w:val="nil"/>
          <w:left w:val="nil"/>
          <w:bottom w:val="nil"/>
          <w:right w:val="nil"/>
          <w:between w:val="nil"/>
        </w:pBdr>
        <w:ind w:left="714"/>
        <w:jc w:val="both"/>
        <w:rPr>
          <w:rFonts w:ascii="Garamond" w:eastAsia="Palatino Linotype" w:hAnsi="Garamond" w:cs="Palatino Linotype"/>
          <w:b/>
        </w:rPr>
      </w:pPr>
    </w:p>
    <w:p w:rsidR="00D91B4B" w:rsidRDefault="00D91B4B" w:rsidP="006A6CB3">
      <w:pPr>
        <w:pBdr>
          <w:top w:val="nil"/>
          <w:left w:val="nil"/>
          <w:bottom w:val="nil"/>
          <w:right w:val="nil"/>
          <w:between w:val="nil"/>
        </w:pBdr>
        <w:ind w:left="714"/>
        <w:jc w:val="both"/>
        <w:rPr>
          <w:rFonts w:ascii="Garamond" w:eastAsia="Palatino Linotype" w:hAnsi="Garamond" w:cs="Palatino Linotype"/>
          <w:b/>
        </w:rPr>
      </w:pPr>
    </w:p>
    <w:p w:rsidR="006A6CB3" w:rsidRDefault="006A6CB3" w:rsidP="006A6CB3">
      <w:pPr>
        <w:pBdr>
          <w:top w:val="nil"/>
          <w:left w:val="nil"/>
          <w:bottom w:val="nil"/>
          <w:right w:val="nil"/>
          <w:between w:val="nil"/>
        </w:pBdr>
        <w:ind w:left="714"/>
        <w:jc w:val="both"/>
        <w:rPr>
          <w:rFonts w:ascii="Garamond" w:eastAsia="Palatino Linotype" w:hAnsi="Garamond" w:cs="Palatino Linotype"/>
          <w:b/>
        </w:rPr>
      </w:pPr>
      <w:r w:rsidRPr="006A6CB3">
        <w:rPr>
          <w:rFonts w:ascii="Garamond" w:eastAsia="Palatino Linotype" w:hAnsi="Garamond" w:cs="Palatino Linotype"/>
          <w:b/>
        </w:rPr>
        <w:t xml:space="preserve">Table 2: Snapshot of Indian Capital Market </w:t>
      </w:r>
    </w:p>
    <w:p w:rsidR="006A6CB3" w:rsidRDefault="006A6CB3" w:rsidP="006A6CB3">
      <w:pPr>
        <w:pBdr>
          <w:top w:val="nil"/>
          <w:left w:val="nil"/>
          <w:bottom w:val="nil"/>
          <w:right w:val="nil"/>
          <w:between w:val="nil"/>
        </w:pBdr>
        <w:ind w:left="714"/>
        <w:jc w:val="both"/>
        <w:rPr>
          <w:rFonts w:ascii="Garamond" w:eastAsia="Palatino Linotype" w:hAnsi="Garamond" w:cs="Palatino Linotype"/>
          <w:b/>
        </w:rPr>
      </w:pPr>
    </w:p>
    <w:tbl>
      <w:tblPr>
        <w:tblW w:w="8052" w:type="dxa"/>
        <w:tblInd w:w="911" w:type="dxa"/>
        <w:tblLook w:val="04A0" w:firstRow="1" w:lastRow="0" w:firstColumn="1" w:lastColumn="0" w:noHBand="0" w:noVBand="1"/>
      </w:tblPr>
      <w:tblGrid>
        <w:gridCol w:w="1919"/>
        <w:gridCol w:w="1843"/>
        <w:gridCol w:w="1843"/>
        <w:gridCol w:w="2447"/>
      </w:tblGrid>
      <w:tr w:rsidR="00D0348E" w:rsidRPr="00D0348E" w:rsidTr="004A1B8E">
        <w:trPr>
          <w:trHeight w:val="315"/>
        </w:trPr>
        <w:tc>
          <w:tcPr>
            <w:tcW w:w="1919" w:type="dxa"/>
            <w:tcBorders>
              <w:top w:val="single" w:sz="4" w:space="0" w:color="auto"/>
              <w:left w:val="single" w:sz="4" w:space="0" w:color="auto"/>
              <w:bottom w:val="nil"/>
              <w:right w:val="single" w:sz="4" w:space="0" w:color="auto"/>
            </w:tcBorders>
            <w:shd w:val="clear" w:color="000000" w:fill="92CDDC"/>
            <w:noWrap/>
            <w:hideMark/>
          </w:tcPr>
          <w:p w:rsidR="00D0348E" w:rsidRPr="00D0348E" w:rsidRDefault="00D0348E" w:rsidP="00D0348E">
            <w:pPr>
              <w:rPr>
                <w:rFonts w:ascii="Garamond" w:eastAsia="Times New Roman" w:hAnsi="Garamond" w:cs="Calibri"/>
                <w:b/>
                <w:bCs/>
                <w:color w:val="000000"/>
                <w:sz w:val="20"/>
                <w:szCs w:val="20"/>
                <w:lang w:val="en-US" w:bidi="hi-IN"/>
              </w:rPr>
            </w:pPr>
            <w:r w:rsidRPr="00D0348E">
              <w:rPr>
                <w:rFonts w:ascii="Garamond" w:eastAsia="Times New Roman" w:hAnsi="Garamond" w:cs="Calibri"/>
                <w:b/>
                <w:bCs/>
                <w:color w:val="000000"/>
                <w:sz w:val="20"/>
                <w:szCs w:val="20"/>
                <w:lang w:val="en-IN" w:bidi="hi-IN"/>
              </w:rPr>
              <w:t>Description</w:t>
            </w:r>
          </w:p>
        </w:tc>
        <w:tc>
          <w:tcPr>
            <w:tcW w:w="1843" w:type="dxa"/>
            <w:tcBorders>
              <w:top w:val="single" w:sz="4" w:space="0" w:color="auto"/>
              <w:left w:val="single" w:sz="4" w:space="0" w:color="auto"/>
              <w:bottom w:val="nil"/>
              <w:right w:val="single" w:sz="4" w:space="0" w:color="auto"/>
            </w:tcBorders>
            <w:shd w:val="clear" w:color="000000" w:fill="92CDDC"/>
            <w:noWrap/>
            <w:hideMark/>
          </w:tcPr>
          <w:p w:rsidR="00D0348E" w:rsidRPr="00D0348E" w:rsidRDefault="00D0348E" w:rsidP="00D0348E">
            <w:pPr>
              <w:jc w:val="center"/>
              <w:rPr>
                <w:rFonts w:ascii="Garamond" w:eastAsia="Times New Roman" w:hAnsi="Garamond" w:cs="Calibri"/>
                <w:b/>
                <w:bCs/>
                <w:color w:val="000000"/>
                <w:sz w:val="20"/>
                <w:szCs w:val="20"/>
                <w:lang w:val="en-US"/>
              </w:rPr>
            </w:pPr>
            <w:r w:rsidRPr="00D0348E">
              <w:rPr>
                <w:rFonts w:ascii="Garamond" w:eastAsia="Times New Roman" w:hAnsi="Garamond" w:cs="Calibri"/>
                <w:b/>
                <w:bCs/>
                <w:color w:val="000000"/>
                <w:sz w:val="20"/>
                <w:szCs w:val="20"/>
              </w:rPr>
              <w:t>Sep-21</w:t>
            </w:r>
          </w:p>
        </w:tc>
        <w:tc>
          <w:tcPr>
            <w:tcW w:w="1843" w:type="dxa"/>
            <w:tcBorders>
              <w:top w:val="single" w:sz="4" w:space="0" w:color="auto"/>
              <w:left w:val="single" w:sz="4" w:space="0" w:color="auto"/>
              <w:bottom w:val="single" w:sz="4" w:space="0" w:color="auto"/>
              <w:right w:val="single" w:sz="4" w:space="0" w:color="auto"/>
            </w:tcBorders>
            <w:shd w:val="clear" w:color="000000" w:fill="92CDDC"/>
            <w:noWrap/>
            <w:hideMark/>
          </w:tcPr>
          <w:p w:rsidR="00D0348E" w:rsidRPr="00D0348E" w:rsidRDefault="00D0348E" w:rsidP="00D0348E">
            <w:pPr>
              <w:jc w:val="center"/>
              <w:rPr>
                <w:rFonts w:ascii="Garamond" w:eastAsia="Times New Roman" w:hAnsi="Garamond" w:cs="Calibri"/>
                <w:b/>
                <w:bCs/>
                <w:color w:val="000000"/>
                <w:sz w:val="20"/>
                <w:szCs w:val="20"/>
                <w:lang w:val="en-US"/>
              </w:rPr>
            </w:pPr>
            <w:r w:rsidRPr="00D0348E">
              <w:rPr>
                <w:rFonts w:ascii="Garamond" w:eastAsia="Times New Roman" w:hAnsi="Garamond" w:cs="Calibri"/>
                <w:b/>
                <w:bCs/>
                <w:color w:val="000000"/>
                <w:sz w:val="20"/>
                <w:szCs w:val="20"/>
              </w:rPr>
              <w:t>Oct-21</w:t>
            </w:r>
          </w:p>
        </w:tc>
        <w:tc>
          <w:tcPr>
            <w:tcW w:w="2447" w:type="dxa"/>
            <w:tcBorders>
              <w:top w:val="single" w:sz="4" w:space="0" w:color="auto"/>
              <w:left w:val="single" w:sz="4" w:space="0" w:color="auto"/>
              <w:bottom w:val="single" w:sz="4" w:space="0" w:color="auto"/>
              <w:right w:val="single" w:sz="4" w:space="0" w:color="auto"/>
            </w:tcBorders>
            <w:shd w:val="clear" w:color="000000" w:fill="92CDDC"/>
            <w:noWrap/>
            <w:hideMark/>
          </w:tcPr>
          <w:p w:rsidR="00D0348E" w:rsidRPr="00D0348E" w:rsidRDefault="00D0348E" w:rsidP="00D0348E">
            <w:pPr>
              <w:jc w:val="center"/>
              <w:rPr>
                <w:rFonts w:ascii="Garamond" w:eastAsia="Times New Roman" w:hAnsi="Garamond" w:cs="Calibri"/>
                <w:b/>
                <w:bCs/>
                <w:color w:val="000000"/>
                <w:sz w:val="20"/>
                <w:szCs w:val="20"/>
                <w:lang w:val="en-US" w:bidi="hi-IN"/>
              </w:rPr>
            </w:pPr>
            <w:r w:rsidRPr="00D0348E">
              <w:rPr>
                <w:rFonts w:ascii="Garamond" w:eastAsia="Times New Roman" w:hAnsi="Garamond" w:cs="Calibri"/>
                <w:b/>
                <w:bCs/>
                <w:color w:val="000000"/>
                <w:sz w:val="20"/>
                <w:szCs w:val="20"/>
                <w:lang w:val="en-IN" w:bidi="hi-IN"/>
              </w:rPr>
              <w:t>M-o-M variation (%)</w:t>
            </w:r>
          </w:p>
        </w:tc>
      </w:tr>
      <w:tr w:rsidR="006A6CB3" w:rsidRPr="00D0348E" w:rsidTr="004A1B8E">
        <w:trPr>
          <w:trHeight w:val="426"/>
        </w:trPr>
        <w:tc>
          <w:tcPr>
            <w:tcW w:w="8052" w:type="dxa"/>
            <w:gridSpan w:val="4"/>
            <w:tcBorders>
              <w:top w:val="single" w:sz="8" w:space="0" w:color="auto"/>
              <w:left w:val="single" w:sz="4" w:space="0" w:color="auto"/>
              <w:bottom w:val="single" w:sz="8" w:space="0" w:color="000000"/>
              <w:right w:val="single" w:sz="4" w:space="0" w:color="auto"/>
            </w:tcBorders>
            <w:shd w:val="clear" w:color="000000" w:fill="C6E0B4"/>
            <w:noWrap/>
            <w:hideMark/>
          </w:tcPr>
          <w:p w:rsidR="006A6CB3" w:rsidRPr="00D0348E" w:rsidRDefault="006A6CB3" w:rsidP="006A6CB3">
            <w:pPr>
              <w:rPr>
                <w:rFonts w:ascii="Garamond" w:eastAsia="Times New Roman" w:hAnsi="Garamond" w:cs="Calibri"/>
                <w:b/>
                <w:bCs/>
                <w:color w:val="000000"/>
                <w:sz w:val="20"/>
                <w:szCs w:val="20"/>
                <w:lang w:val="en-US" w:bidi="hi-IN"/>
              </w:rPr>
            </w:pPr>
            <w:r w:rsidRPr="00D0348E">
              <w:rPr>
                <w:rFonts w:ascii="Garamond" w:eastAsia="Times New Roman" w:hAnsi="Garamond" w:cs="Calibri"/>
                <w:b/>
                <w:bCs/>
                <w:color w:val="000000"/>
                <w:sz w:val="20"/>
                <w:szCs w:val="20"/>
                <w:lang w:val="en-IN" w:bidi="hi-IN"/>
              </w:rPr>
              <w:t>Equity Market indices</w:t>
            </w:r>
          </w:p>
        </w:tc>
      </w:tr>
      <w:tr w:rsidR="00D0348E" w:rsidRPr="00D0348E" w:rsidTr="004A1B8E">
        <w:trPr>
          <w:trHeight w:val="315"/>
        </w:trPr>
        <w:tc>
          <w:tcPr>
            <w:tcW w:w="1919" w:type="dxa"/>
            <w:tcBorders>
              <w:top w:val="nil"/>
              <w:left w:val="single" w:sz="4" w:space="0" w:color="auto"/>
              <w:bottom w:val="nil"/>
              <w:right w:val="single" w:sz="4" w:space="0" w:color="auto"/>
            </w:tcBorders>
            <w:shd w:val="clear" w:color="auto" w:fill="auto"/>
            <w:noWrap/>
            <w:hideMark/>
          </w:tcPr>
          <w:p w:rsidR="00D0348E" w:rsidRPr="00D0348E" w:rsidRDefault="00D0348E" w:rsidP="00D0348E">
            <w:pPr>
              <w:rPr>
                <w:rFonts w:ascii="Garamond" w:eastAsia="Times New Roman" w:hAnsi="Garamond" w:cs="Calibri"/>
                <w:color w:val="000000"/>
                <w:sz w:val="20"/>
                <w:szCs w:val="20"/>
                <w:lang w:val="en-US" w:bidi="hi-IN"/>
              </w:rPr>
            </w:pPr>
            <w:r w:rsidRPr="00D0348E">
              <w:rPr>
                <w:rFonts w:ascii="Garamond" w:eastAsia="Times New Roman" w:hAnsi="Garamond" w:cs="Calibri"/>
                <w:color w:val="000000"/>
                <w:sz w:val="20"/>
                <w:szCs w:val="20"/>
                <w:lang w:val="en-IN" w:bidi="hi-IN"/>
              </w:rPr>
              <w:t>Nifty 50</w:t>
            </w:r>
          </w:p>
        </w:tc>
        <w:tc>
          <w:tcPr>
            <w:tcW w:w="1843" w:type="dxa"/>
            <w:tcBorders>
              <w:top w:val="nil"/>
              <w:left w:val="single" w:sz="4" w:space="0" w:color="auto"/>
              <w:bottom w:val="nil"/>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lang w:val="en-US"/>
              </w:rPr>
            </w:pPr>
            <w:r w:rsidRPr="00D0348E">
              <w:rPr>
                <w:rFonts w:ascii="Garamond" w:eastAsia="Times New Roman" w:hAnsi="Garamond" w:cs="Calibri"/>
                <w:color w:val="000000"/>
                <w:sz w:val="20"/>
                <w:szCs w:val="20"/>
              </w:rPr>
              <w:t>17,618</w:t>
            </w:r>
          </w:p>
        </w:tc>
        <w:tc>
          <w:tcPr>
            <w:tcW w:w="1843" w:type="dxa"/>
            <w:tcBorders>
              <w:top w:val="single" w:sz="4" w:space="0" w:color="auto"/>
              <w:left w:val="single" w:sz="4" w:space="0" w:color="auto"/>
              <w:bottom w:val="nil"/>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rPr>
            </w:pPr>
            <w:r w:rsidRPr="00D0348E">
              <w:rPr>
                <w:rFonts w:ascii="Garamond" w:eastAsia="Times New Roman" w:hAnsi="Garamond" w:cs="Calibri"/>
                <w:color w:val="000000"/>
                <w:sz w:val="20"/>
                <w:szCs w:val="20"/>
              </w:rPr>
              <w:t xml:space="preserve"> 17,672 </w:t>
            </w:r>
          </w:p>
        </w:tc>
        <w:tc>
          <w:tcPr>
            <w:tcW w:w="2447" w:type="dxa"/>
            <w:tcBorders>
              <w:top w:val="single" w:sz="4" w:space="0" w:color="auto"/>
              <w:left w:val="single" w:sz="4" w:space="0" w:color="auto"/>
              <w:bottom w:val="nil"/>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rPr>
            </w:pPr>
            <w:r w:rsidRPr="00D0348E">
              <w:rPr>
                <w:rFonts w:ascii="Garamond" w:eastAsia="Times New Roman" w:hAnsi="Garamond" w:cs="Calibri"/>
                <w:color w:val="000000"/>
                <w:sz w:val="20"/>
                <w:szCs w:val="20"/>
              </w:rPr>
              <w:t>0.3</w:t>
            </w:r>
          </w:p>
        </w:tc>
      </w:tr>
      <w:tr w:rsidR="00D0348E" w:rsidRPr="00D0348E" w:rsidTr="004A1B8E">
        <w:trPr>
          <w:trHeight w:val="330"/>
        </w:trPr>
        <w:tc>
          <w:tcPr>
            <w:tcW w:w="1919" w:type="dxa"/>
            <w:tcBorders>
              <w:top w:val="nil"/>
              <w:left w:val="single" w:sz="4" w:space="0" w:color="auto"/>
              <w:bottom w:val="nil"/>
              <w:right w:val="single" w:sz="4" w:space="0" w:color="auto"/>
            </w:tcBorders>
            <w:shd w:val="clear" w:color="auto" w:fill="auto"/>
            <w:noWrap/>
            <w:hideMark/>
          </w:tcPr>
          <w:p w:rsidR="00D0348E" w:rsidRPr="00D0348E" w:rsidRDefault="00D0348E" w:rsidP="00D0348E">
            <w:pPr>
              <w:rPr>
                <w:rFonts w:ascii="Garamond" w:eastAsia="Times New Roman" w:hAnsi="Garamond" w:cs="Calibri"/>
                <w:color w:val="000000"/>
                <w:sz w:val="20"/>
                <w:szCs w:val="20"/>
                <w:lang w:val="en-US" w:bidi="hi-IN"/>
              </w:rPr>
            </w:pPr>
            <w:r w:rsidRPr="00D0348E">
              <w:rPr>
                <w:rFonts w:ascii="Garamond" w:eastAsia="Times New Roman" w:hAnsi="Garamond" w:cs="Calibri"/>
                <w:color w:val="000000"/>
                <w:sz w:val="20"/>
                <w:szCs w:val="20"/>
                <w:lang w:val="en-IN" w:bidi="hi-IN"/>
              </w:rPr>
              <w:t>Sensex</w:t>
            </w:r>
          </w:p>
        </w:tc>
        <w:tc>
          <w:tcPr>
            <w:tcW w:w="1843" w:type="dxa"/>
            <w:tcBorders>
              <w:top w:val="nil"/>
              <w:left w:val="single" w:sz="4" w:space="0" w:color="auto"/>
              <w:bottom w:val="nil"/>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lang w:val="en-US"/>
              </w:rPr>
            </w:pPr>
            <w:r w:rsidRPr="00D0348E">
              <w:rPr>
                <w:rFonts w:ascii="Garamond" w:eastAsia="Times New Roman" w:hAnsi="Garamond" w:cs="Calibri"/>
                <w:color w:val="000000"/>
                <w:sz w:val="20"/>
                <w:szCs w:val="20"/>
              </w:rPr>
              <w:t>59,126</w:t>
            </w:r>
          </w:p>
        </w:tc>
        <w:tc>
          <w:tcPr>
            <w:tcW w:w="1843" w:type="dxa"/>
            <w:tcBorders>
              <w:top w:val="nil"/>
              <w:left w:val="single" w:sz="4" w:space="0" w:color="auto"/>
              <w:bottom w:val="nil"/>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rPr>
            </w:pPr>
            <w:r w:rsidRPr="00D0348E">
              <w:rPr>
                <w:rFonts w:ascii="Garamond" w:eastAsia="Times New Roman" w:hAnsi="Garamond" w:cs="Calibri"/>
                <w:color w:val="000000"/>
                <w:sz w:val="20"/>
                <w:szCs w:val="20"/>
              </w:rPr>
              <w:t xml:space="preserve"> 59,307 </w:t>
            </w:r>
          </w:p>
        </w:tc>
        <w:tc>
          <w:tcPr>
            <w:tcW w:w="2447" w:type="dxa"/>
            <w:tcBorders>
              <w:top w:val="nil"/>
              <w:left w:val="single" w:sz="4" w:space="0" w:color="auto"/>
              <w:bottom w:val="nil"/>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rPr>
            </w:pPr>
            <w:r w:rsidRPr="00D0348E">
              <w:rPr>
                <w:rFonts w:ascii="Garamond" w:eastAsia="Times New Roman" w:hAnsi="Garamond" w:cs="Calibri"/>
                <w:color w:val="000000"/>
                <w:sz w:val="20"/>
                <w:szCs w:val="20"/>
              </w:rPr>
              <w:t>0.3</w:t>
            </w:r>
          </w:p>
        </w:tc>
      </w:tr>
      <w:tr w:rsidR="00D0348E" w:rsidRPr="00D0348E" w:rsidTr="004A1B8E">
        <w:trPr>
          <w:trHeight w:val="330"/>
        </w:trPr>
        <w:tc>
          <w:tcPr>
            <w:tcW w:w="1919" w:type="dxa"/>
            <w:tcBorders>
              <w:top w:val="nil"/>
              <w:left w:val="single" w:sz="4" w:space="0" w:color="auto"/>
              <w:bottom w:val="nil"/>
              <w:right w:val="single" w:sz="4" w:space="0" w:color="auto"/>
            </w:tcBorders>
            <w:shd w:val="clear" w:color="auto" w:fill="auto"/>
            <w:noWrap/>
            <w:hideMark/>
          </w:tcPr>
          <w:p w:rsidR="00D0348E" w:rsidRPr="00D0348E" w:rsidRDefault="00D0348E" w:rsidP="00D0348E">
            <w:pPr>
              <w:rPr>
                <w:rFonts w:ascii="Garamond" w:eastAsia="Times New Roman" w:hAnsi="Garamond" w:cs="Calibri"/>
                <w:color w:val="000000"/>
                <w:sz w:val="20"/>
                <w:szCs w:val="20"/>
                <w:lang w:val="en-US" w:bidi="hi-IN"/>
              </w:rPr>
            </w:pPr>
            <w:r w:rsidRPr="00D0348E">
              <w:rPr>
                <w:rFonts w:ascii="Garamond" w:eastAsia="Times New Roman" w:hAnsi="Garamond" w:cs="Calibri"/>
                <w:color w:val="000000"/>
                <w:sz w:val="20"/>
                <w:szCs w:val="20"/>
                <w:lang w:val="en-IN" w:bidi="hi-IN"/>
              </w:rPr>
              <w:t>Nifty Midcap 50</w:t>
            </w:r>
          </w:p>
        </w:tc>
        <w:tc>
          <w:tcPr>
            <w:tcW w:w="1843" w:type="dxa"/>
            <w:tcBorders>
              <w:top w:val="nil"/>
              <w:left w:val="single" w:sz="4" w:space="0" w:color="auto"/>
              <w:bottom w:val="nil"/>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lang w:val="en-US"/>
              </w:rPr>
            </w:pPr>
            <w:r w:rsidRPr="00D0348E">
              <w:rPr>
                <w:rFonts w:ascii="Garamond" w:eastAsia="Times New Roman" w:hAnsi="Garamond" w:cs="Calibri"/>
                <w:color w:val="000000"/>
                <w:sz w:val="20"/>
                <w:szCs w:val="20"/>
              </w:rPr>
              <w:t>8,279</w:t>
            </w:r>
          </w:p>
        </w:tc>
        <w:tc>
          <w:tcPr>
            <w:tcW w:w="1843" w:type="dxa"/>
            <w:tcBorders>
              <w:top w:val="nil"/>
              <w:left w:val="single" w:sz="4" w:space="0" w:color="auto"/>
              <w:bottom w:val="nil"/>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rPr>
            </w:pPr>
            <w:r w:rsidRPr="00D0348E">
              <w:rPr>
                <w:rFonts w:ascii="Garamond" w:eastAsia="Times New Roman" w:hAnsi="Garamond" w:cs="Calibri"/>
                <w:color w:val="000000"/>
                <w:sz w:val="20"/>
                <w:szCs w:val="20"/>
              </w:rPr>
              <w:t xml:space="preserve"> 8,514 </w:t>
            </w:r>
          </w:p>
        </w:tc>
        <w:tc>
          <w:tcPr>
            <w:tcW w:w="2447" w:type="dxa"/>
            <w:tcBorders>
              <w:top w:val="nil"/>
              <w:left w:val="single" w:sz="4" w:space="0" w:color="auto"/>
              <w:bottom w:val="nil"/>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rPr>
            </w:pPr>
            <w:r w:rsidRPr="00D0348E">
              <w:rPr>
                <w:rFonts w:ascii="Garamond" w:eastAsia="Times New Roman" w:hAnsi="Garamond" w:cs="Calibri"/>
                <w:color w:val="000000"/>
                <w:sz w:val="20"/>
                <w:szCs w:val="20"/>
              </w:rPr>
              <w:t>2.8</w:t>
            </w:r>
          </w:p>
        </w:tc>
      </w:tr>
      <w:tr w:rsidR="00D0348E" w:rsidRPr="00D0348E" w:rsidTr="004A1B8E">
        <w:trPr>
          <w:trHeight w:val="330"/>
        </w:trPr>
        <w:tc>
          <w:tcPr>
            <w:tcW w:w="1919" w:type="dxa"/>
            <w:tcBorders>
              <w:top w:val="nil"/>
              <w:left w:val="single" w:sz="4" w:space="0" w:color="auto"/>
              <w:bottom w:val="nil"/>
              <w:right w:val="single" w:sz="4" w:space="0" w:color="auto"/>
            </w:tcBorders>
            <w:shd w:val="clear" w:color="auto" w:fill="auto"/>
            <w:noWrap/>
            <w:hideMark/>
          </w:tcPr>
          <w:p w:rsidR="00D0348E" w:rsidRPr="00D0348E" w:rsidRDefault="00D0348E" w:rsidP="00D0348E">
            <w:pPr>
              <w:rPr>
                <w:rFonts w:ascii="Garamond" w:eastAsia="Times New Roman" w:hAnsi="Garamond" w:cs="Calibri"/>
                <w:color w:val="000000"/>
                <w:sz w:val="20"/>
                <w:szCs w:val="20"/>
                <w:lang w:val="en-US" w:bidi="hi-IN"/>
              </w:rPr>
            </w:pPr>
            <w:r w:rsidRPr="00D0348E">
              <w:rPr>
                <w:rFonts w:ascii="Garamond" w:eastAsia="Times New Roman" w:hAnsi="Garamond" w:cs="Calibri"/>
                <w:color w:val="000000"/>
                <w:sz w:val="20"/>
                <w:szCs w:val="20"/>
                <w:lang w:val="en-IN" w:bidi="hi-IN"/>
              </w:rPr>
              <w:t>Nifty Smallcap 100</w:t>
            </w:r>
          </w:p>
        </w:tc>
        <w:tc>
          <w:tcPr>
            <w:tcW w:w="1843" w:type="dxa"/>
            <w:tcBorders>
              <w:top w:val="nil"/>
              <w:left w:val="single" w:sz="4" w:space="0" w:color="auto"/>
              <w:bottom w:val="nil"/>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lang w:val="en-US"/>
              </w:rPr>
            </w:pPr>
            <w:r w:rsidRPr="00D0348E">
              <w:rPr>
                <w:rFonts w:ascii="Garamond" w:eastAsia="Times New Roman" w:hAnsi="Garamond" w:cs="Calibri"/>
                <w:color w:val="000000"/>
                <w:sz w:val="20"/>
                <w:szCs w:val="20"/>
              </w:rPr>
              <w:t>10,890</w:t>
            </w:r>
          </w:p>
        </w:tc>
        <w:tc>
          <w:tcPr>
            <w:tcW w:w="1843" w:type="dxa"/>
            <w:tcBorders>
              <w:top w:val="nil"/>
              <w:left w:val="single" w:sz="4" w:space="0" w:color="auto"/>
              <w:bottom w:val="nil"/>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rPr>
            </w:pPr>
            <w:r w:rsidRPr="00D0348E">
              <w:rPr>
                <w:rFonts w:ascii="Garamond" w:eastAsia="Times New Roman" w:hAnsi="Garamond" w:cs="Calibri"/>
                <w:color w:val="000000"/>
                <w:sz w:val="20"/>
                <w:szCs w:val="20"/>
              </w:rPr>
              <w:t xml:space="preserve"> 10,767 </w:t>
            </w:r>
          </w:p>
        </w:tc>
        <w:tc>
          <w:tcPr>
            <w:tcW w:w="2447" w:type="dxa"/>
            <w:tcBorders>
              <w:top w:val="nil"/>
              <w:left w:val="single" w:sz="4" w:space="0" w:color="auto"/>
              <w:bottom w:val="nil"/>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rPr>
            </w:pPr>
            <w:r w:rsidRPr="00D0348E">
              <w:rPr>
                <w:rFonts w:ascii="Garamond" w:eastAsia="Times New Roman" w:hAnsi="Garamond" w:cs="Calibri"/>
                <w:color w:val="000000"/>
                <w:sz w:val="20"/>
                <w:szCs w:val="20"/>
              </w:rPr>
              <w:t>-1.1</w:t>
            </w:r>
          </w:p>
        </w:tc>
      </w:tr>
      <w:tr w:rsidR="00D0348E" w:rsidRPr="00D0348E" w:rsidTr="004A1B8E">
        <w:trPr>
          <w:trHeight w:val="330"/>
        </w:trPr>
        <w:tc>
          <w:tcPr>
            <w:tcW w:w="1919" w:type="dxa"/>
            <w:tcBorders>
              <w:top w:val="nil"/>
              <w:left w:val="single" w:sz="4" w:space="0" w:color="auto"/>
              <w:bottom w:val="nil"/>
              <w:right w:val="single" w:sz="4" w:space="0" w:color="auto"/>
            </w:tcBorders>
            <w:shd w:val="clear" w:color="auto" w:fill="auto"/>
            <w:noWrap/>
            <w:hideMark/>
          </w:tcPr>
          <w:p w:rsidR="00D0348E" w:rsidRPr="00D0348E" w:rsidRDefault="00D0348E" w:rsidP="00D0348E">
            <w:pPr>
              <w:rPr>
                <w:rFonts w:ascii="Garamond" w:eastAsia="Times New Roman" w:hAnsi="Garamond" w:cs="Calibri"/>
                <w:color w:val="000000"/>
                <w:sz w:val="20"/>
                <w:szCs w:val="20"/>
                <w:lang w:val="en-US" w:bidi="hi-IN"/>
              </w:rPr>
            </w:pPr>
            <w:r w:rsidRPr="00D0348E">
              <w:rPr>
                <w:rFonts w:ascii="Garamond" w:eastAsia="Times New Roman" w:hAnsi="Garamond" w:cs="Calibri"/>
                <w:color w:val="000000"/>
                <w:sz w:val="20"/>
                <w:szCs w:val="20"/>
                <w:lang w:val="en-IN" w:bidi="hi-IN"/>
              </w:rPr>
              <w:t>BSE Midcap</w:t>
            </w:r>
          </w:p>
        </w:tc>
        <w:tc>
          <w:tcPr>
            <w:tcW w:w="1843" w:type="dxa"/>
            <w:tcBorders>
              <w:top w:val="nil"/>
              <w:left w:val="single" w:sz="4" w:space="0" w:color="auto"/>
              <w:bottom w:val="nil"/>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lang w:val="en-US"/>
              </w:rPr>
            </w:pPr>
            <w:r w:rsidRPr="00D0348E">
              <w:rPr>
                <w:rFonts w:ascii="Garamond" w:eastAsia="Times New Roman" w:hAnsi="Garamond" w:cs="Calibri"/>
                <w:color w:val="000000"/>
                <w:sz w:val="20"/>
                <w:szCs w:val="20"/>
              </w:rPr>
              <w:t>25,253</w:t>
            </w:r>
          </w:p>
        </w:tc>
        <w:tc>
          <w:tcPr>
            <w:tcW w:w="1843" w:type="dxa"/>
            <w:tcBorders>
              <w:top w:val="nil"/>
              <w:left w:val="single" w:sz="4" w:space="0" w:color="auto"/>
              <w:bottom w:val="nil"/>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rPr>
            </w:pPr>
            <w:r w:rsidRPr="00D0348E">
              <w:rPr>
                <w:rFonts w:ascii="Garamond" w:eastAsia="Times New Roman" w:hAnsi="Garamond" w:cs="Calibri"/>
                <w:color w:val="000000"/>
                <w:sz w:val="20"/>
                <w:szCs w:val="20"/>
              </w:rPr>
              <w:t xml:space="preserve"> 25,278 </w:t>
            </w:r>
          </w:p>
        </w:tc>
        <w:tc>
          <w:tcPr>
            <w:tcW w:w="2447" w:type="dxa"/>
            <w:tcBorders>
              <w:top w:val="nil"/>
              <w:left w:val="single" w:sz="4" w:space="0" w:color="auto"/>
              <w:bottom w:val="nil"/>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rPr>
            </w:pPr>
            <w:r w:rsidRPr="00D0348E">
              <w:rPr>
                <w:rFonts w:ascii="Garamond" w:eastAsia="Times New Roman" w:hAnsi="Garamond" w:cs="Calibri"/>
                <w:color w:val="000000"/>
                <w:sz w:val="20"/>
                <w:szCs w:val="20"/>
              </w:rPr>
              <w:t>0.1</w:t>
            </w:r>
          </w:p>
        </w:tc>
      </w:tr>
      <w:tr w:rsidR="00D0348E" w:rsidRPr="00D0348E" w:rsidTr="004A1B8E">
        <w:trPr>
          <w:trHeight w:val="330"/>
        </w:trPr>
        <w:tc>
          <w:tcPr>
            <w:tcW w:w="1919" w:type="dxa"/>
            <w:tcBorders>
              <w:top w:val="nil"/>
              <w:left w:val="single" w:sz="4" w:space="0" w:color="auto"/>
              <w:bottom w:val="single" w:sz="4" w:space="0" w:color="auto"/>
              <w:right w:val="single" w:sz="4" w:space="0" w:color="auto"/>
            </w:tcBorders>
            <w:shd w:val="clear" w:color="auto" w:fill="auto"/>
            <w:noWrap/>
            <w:hideMark/>
          </w:tcPr>
          <w:p w:rsidR="00D0348E" w:rsidRPr="00D0348E" w:rsidRDefault="00D0348E" w:rsidP="00D0348E">
            <w:pPr>
              <w:rPr>
                <w:rFonts w:ascii="Garamond" w:eastAsia="Times New Roman" w:hAnsi="Garamond" w:cs="Calibri"/>
                <w:color w:val="000000"/>
                <w:sz w:val="20"/>
                <w:szCs w:val="20"/>
                <w:lang w:val="en-US" w:bidi="hi-IN"/>
              </w:rPr>
            </w:pPr>
            <w:r w:rsidRPr="00D0348E">
              <w:rPr>
                <w:rFonts w:ascii="Garamond" w:eastAsia="Times New Roman" w:hAnsi="Garamond" w:cs="Calibri"/>
                <w:color w:val="000000"/>
                <w:sz w:val="20"/>
                <w:szCs w:val="20"/>
                <w:lang w:val="en-IN" w:bidi="hi-IN"/>
              </w:rPr>
              <w:t>BSE Smallcap</w:t>
            </w:r>
          </w:p>
        </w:tc>
        <w:tc>
          <w:tcPr>
            <w:tcW w:w="1843" w:type="dxa"/>
            <w:tcBorders>
              <w:top w:val="nil"/>
              <w:left w:val="single" w:sz="4" w:space="0" w:color="auto"/>
              <w:bottom w:val="single" w:sz="4" w:space="0" w:color="auto"/>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lang w:val="en-US"/>
              </w:rPr>
            </w:pPr>
            <w:r w:rsidRPr="00D0348E">
              <w:rPr>
                <w:rFonts w:ascii="Garamond" w:eastAsia="Times New Roman" w:hAnsi="Garamond" w:cs="Calibri"/>
                <w:color w:val="000000"/>
                <w:sz w:val="20"/>
                <w:szCs w:val="20"/>
              </w:rPr>
              <w:t>28,082</w:t>
            </w:r>
          </w:p>
        </w:tc>
        <w:tc>
          <w:tcPr>
            <w:tcW w:w="1843" w:type="dxa"/>
            <w:tcBorders>
              <w:top w:val="nil"/>
              <w:left w:val="single" w:sz="4" w:space="0" w:color="auto"/>
              <w:bottom w:val="single" w:sz="4" w:space="0" w:color="auto"/>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rPr>
            </w:pPr>
            <w:r w:rsidRPr="00D0348E">
              <w:rPr>
                <w:rFonts w:ascii="Garamond" w:eastAsia="Times New Roman" w:hAnsi="Garamond" w:cs="Calibri"/>
                <w:color w:val="000000"/>
                <w:sz w:val="20"/>
                <w:szCs w:val="20"/>
              </w:rPr>
              <w:t xml:space="preserve"> 27,983 </w:t>
            </w:r>
          </w:p>
        </w:tc>
        <w:tc>
          <w:tcPr>
            <w:tcW w:w="2447" w:type="dxa"/>
            <w:tcBorders>
              <w:top w:val="nil"/>
              <w:left w:val="single" w:sz="4" w:space="0" w:color="auto"/>
              <w:bottom w:val="single" w:sz="4" w:space="0" w:color="auto"/>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rPr>
            </w:pPr>
            <w:r w:rsidRPr="00D0348E">
              <w:rPr>
                <w:rFonts w:ascii="Garamond" w:eastAsia="Times New Roman" w:hAnsi="Garamond" w:cs="Calibri"/>
                <w:color w:val="000000"/>
                <w:sz w:val="20"/>
                <w:szCs w:val="20"/>
              </w:rPr>
              <w:t>-0.4</w:t>
            </w:r>
          </w:p>
        </w:tc>
      </w:tr>
      <w:tr w:rsidR="006A6CB3" w:rsidRPr="00D0348E" w:rsidTr="004A1B8E">
        <w:trPr>
          <w:trHeight w:val="330"/>
        </w:trPr>
        <w:tc>
          <w:tcPr>
            <w:tcW w:w="5605" w:type="dxa"/>
            <w:gridSpan w:val="3"/>
            <w:tcBorders>
              <w:top w:val="single" w:sz="4" w:space="0" w:color="auto"/>
              <w:left w:val="single" w:sz="4" w:space="0" w:color="auto"/>
              <w:bottom w:val="single" w:sz="4" w:space="0" w:color="auto"/>
              <w:right w:val="single" w:sz="4" w:space="0" w:color="auto"/>
            </w:tcBorders>
            <w:shd w:val="clear" w:color="000000" w:fill="C6E0B4"/>
            <w:noWrap/>
            <w:hideMark/>
          </w:tcPr>
          <w:p w:rsidR="006A6CB3" w:rsidRPr="00D0348E" w:rsidRDefault="006A6CB3" w:rsidP="006A6CB3">
            <w:pPr>
              <w:rPr>
                <w:rFonts w:ascii="Garamond" w:eastAsia="Times New Roman" w:hAnsi="Garamond" w:cs="Calibri"/>
                <w:b/>
                <w:bCs/>
                <w:color w:val="000000"/>
                <w:sz w:val="20"/>
                <w:szCs w:val="20"/>
                <w:lang w:val="en-US" w:bidi="hi-IN"/>
              </w:rPr>
            </w:pPr>
            <w:r w:rsidRPr="00D0348E">
              <w:rPr>
                <w:rFonts w:ascii="Garamond" w:eastAsia="Times New Roman" w:hAnsi="Garamond" w:cs="Calibri"/>
                <w:b/>
                <w:bCs/>
                <w:color w:val="000000"/>
                <w:sz w:val="20"/>
                <w:szCs w:val="20"/>
                <w:lang w:val="en-IN" w:bidi="hi-IN"/>
              </w:rPr>
              <w:t>Market Capitalisation (</w:t>
            </w:r>
            <w:r w:rsidRPr="00D0348E">
              <w:rPr>
                <w:rFonts w:ascii="Times New Roman" w:eastAsia="Times New Roman" w:hAnsi="Times New Roman"/>
                <w:b/>
                <w:bCs/>
                <w:color w:val="000000"/>
                <w:sz w:val="20"/>
                <w:szCs w:val="20"/>
                <w:lang w:val="en-IN" w:bidi="hi-IN"/>
              </w:rPr>
              <w:t>₹</w:t>
            </w:r>
            <w:r w:rsidRPr="00D0348E">
              <w:rPr>
                <w:rFonts w:ascii="Garamond" w:eastAsia="Times New Roman" w:hAnsi="Garamond" w:cs="Calibri"/>
                <w:b/>
                <w:bCs/>
                <w:color w:val="000000"/>
                <w:sz w:val="20"/>
                <w:szCs w:val="20"/>
                <w:lang w:val="en-IN" w:bidi="hi-IN"/>
              </w:rPr>
              <w:t xml:space="preserve"> crore)</w:t>
            </w:r>
          </w:p>
        </w:tc>
        <w:tc>
          <w:tcPr>
            <w:tcW w:w="2447" w:type="dxa"/>
            <w:tcBorders>
              <w:top w:val="single" w:sz="4" w:space="0" w:color="auto"/>
              <w:left w:val="single" w:sz="4" w:space="0" w:color="auto"/>
              <w:bottom w:val="single" w:sz="4" w:space="0" w:color="auto"/>
              <w:right w:val="single" w:sz="4" w:space="0" w:color="auto"/>
            </w:tcBorders>
            <w:shd w:val="clear" w:color="000000" w:fill="C6E0B4"/>
            <w:noWrap/>
            <w:hideMark/>
          </w:tcPr>
          <w:p w:rsidR="006A6CB3" w:rsidRPr="00D0348E" w:rsidRDefault="006A6CB3" w:rsidP="006A6CB3">
            <w:pPr>
              <w:rPr>
                <w:rFonts w:ascii="Garamond" w:eastAsia="Times New Roman" w:hAnsi="Garamond" w:cs="Calibri"/>
                <w:b/>
                <w:bCs/>
                <w:color w:val="000000"/>
                <w:sz w:val="20"/>
                <w:szCs w:val="20"/>
                <w:lang w:val="en-US" w:bidi="hi-IN"/>
              </w:rPr>
            </w:pPr>
            <w:r w:rsidRPr="00D0348E">
              <w:rPr>
                <w:rFonts w:ascii="Garamond" w:eastAsia="Times New Roman" w:hAnsi="Garamond" w:cs="Calibri"/>
                <w:b/>
                <w:bCs/>
                <w:color w:val="000000"/>
                <w:sz w:val="20"/>
                <w:szCs w:val="20"/>
                <w:lang w:val="en-IN" w:bidi="hi-IN"/>
              </w:rPr>
              <w:t> </w:t>
            </w:r>
          </w:p>
        </w:tc>
      </w:tr>
      <w:tr w:rsidR="00D0348E" w:rsidRPr="00D0348E" w:rsidTr="004A1B8E">
        <w:trPr>
          <w:trHeight w:val="330"/>
        </w:trPr>
        <w:tc>
          <w:tcPr>
            <w:tcW w:w="1919" w:type="dxa"/>
            <w:tcBorders>
              <w:top w:val="single" w:sz="4" w:space="0" w:color="auto"/>
              <w:left w:val="single" w:sz="4" w:space="0" w:color="auto"/>
              <w:bottom w:val="nil"/>
              <w:right w:val="single" w:sz="4" w:space="0" w:color="auto"/>
            </w:tcBorders>
            <w:shd w:val="clear" w:color="auto" w:fill="auto"/>
            <w:noWrap/>
            <w:hideMark/>
          </w:tcPr>
          <w:p w:rsidR="00D0348E" w:rsidRPr="00D0348E" w:rsidRDefault="00D0348E" w:rsidP="00D0348E">
            <w:pPr>
              <w:rPr>
                <w:rFonts w:ascii="Garamond" w:eastAsia="Times New Roman" w:hAnsi="Garamond" w:cs="Calibri"/>
                <w:color w:val="000000"/>
                <w:sz w:val="20"/>
                <w:szCs w:val="20"/>
                <w:lang w:val="en-US" w:bidi="hi-IN"/>
              </w:rPr>
            </w:pPr>
            <w:r w:rsidRPr="00D0348E">
              <w:rPr>
                <w:rFonts w:ascii="Garamond" w:eastAsia="Times New Roman" w:hAnsi="Garamond" w:cs="Calibri"/>
                <w:color w:val="000000"/>
                <w:sz w:val="20"/>
                <w:szCs w:val="20"/>
                <w:lang w:val="en-IN" w:bidi="hi-IN"/>
              </w:rPr>
              <w:t xml:space="preserve">BSE </w:t>
            </w:r>
          </w:p>
        </w:tc>
        <w:tc>
          <w:tcPr>
            <w:tcW w:w="1843" w:type="dxa"/>
            <w:tcBorders>
              <w:top w:val="single" w:sz="4" w:space="0" w:color="auto"/>
              <w:left w:val="single" w:sz="4" w:space="0" w:color="auto"/>
              <w:bottom w:val="nil"/>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lang w:val="en-US"/>
              </w:rPr>
            </w:pPr>
            <w:r w:rsidRPr="00D0348E">
              <w:rPr>
                <w:rFonts w:ascii="Garamond" w:eastAsia="Times New Roman" w:hAnsi="Garamond" w:cs="Calibri"/>
                <w:color w:val="000000"/>
                <w:sz w:val="20"/>
                <w:szCs w:val="20"/>
              </w:rPr>
              <w:t>2,59,86,747</w:t>
            </w:r>
          </w:p>
        </w:tc>
        <w:tc>
          <w:tcPr>
            <w:tcW w:w="1843" w:type="dxa"/>
            <w:tcBorders>
              <w:top w:val="single" w:sz="4" w:space="0" w:color="auto"/>
              <w:left w:val="single" w:sz="4" w:space="0" w:color="auto"/>
              <w:bottom w:val="nil"/>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rPr>
            </w:pPr>
            <w:r w:rsidRPr="00D0348E">
              <w:rPr>
                <w:rFonts w:ascii="Garamond" w:eastAsia="Times New Roman" w:hAnsi="Garamond" w:cs="Calibri"/>
                <w:color w:val="000000"/>
                <w:sz w:val="20"/>
                <w:szCs w:val="20"/>
              </w:rPr>
              <w:t xml:space="preserve"> 2,59,20,458 </w:t>
            </w:r>
          </w:p>
        </w:tc>
        <w:tc>
          <w:tcPr>
            <w:tcW w:w="2447" w:type="dxa"/>
            <w:tcBorders>
              <w:top w:val="single" w:sz="4" w:space="0" w:color="auto"/>
              <w:left w:val="single" w:sz="4" w:space="0" w:color="auto"/>
              <w:bottom w:val="nil"/>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rPr>
            </w:pPr>
            <w:r w:rsidRPr="00D0348E">
              <w:rPr>
                <w:rFonts w:ascii="Garamond" w:eastAsia="Times New Roman" w:hAnsi="Garamond" w:cs="Calibri"/>
                <w:color w:val="000000"/>
                <w:sz w:val="20"/>
                <w:szCs w:val="20"/>
              </w:rPr>
              <w:t>-0.3</w:t>
            </w:r>
          </w:p>
        </w:tc>
      </w:tr>
      <w:tr w:rsidR="00D0348E" w:rsidRPr="00D0348E" w:rsidTr="004A1B8E">
        <w:trPr>
          <w:trHeight w:val="330"/>
        </w:trPr>
        <w:tc>
          <w:tcPr>
            <w:tcW w:w="1919" w:type="dxa"/>
            <w:tcBorders>
              <w:top w:val="nil"/>
              <w:left w:val="single" w:sz="4" w:space="0" w:color="auto"/>
              <w:bottom w:val="single" w:sz="4" w:space="0" w:color="auto"/>
              <w:right w:val="single" w:sz="4" w:space="0" w:color="auto"/>
            </w:tcBorders>
            <w:shd w:val="clear" w:color="auto" w:fill="auto"/>
            <w:noWrap/>
            <w:hideMark/>
          </w:tcPr>
          <w:p w:rsidR="00D0348E" w:rsidRPr="00D0348E" w:rsidRDefault="00D0348E" w:rsidP="00D0348E">
            <w:pPr>
              <w:rPr>
                <w:rFonts w:ascii="Garamond" w:eastAsia="Times New Roman" w:hAnsi="Garamond" w:cs="Calibri"/>
                <w:color w:val="000000"/>
                <w:sz w:val="20"/>
                <w:szCs w:val="20"/>
                <w:lang w:val="en-US" w:bidi="hi-IN"/>
              </w:rPr>
            </w:pPr>
            <w:r w:rsidRPr="00D0348E">
              <w:rPr>
                <w:rFonts w:ascii="Garamond" w:eastAsia="Times New Roman" w:hAnsi="Garamond" w:cs="Calibri"/>
                <w:color w:val="000000"/>
                <w:sz w:val="20"/>
                <w:szCs w:val="20"/>
                <w:lang w:val="en-IN" w:bidi="hi-IN"/>
              </w:rPr>
              <w:t>NSE</w:t>
            </w:r>
          </w:p>
        </w:tc>
        <w:tc>
          <w:tcPr>
            <w:tcW w:w="1843" w:type="dxa"/>
            <w:tcBorders>
              <w:top w:val="nil"/>
              <w:left w:val="single" w:sz="4" w:space="0" w:color="auto"/>
              <w:bottom w:val="single" w:sz="4" w:space="0" w:color="auto"/>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lang w:val="en-US"/>
              </w:rPr>
            </w:pPr>
            <w:r w:rsidRPr="00D0348E">
              <w:rPr>
                <w:rFonts w:ascii="Garamond" w:eastAsia="Times New Roman" w:hAnsi="Garamond" w:cs="Calibri"/>
                <w:color w:val="000000"/>
                <w:sz w:val="20"/>
                <w:szCs w:val="20"/>
              </w:rPr>
              <w:t>2,58,06,565</w:t>
            </w:r>
          </w:p>
        </w:tc>
        <w:tc>
          <w:tcPr>
            <w:tcW w:w="1843" w:type="dxa"/>
            <w:tcBorders>
              <w:top w:val="nil"/>
              <w:left w:val="single" w:sz="4" w:space="0" w:color="auto"/>
              <w:bottom w:val="single" w:sz="4" w:space="0" w:color="auto"/>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rPr>
            </w:pPr>
            <w:r w:rsidRPr="00D0348E">
              <w:rPr>
                <w:rFonts w:ascii="Garamond" w:eastAsia="Times New Roman" w:hAnsi="Garamond" w:cs="Calibri"/>
                <w:color w:val="000000"/>
                <w:sz w:val="20"/>
                <w:szCs w:val="20"/>
              </w:rPr>
              <w:t xml:space="preserve"> 2,57,37,783 </w:t>
            </w:r>
          </w:p>
        </w:tc>
        <w:tc>
          <w:tcPr>
            <w:tcW w:w="2447" w:type="dxa"/>
            <w:tcBorders>
              <w:top w:val="nil"/>
              <w:left w:val="single" w:sz="4" w:space="0" w:color="auto"/>
              <w:bottom w:val="single" w:sz="4" w:space="0" w:color="auto"/>
              <w:right w:val="single" w:sz="4" w:space="0" w:color="auto"/>
            </w:tcBorders>
            <w:shd w:val="clear" w:color="000000" w:fill="FFFFFF"/>
            <w:noWrap/>
            <w:hideMark/>
          </w:tcPr>
          <w:p w:rsidR="00D0348E" w:rsidRPr="00D0348E" w:rsidRDefault="00D0348E" w:rsidP="00D0348E">
            <w:pPr>
              <w:jc w:val="right"/>
              <w:rPr>
                <w:rFonts w:ascii="Garamond" w:eastAsia="Times New Roman" w:hAnsi="Garamond" w:cs="Calibri"/>
                <w:color w:val="000000"/>
                <w:sz w:val="20"/>
                <w:szCs w:val="20"/>
              </w:rPr>
            </w:pPr>
            <w:r w:rsidRPr="00D0348E">
              <w:rPr>
                <w:rFonts w:ascii="Garamond" w:eastAsia="Times New Roman" w:hAnsi="Garamond" w:cs="Calibri"/>
                <w:color w:val="000000"/>
                <w:sz w:val="20"/>
                <w:szCs w:val="20"/>
              </w:rPr>
              <w:t>-0.3</w:t>
            </w:r>
          </w:p>
        </w:tc>
      </w:tr>
      <w:tr w:rsidR="006A6CB3" w:rsidRPr="00D0348E" w:rsidTr="004A1B8E">
        <w:trPr>
          <w:trHeight w:val="330"/>
        </w:trPr>
        <w:tc>
          <w:tcPr>
            <w:tcW w:w="3762" w:type="dxa"/>
            <w:gridSpan w:val="2"/>
            <w:tcBorders>
              <w:top w:val="single" w:sz="4" w:space="0" w:color="auto"/>
              <w:left w:val="single" w:sz="4" w:space="0" w:color="auto"/>
              <w:bottom w:val="single" w:sz="4" w:space="0" w:color="auto"/>
              <w:right w:val="single" w:sz="4" w:space="0" w:color="auto"/>
            </w:tcBorders>
            <w:shd w:val="clear" w:color="000000" w:fill="C6E0B4"/>
            <w:noWrap/>
            <w:hideMark/>
          </w:tcPr>
          <w:p w:rsidR="006A6CB3" w:rsidRPr="00D0348E" w:rsidRDefault="006A6CB3" w:rsidP="006A6CB3">
            <w:pPr>
              <w:rPr>
                <w:rFonts w:ascii="Garamond" w:eastAsia="Times New Roman" w:hAnsi="Garamond" w:cs="Calibri"/>
                <w:b/>
                <w:bCs/>
                <w:color w:val="000000"/>
                <w:sz w:val="20"/>
                <w:szCs w:val="20"/>
                <w:lang w:val="en-US" w:bidi="hi-IN"/>
              </w:rPr>
            </w:pPr>
            <w:r w:rsidRPr="00D0348E">
              <w:rPr>
                <w:rFonts w:ascii="Garamond" w:eastAsia="Times New Roman" w:hAnsi="Garamond" w:cs="Calibri"/>
                <w:b/>
                <w:bCs/>
                <w:color w:val="000000"/>
                <w:sz w:val="20"/>
                <w:szCs w:val="20"/>
                <w:lang w:val="en-IN" w:bidi="hi-IN"/>
              </w:rPr>
              <w:t>P/E Ratio</w:t>
            </w:r>
          </w:p>
        </w:tc>
        <w:tc>
          <w:tcPr>
            <w:tcW w:w="1843" w:type="dxa"/>
            <w:tcBorders>
              <w:top w:val="single" w:sz="4" w:space="0" w:color="auto"/>
              <w:left w:val="single" w:sz="4" w:space="0" w:color="auto"/>
              <w:bottom w:val="single" w:sz="4" w:space="0" w:color="auto"/>
              <w:right w:val="single" w:sz="4" w:space="0" w:color="auto"/>
            </w:tcBorders>
            <w:shd w:val="clear" w:color="000000" w:fill="C6E0B4"/>
            <w:noWrap/>
            <w:hideMark/>
          </w:tcPr>
          <w:p w:rsidR="006A6CB3" w:rsidRPr="00D0348E" w:rsidRDefault="006A6CB3" w:rsidP="006A6CB3">
            <w:pPr>
              <w:rPr>
                <w:rFonts w:ascii="Garamond" w:eastAsia="Times New Roman" w:hAnsi="Garamond" w:cs="Calibri"/>
                <w:b/>
                <w:bCs/>
                <w:color w:val="000000"/>
                <w:sz w:val="20"/>
                <w:szCs w:val="20"/>
                <w:lang w:val="en-US" w:bidi="hi-IN"/>
              </w:rPr>
            </w:pPr>
            <w:r w:rsidRPr="00D0348E">
              <w:rPr>
                <w:rFonts w:ascii="Garamond" w:eastAsia="Times New Roman" w:hAnsi="Garamond" w:cs="Calibri"/>
                <w:b/>
                <w:bCs/>
                <w:color w:val="000000"/>
                <w:sz w:val="20"/>
                <w:szCs w:val="20"/>
                <w:lang w:val="en-IN" w:bidi="hi-IN"/>
              </w:rPr>
              <w:t> </w:t>
            </w:r>
          </w:p>
        </w:tc>
        <w:tc>
          <w:tcPr>
            <w:tcW w:w="2447" w:type="dxa"/>
            <w:tcBorders>
              <w:top w:val="single" w:sz="4" w:space="0" w:color="auto"/>
              <w:left w:val="single" w:sz="4" w:space="0" w:color="auto"/>
              <w:bottom w:val="single" w:sz="4" w:space="0" w:color="auto"/>
              <w:right w:val="single" w:sz="4" w:space="0" w:color="auto"/>
            </w:tcBorders>
            <w:shd w:val="clear" w:color="000000" w:fill="C6E0B4"/>
            <w:noWrap/>
            <w:hideMark/>
          </w:tcPr>
          <w:p w:rsidR="006A6CB3" w:rsidRPr="00D0348E" w:rsidRDefault="006A6CB3" w:rsidP="006A6CB3">
            <w:pPr>
              <w:rPr>
                <w:rFonts w:ascii="Garamond" w:eastAsia="Times New Roman" w:hAnsi="Garamond" w:cs="Calibri"/>
                <w:b/>
                <w:bCs/>
                <w:color w:val="000000"/>
                <w:sz w:val="20"/>
                <w:szCs w:val="20"/>
                <w:lang w:val="en-US" w:bidi="hi-IN"/>
              </w:rPr>
            </w:pPr>
            <w:r w:rsidRPr="00D0348E">
              <w:rPr>
                <w:rFonts w:ascii="Garamond" w:eastAsia="Times New Roman" w:hAnsi="Garamond" w:cs="Calibri"/>
                <w:b/>
                <w:bCs/>
                <w:color w:val="000000"/>
                <w:sz w:val="20"/>
                <w:szCs w:val="20"/>
                <w:lang w:val="en-IN" w:bidi="hi-IN"/>
              </w:rPr>
              <w:t> </w:t>
            </w:r>
          </w:p>
        </w:tc>
      </w:tr>
      <w:tr w:rsidR="00D0348E" w:rsidRPr="00D0348E" w:rsidTr="004A1B8E">
        <w:trPr>
          <w:trHeight w:val="330"/>
        </w:trPr>
        <w:tc>
          <w:tcPr>
            <w:tcW w:w="1919" w:type="dxa"/>
            <w:tcBorders>
              <w:top w:val="single" w:sz="4" w:space="0" w:color="auto"/>
              <w:left w:val="single" w:sz="4" w:space="0" w:color="auto"/>
              <w:bottom w:val="nil"/>
              <w:right w:val="single" w:sz="4" w:space="0" w:color="auto"/>
            </w:tcBorders>
            <w:shd w:val="clear" w:color="auto" w:fill="auto"/>
            <w:noWrap/>
            <w:hideMark/>
          </w:tcPr>
          <w:p w:rsidR="00D0348E" w:rsidRPr="00D0348E" w:rsidRDefault="00D0348E" w:rsidP="00D0348E">
            <w:pPr>
              <w:rPr>
                <w:rFonts w:ascii="Garamond" w:eastAsia="Times New Roman" w:hAnsi="Garamond" w:cs="Calibri"/>
                <w:color w:val="000000"/>
                <w:sz w:val="20"/>
                <w:szCs w:val="20"/>
                <w:lang w:val="en-US" w:bidi="hi-IN"/>
              </w:rPr>
            </w:pPr>
            <w:r w:rsidRPr="00D0348E">
              <w:rPr>
                <w:rFonts w:ascii="Garamond" w:eastAsia="Times New Roman" w:hAnsi="Garamond" w:cs="Calibri"/>
                <w:color w:val="000000"/>
                <w:sz w:val="20"/>
                <w:szCs w:val="20"/>
                <w:lang w:val="en-IN" w:bidi="hi-IN"/>
              </w:rPr>
              <w:t>Sensex</w:t>
            </w:r>
          </w:p>
        </w:tc>
        <w:tc>
          <w:tcPr>
            <w:tcW w:w="1843" w:type="dxa"/>
            <w:tcBorders>
              <w:top w:val="single" w:sz="4" w:space="0" w:color="auto"/>
              <w:left w:val="single" w:sz="4" w:space="0" w:color="auto"/>
              <w:bottom w:val="nil"/>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lang w:val="en-US"/>
              </w:rPr>
            </w:pPr>
            <w:r w:rsidRPr="00D0348E">
              <w:rPr>
                <w:rFonts w:ascii="Garamond" w:eastAsia="Times New Roman" w:hAnsi="Garamond" w:cs="Calibri"/>
                <w:color w:val="000000"/>
                <w:sz w:val="20"/>
                <w:szCs w:val="20"/>
              </w:rPr>
              <w:t>30.8</w:t>
            </w:r>
          </w:p>
        </w:tc>
        <w:tc>
          <w:tcPr>
            <w:tcW w:w="1843" w:type="dxa"/>
            <w:tcBorders>
              <w:top w:val="single" w:sz="4" w:space="0" w:color="auto"/>
              <w:left w:val="single" w:sz="4" w:space="0" w:color="auto"/>
              <w:bottom w:val="nil"/>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rPr>
            </w:pPr>
            <w:r w:rsidRPr="00D0348E">
              <w:rPr>
                <w:rFonts w:ascii="Garamond" w:eastAsia="Times New Roman" w:hAnsi="Garamond" w:cs="Calibri"/>
                <w:color w:val="000000"/>
                <w:sz w:val="20"/>
                <w:szCs w:val="20"/>
              </w:rPr>
              <w:t>31.1</w:t>
            </w:r>
          </w:p>
        </w:tc>
        <w:tc>
          <w:tcPr>
            <w:tcW w:w="2447" w:type="dxa"/>
            <w:tcBorders>
              <w:top w:val="single" w:sz="4" w:space="0" w:color="auto"/>
              <w:left w:val="single" w:sz="4" w:space="0" w:color="auto"/>
              <w:bottom w:val="nil"/>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rPr>
            </w:pPr>
            <w:r w:rsidRPr="00D0348E">
              <w:rPr>
                <w:rFonts w:ascii="Garamond" w:eastAsia="Times New Roman" w:hAnsi="Garamond" w:cs="Calibri"/>
                <w:color w:val="000000"/>
                <w:sz w:val="20"/>
                <w:szCs w:val="20"/>
              </w:rPr>
              <w:t>0.9</w:t>
            </w:r>
          </w:p>
        </w:tc>
      </w:tr>
      <w:tr w:rsidR="00D0348E" w:rsidRPr="00D0348E" w:rsidTr="004A1B8E">
        <w:trPr>
          <w:trHeight w:val="330"/>
        </w:trPr>
        <w:tc>
          <w:tcPr>
            <w:tcW w:w="1919" w:type="dxa"/>
            <w:tcBorders>
              <w:top w:val="nil"/>
              <w:left w:val="single" w:sz="4" w:space="0" w:color="auto"/>
              <w:bottom w:val="single" w:sz="4" w:space="0" w:color="auto"/>
              <w:right w:val="single" w:sz="4" w:space="0" w:color="auto"/>
            </w:tcBorders>
            <w:shd w:val="clear" w:color="auto" w:fill="auto"/>
            <w:noWrap/>
            <w:hideMark/>
          </w:tcPr>
          <w:p w:rsidR="00D0348E" w:rsidRPr="00D0348E" w:rsidRDefault="00D0348E" w:rsidP="00D0348E">
            <w:pPr>
              <w:rPr>
                <w:rFonts w:ascii="Garamond" w:eastAsia="Times New Roman" w:hAnsi="Garamond" w:cs="Calibri"/>
                <w:color w:val="000000"/>
                <w:sz w:val="20"/>
                <w:szCs w:val="20"/>
                <w:lang w:val="en-US" w:bidi="hi-IN"/>
              </w:rPr>
            </w:pPr>
            <w:r w:rsidRPr="00D0348E">
              <w:rPr>
                <w:rFonts w:ascii="Garamond" w:eastAsia="Times New Roman" w:hAnsi="Garamond" w:cs="Calibri"/>
                <w:color w:val="000000"/>
                <w:sz w:val="20"/>
                <w:szCs w:val="20"/>
                <w:lang w:val="en-IN" w:bidi="hi-IN"/>
              </w:rPr>
              <w:t>Nifty 50</w:t>
            </w:r>
          </w:p>
        </w:tc>
        <w:tc>
          <w:tcPr>
            <w:tcW w:w="1843" w:type="dxa"/>
            <w:tcBorders>
              <w:top w:val="nil"/>
              <w:left w:val="single" w:sz="4" w:space="0" w:color="auto"/>
              <w:bottom w:val="single" w:sz="4" w:space="0" w:color="auto"/>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lang w:val="en-US"/>
              </w:rPr>
            </w:pPr>
            <w:r w:rsidRPr="00D0348E">
              <w:rPr>
                <w:rFonts w:ascii="Garamond" w:eastAsia="Times New Roman" w:hAnsi="Garamond" w:cs="Calibri"/>
                <w:color w:val="000000"/>
                <w:sz w:val="20"/>
                <w:szCs w:val="20"/>
              </w:rPr>
              <w:t>27</w:t>
            </w:r>
          </w:p>
        </w:tc>
        <w:tc>
          <w:tcPr>
            <w:tcW w:w="1843" w:type="dxa"/>
            <w:tcBorders>
              <w:top w:val="nil"/>
              <w:left w:val="single" w:sz="4" w:space="0" w:color="auto"/>
              <w:bottom w:val="single" w:sz="4" w:space="0" w:color="auto"/>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rPr>
            </w:pPr>
            <w:r w:rsidRPr="00D0348E">
              <w:rPr>
                <w:rFonts w:ascii="Garamond" w:eastAsia="Times New Roman" w:hAnsi="Garamond" w:cs="Calibri"/>
                <w:color w:val="000000"/>
                <w:sz w:val="20"/>
                <w:szCs w:val="20"/>
              </w:rPr>
              <w:t>25.7</w:t>
            </w:r>
          </w:p>
        </w:tc>
        <w:tc>
          <w:tcPr>
            <w:tcW w:w="2447" w:type="dxa"/>
            <w:tcBorders>
              <w:top w:val="nil"/>
              <w:left w:val="single" w:sz="4" w:space="0" w:color="auto"/>
              <w:bottom w:val="single" w:sz="4" w:space="0" w:color="auto"/>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rPr>
            </w:pPr>
            <w:r w:rsidRPr="00D0348E">
              <w:rPr>
                <w:rFonts w:ascii="Garamond" w:eastAsia="Times New Roman" w:hAnsi="Garamond" w:cs="Calibri"/>
                <w:color w:val="000000"/>
                <w:sz w:val="20"/>
                <w:szCs w:val="20"/>
              </w:rPr>
              <w:t>-4.8</w:t>
            </w:r>
          </w:p>
        </w:tc>
      </w:tr>
      <w:tr w:rsidR="006A6CB3" w:rsidRPr="00D0348E" w:rsidTr="004A1B8E">
        <w:trPr>
          <w:trHeight w:val="330"/>
        </w:trPr>
        <w:tc>
          <w:tcPr>
            <w:tcW w:w="3762" w:type="dxa"/>
            <w:gridSpan w:val="2"/>
            <w:tcBorders>
              <w:top w:val="single" w:sz="4" w:space="0" w:color="auto"/>
              <w:left w:val="single" w:sz="4" w:space="0" w:color="auto"/>
              <w:bottom w:val="single" w:sz="4" w:space="0" w:color="auto"/>
              <w:right w:val="single" w:sz="4" w:space="0" w:color="auto"/>
            </w:tcBorders>
            <w:shd w:val="clear" w:color="000000" w:fill="C6E0B4"/>
            <w:noWrap/>
            <w:hideMark/>
          </w:tcPr>
          <w:p w:rsidR="006A6CB3" w:rsidRPr="00D0348E" w:rsidRDefault="006A6CB3" w:rsidP="006A6CB3">
            <w:pPr>
              <w:rPr>
                <w:rFonts w:ascii="Garamond" w:eastAsia="Times New Roman" w:hAnsi="Garamond" w:cs="Calibri"/>
                <w:b/>
                <w:bCs/>
                <w:color w:val="000000"/>
                <w:sz w:val="20"/>
                <w:szCs w:val="20"/>
                <w:lang w:val="en-US" w:bidi="hi-IN"/>
              </w:rPr>
            </w:pPr>
            <w:r w:rsidRPr="00D0348E">
              <w:rPr>
                <w:rFonts w:ascii="Garamond" w:eastAsia="Times New Roman" w:hAnsi="Garamond" w:cs="Calibri"/>
                <w:b/>
                <w:bCs/>
                <w:color w:val="000000"/>
                <w:sz w:val="20"/>
                <w:szCs w:val="20"/>
                <w:lang w:val="en-IN" w:bidi="hi-IN"/>
              </w:rPr>
              <w:t>No of Listed Companies</w:t>
            </w:r>
          </w:p>
        </w:tc>
        <w:tc>
          <w:tcPr>
            <w:tcW w:w="1843" w:type="dxa"/>
            <w:tcBorders>
              <w:top w:val="single" w:sz="4" w:space="0" w:color="auto"/>
              <w:left w:val="single" w:sz="4" w:space="0" w:color="auto"/>
              <w:bottom w:val="single" w:sz="4" w:space="0" w:color="auto"/>
              <w:right w:val="single" w:sz="4" w:space="0" w:color="auto"/>
            </w:tcBorders>
            <w:shd w:val="clear" w:color="000000" w:fill="C6E0B4"/>
            <w:noWrap/>
            <w:hideMark/>
          </w:tcPr>
          <w:p w:rsidR="006A6CB3" w:rsidRPr="00D0348E" w:rsidRDefault="006A6CB3" w:rsidP="006A6CB3">
            <w:pPr>
              <w:rPr>
                <w:rFonts w:ascii="Garamond" w:eastAsia="Times New Roman" w:hAnsi="Garamond" w:cs="Calibri"/>
                <w:b/>
                <w:bCs/>
                <w:color w:val="000000"/>
                <w:sz w:val="20"/>
                <w:szCs w:val="20"/>
                <w:lang w:val="en-US" w:bidi="hi-IN"/>
              </w:rPr>
            </w:pPr>
            <w:r w:rsidRPr="00D0348E">
              <w:rPr>
                <w:rFonts w:ascii="Garamond" w:eastAsia="Times New Roman" w:hAnsi="Garamond" w:cs="Calibri"/>
                <w:b/>
                <w:bCs/>
                <w:color w:val="000000"/>
                <w:sz w:val="20"/>
                <w:szCs w:val="20"/>
                <w:lang w:val="en-IN" w:bidi="hi-IN"/>
              </w:rPr>
              <w:t> </w:t>
            </w:r>
          </w:p>
        </w:tc>
        <w:tc>
          <w:tcPr>
            <w:tcW w:w="2447" w:type="dxa"/>
            <w:tcBorders>
              <w:top w:val="single" w:sz="4" w:space="0" w:color="auto"/>
              <w:left w:val="single" w:sz="4" w:space="0" w:color="auto"/>
              <w:bottom w:val="single" w:sz="4" w:space="0" w:color="auto"/>
              <w:right w:val="single" w:sz="4" w:space="0" w:color="auto"/>
            </w:tcBorders>
            <w:shd w:val="clear" w:color="000000" w:fill="C6E0B4"/>
            <w:noWrap/>
            <w:hideMark/>
          </w:tcPr>
          <w:p w:rsidR="006A6CB3" w:rsidRPr="00D0348E" w:rsidRDefault="006A6CB3" w:rsidP="006A6CB3">
            <w:pPr>
              <w:rPr>
                <w:rFonts w:ascii="Garamond" w:eastAsia="Times New Roman" w:hAnsi="Garamond" w:cs="Calibri"/>
                <w:b/>
                <w:bCs/>
                <w:color w:val="000000"/>
                <w:sz w:val="20"/>
                <w:szCs w:val="20"/>
                <w:lang w:val="en-US" w:bidi="hi-IN"/>
              </w:rPr>
            </w:pPr>
            <w:r w:rsidRPr="00D0348E">
              <w:rPr>
                <w:rFonts w:ascii="Garamond" w:eastAsia="Times New Roman" w:hAnsi="Garamond" w:cs="Calibri"/>
                <w:b/>
                <w:bCs/>
                <w:color w:val="000000"/>
                <w:sz w:val="20"/>
                <w:szCs w:val="20"/>
                <w:lang w:val="en-IN" w:bidi="hi-IN"/>
              </w:rPr>
              <w:t> </w:t>
            </w:r>
          </w:p>
        </w:tc>
      </w:tr>
      <w:tr w:rsidR="00D0348E" w:rsidRPr="00D0348E" w:rsidTr="004A1B8E">
        <w:trPr>
          <w:trHeight w:val="330"/>
        </w:trPr>
        <w:tc>
          <w:tcPr>
            <w:tcW w:w="1919" w:type="dxa"/>
            <w:tcBorders>
              <w:top w:val="single" w:sz="4" w:space="0" w:color="auto"/>
              <w:left w:val="single" w:sz="4" w:space="0" w:color="auto"/>
              <w:bottom w:val="nil"/>
              <w:right w:val="single" w:sz="4" w:space="0" w:color="auto"/>
            </w:tcBorders>
            <w:shd w:val="clear" w:color="auto" w:fill="auto"/>
            <w:noWrap/>
            <w:hideMark/>
          </w:tcPr>
          <w:p w:rsidR="00D0348E" w:rsidRPr="00D0348E" w:rsidRDefault="00D0348E" w:rsidP="00D0348E">
            <w:pPr>
              <w:rPr>
                <w:rFonts w:ascii="Garamond" w:eastAsia="Times New Roman" w:hAnsi="Garamond" w:cs="Calibri"/>
                <w:color w:val="000000"/>
                <w:sz w:val="20"/>
                <w:szCs w:val="20"/>
                <w:lang w:val="en-US" w:bidi="hi-IN"/>
              </w:rPr>
            </w:pPr>
            <w:r w:rsidRPr="00D0348E">
              <w:rPr>
                <w:rFonts w:ascii="Garamond" w:eastAsia="Times New Roman" w:hAnsi="Garamond" w:cs="Calibri"/>
                <w:color w:val="000000"/>
                <w:sz w:val="20"/>
                <w:szCs w:val="20"/>
                <w:lang w:val="en-IN" w:bidi="hi-IN"/>
              </w:rPr>
              <w:t xml:space="preserve">BSE </w:t>
            </w:r>
          </w:p>
        </w:tc>
        <w:tc>
          <w:tcPr>
            <w:tcW w:w="1843" w:type="dxa"/>
            <w:tcBorders>
              <w:top w:val="single" w:sz="4" w:space="0" w:color="auto"/>
              <w:left w:val="single" w:sz="4" w:space="0" w:color="auto"/>
              <w:bottom w:val="nil"/>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lang w:val="en-US"/>
              </w:rPr>
            </w:pPr>
            <w:r w:rsidRPr="00D0348E">
              <w:rPr>
                <w:rFonts w:ascii="Garamond" w:eastAsia="Times New Roman" w:hAnsi="Garamond" w:cs="Calibri"/>
                <w:color w:val="000000"/>
                <w:sz w:val="20"/>
                <w:szCs w:val="20"/>
              </w:rPr>
              <w:t>5,533</w:t>
            </w:r>
          </w:p>
        </w:tc>
        <w:tc>
          <w:tcPr>
            <w:tcW w:w="1843" w:type="dxa"/>
            <w:tcBorders>
              <w:top w:val="single" w:sz="4" w:space="0" w:color="auto"/>
              <w:left w:val="single" w:sz="4" w:space="0" w:color="auto"/>
              <w:bottom w:val="nil"/>
              <w:right w:val="single" w:sz="4" w:space="0" w:color="auto"/>
            </w:tcBorders>
            <w:shd w:val="clear" w:color="000000" w:fill="FFFFFF"/>
            <w:noWrap/>
            <w:hideMark/>
          </w:tcPr>
          <w:p w:rsidR="00D0348E" w:rsidRPr="00D0348E" w:rsidRDefault="00D0348E" w:rsidP="00D0348E">
            <w:pPr>
              <w:jc w:val="right"/>
              <w:rPr>
                <w:rFonts w:ascii="Garamond" w:eastAsia="Times New Roman" w:hAnsi="Garamond" w:cs="Calibri"/>
                <w:color w:val="000000"/>
                <w:sz w:val="20"/>
                <w:szCs w:val="20"/>
                <w:lang w:val="en-US"/>
              </w:rPr>
            </w:pPr>
            <w:r w:rsidRPr="00D0348E">
              <w:rPr>
                <w:rFonts w:ascii="Garamond" w:eastAsia="Times New Roman" w:hAnsi="Garamond" w:cs="Calibri"/>
                <w:color w:val="000000"/>
                <w:sz w:val="20"/>
                <w:szCs w:val="20"/>
              </w:rPr>
              <w:t>5,285</w:t>
            </w:r>
          </w:p>
        </w:tc>
        <w:tc>
          <w:tcPr>
            <w:tcW w:w="2447" w:type="dxa"/>
            <w:tcBorders>
              <w:top w:val="single" w:sz="4" w:space="0" w:color="auto"/>
              <w:left w:val="single" w:sz="4" w:space="0" w:color="auto"/>
              <w:bottom w:val="nil"/>
              <w:right w:val="single" w:sz="4" w:space="0" w:color="auto"/>
            </w:tcBorders>
            <w:shd w:val="clear" w:color="000000" w:fill="FFFFFF"/>
            <w:noWrap/>
            <w:hideMark/>
          </w:tcPr>
          <w:p w:rsidR="00D0348E" w:rsidRPr="00D0348E" w:rsidRDefault="00D0348E" w:rsidP="00D0348E">
            <w:pPr>
              <w:jc w:val="right"/>
              <w:rPr>
                <w:rFonts w:ascii="Garamond" w:eastAsia="Times New Roman" w:hAnsi="Garamond" w:cs="Calibri"/>
                <w:color w:val="000000"/>
                <w:sz w:val="20"/>
                <w:szCs w:val="20"/>
                <w:lang w:val="en-US"/>
              </w:rPr>
            </w:pPr>
            <w:r w:rsidRPr="00D0348E">
              <w:rPr>
                <w:rFonts w:ascii="Garamond" w:eastAsia="Times New Roman" w:hAnsi="Garamond" w:cs="Calibri"/>
                <w:color w:val="000000"/>
                <w:sz w:val="20"/>
                <w:szCs w:val="20"/>
              </w:rPr>
              <w:t>-4.48</w:t>
            </w:r>
          </w:p>
        </w:tc>
      </w:tr>
      <w:tr w:rsidR="00D0348E" w:rsidRPr="00D0348E" w:rsidTr="004A1B8E">
        <w:trPr>
          <w:trHeight w:val="330"/>
        </w:trPr>
        <w:tc>
          <w:tcPr>
            <w:tcW w:w="1919" w:type="dxa"/>
            <w:tcBorders>
              <w:top w:val="nil"/>
              <w:left w:val="single" w:sz="4" w:space="0" w:color="auto"/>
              <w:bottom w:val="nil"/>
              <w:right w:val="single" w:sz="4" w:space="0" w:color="auto"/>
            </w:tcBorders>
            <w:shd w:val="clear" w:color="auto" w:fill="auto"/>
            <w:noWrap/>
            <w:hideMark/>
          </w:tcPr>
          <w:p w:rsidR="00D0348E" w:rsidRPr="00D0348E" w:rsidRDefault="00D0348E" w:rsidP="00D0348E">
            <w:pPr>
              <w:rPr>
                <w:rFonts w:ascii="Garamond" w:eastAsia="Times New Roman" w:hAnsi="Garamond" w:cs="Calibri"/>
                <w:color w:val="000000"/>
                <w:sz w:val="20"/>
                <w:szCs w:val="20"/>
                <w:lang w:val="en-US" w:bidi="hi-IN"/>
              </w:rPr>
            </w:pPr>
            <w:r w:rsidRPr="00D0348E">
              <w:rPr>
                <w:rFonts w:ascii="Garamond" w:eastAsia="Times New Roman" w:hAnsi="Garamond" w:cs="Calibri"/>
                <w:color w:val="000000"/>
                <w:sz w:val="20"/>
                <w:szCs w:val="20"/>
                <w:lang w:val="en-IN" w:bidi="hi-IN"/>
              </w:rPr>
              <w:t>NSE</w:t>
            </w:r>
          </w:p>
        </w:tc>
        <w:tc>
          <w:tcPr>
            <w:tcW w:w="1843" w:type="dxa"/>
            <w:tcBorders>
              <w:top w:val="nil"/>
              <w:left w:val="single" w:sz="4" w:space="0" w:color="auto"/>
              <w:bottom w:val="nil"/>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lang w:val="en-US"/>
              </w:rPr>
            </w:pPr>
            <w:r w:rsidRPr="00D0348E">
              <w:rPr>
                <w:rFonts w:ascii="Garamond" w:eastAsia="Times New Roman" w:hAnsi="Garamond" w:cs="Calibri"/>
                <w:color w:val="000000"/>
                <w:sz w:val="20"/>
                <w:szCs w:val="20"/>
              </w:rPr>
              <w:t>2,005</w:t>
            </w:r>
          </w:p>
        </w:tc>
        <w:tc>
          <w:tcPr>
            <w:tcW w:w="1843" w:type="dxa"/>
            <w:tcBorders>
              <w:top w:val="nil"/>
              <w:left w:val="single" w:sz="4" w:space="0" w:color="auto"/>
              <w:bottom w:val="nil"/>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lang w:val="en-US"/>
              </w:rPr>
            </w:pPr>
            <w:r w:rsidRPr="00D0348E">
              <w:rPr>
                <w:rFonts w:ascii="Garamond" w:eastAsia="Times New Roman" w:hAnsi="Garamond" w:cs="Calibri"/>
                <w:color w:val="000000"/>
                <w:sz w:val="20"/>
                <w:szCs w:val="20"/>
              </w:rPr>
              <w:t>2,016</w:t>
            </w:r>
          </w:p>
        </w:tc>
        <w:tc>
          <w:tcPr>
            <w:tcW w:w="2447" w:type="dxa"/>
            <w:tcBorders>
              <w:top w:val="nil"/>
              <w:left w:val="single" w:sz="4" w:space="0" w:color="auto"/>
              <w:bottom w:val="nil"/>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lang w:val="en-US"/>
              </w:rPr>
            </w:pPr>
            <w:r w:rsidRPr="00D0348E">
              <w:rPr>
                <w:rFonts w:ascii="Garamond" w:eastAsia="Times New Roman" w:hAnsi="Garamond" w:cs="Calibri"/>
                <w:color w:val="000000"/>
                <w:sz w:val="20"/>
                <w:szCs w:val="20"/>
              </w:rPr>
              <w:t>0.55</w:t>
            </w:r>
          </w:p>
        </w:tc>
      </w:tr>
      <w:tr w:rsidR="006A6CB3" w:rsidRPr="00D0348E" w:rsidTr="004A1B8E">
        <w:trPr>
          <w:trHeight w:val="490"/>
        </w:trPr>
        <w:tc>
          <w:tcPr>
            <w:tcW w:w="8052" w:type="dxa"/>
            <w:gridSpan w:val="4"/>
            <w:tcBorders>
              <w:top w:val="single" w:sz="8" w:space="0" w:color="auto"/>
              <w:left w:val="single" w:sz="4" w:space="0" w:color="auto"/>
              <w:bottom w:val="single" w:sz="8" w:space="0" w:color="auto"/>
              <w:right w:val="single" w:sz="4" w:space="0" w:color="auto"/>
            </w:tcBorders>
            <w:shd w:val="clear" w:color="000000" w:fill="C6E0B4"/>
            <w:noWrap/>
            <w:hideMark/>
          </w:tcPr>
          <w:p w:rsidR="006A6CB3" w:rsidRPr="00D0348E" w:rsidRDefault="006A6CB3" w:rsidP="006A6CB3">
            <w:pPr>
              <w:rPr>
                <w:rFonts w:ascii="Garamond" w:eastAsia="Times New Roman" w:hAnsi="Garamond" w:cs="Calibri"/>
                <w:b/>
                <w:bCs/>
                <w:color w:val="000000"/>
                <w:sz w:val="20"/>
                <w:szCs w:val="20"/>
                <w:lang w:val="en-US" w:bidi="hi-IN"/>
              </w:rPr>
            </w:pPr>
            <w:r w:rsidRPr="00D0348E">
              <w:rPr>
                <w:rFonts w:ascii="Garamond" w:eastAsia="Times New Roman" w:hAnsi="Garamond" w:cs="Calibri"/>
                <w:b/>
                <w:bCs/>
                <w:color w:val="000000"/>
                <w:sz w:val="20"/>
                <w:szCs w:val="20"/>
                <w:lang w:val="en-IN" w:bidi="hi-IN"/>
              </w:rPr>
              <w:t>Gross Turnover in Equity Segment (</w:t>
            </w:r>
            <w:r w:rsidRPr="00D0348E">
              <w:rPr>
                <w:rFonts w:ascii="Times New Roman" w:eastAsia="Times New Roman" w:hAnsi="Times New Roman"/>
                <w:b/>
                <w:bCs/>
                <w:color w:val="000000"/>
                <w:sz w:val="20"/>
                <w:szCs w:val="20"/>
                <w:lang w:val="en-IN" w:bidi="hi-IN"/>
              </w:rPr>
              <w:t>₹</w:t>
            </w:r>
            <w:r w:rsidRPr="00D0348E">
              <w:rPr>
                <w:rFonts w:ascii="Garamond" w:eastAsia="Times New Roman" w:hAnsi="Garamond" w:cs="Calibri"/>
                <w:b/>
                <w:bCs/>
                <w:color w:val="000000"/>
                <w:sz w:val="20"/>
                <w:szCs w:val="20"/>
                <w:lang w:val="en-IN" w:bidi="hi-IN"/>
              </w:rPr>
              <w:t xml:space="preserve"> crore)</w:t>
            </w:r>
          </w:p>
        </w:tc>
      </w:tr>
      <w:tr w:rsidR="00D0348E" w:rsidRPr="00D0348E" w:rsidTr="004A1B8E">
        <w:trPr>
          <w:trHeight w:val="330"/>
        </w:trPr>
        <w:tc>
          <w:tcPr>
            <w:tcW w:w="1919" w:type="dxa"/>
            <w:tcBorders>
              <w:top w:val="nil"/>
              <w:left w:val="single" w:sz="4" w:space="0" w:color="auto"/>
              <w:bottom w:val="nil"/>
              <w:right w:val="single" w:sz="4" w:space="0" w:color="auto"/>
            </w:tcBorders>
            <w:shd w:val="clear" w:color="auto" w:fill="auto"/>
            <w:noWrap/>
            <w:hideMark/>
          </w:tcPr>
          <w:p w:rsidR="00D0348E" w:rsidRPr="00D0348E" w:rsidRDefault="00D0348E" w:rsidP="00D0348E">
            <w:pPr>
              <w:rPr>
                <w:rFonts w:ascii="Garamond" w:eastAsia="Times New Roman" w:hAnsi="Garamond" w:cs="Calibri"/>
                <w:color w:val="000000"/>
                <w:sz w:val="20"/>
                <w:szCs w:val="20"/>
                <w:lang w:val="en-US" w:bidi="hi-IN"/>
              </w:rPr>
            </w:pPr>
            <w:r w:rsidRPr="00D0348E">
              <w:rPr>
                <w:rFonts w:ascii="Garamond" w:eastAsia="Times New Roman" w:hAnsi="Garamond" w:cs="Calibri"/>
                <w:color w:val="000000"/>
                <w:sz w:val="20"/>
                <w:szCs w:val="20"/>
                <w:lang w:val="en-IN" w:bidi="hi-IN"/>
              </w:rPr>
              <w:t xml:space="preserve">BSE </w:t>
            </w:r>
          </w:p>
        </w:tc>
        <w:tc>
          <w:tcPr>
            <w:tcW w:w="1843" w:type="dxa"/>
            <w:tcBorders>
              <w:top w:val="nil"/>
              <w:left w:val="single" w:sz="4" w:space="0" w:color="auto"/>
              <w:bottom w:val="nil"/>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lang w:val="en-US"/>
              </w:rPr>
            </w:pPr>
            <w:r w:rsidRPr="00D0348E">
              <w:rPr>
                <w:rFonts w:ascii="Garamond" w:eastAsia="Times New Roman" w:hAnsi="Garamond" w:cs="Calibri"/>
                <w:color w:val="000000"/>
                <w:sz w:val="20"/>
                <w:szCs w:val="20"/>
              </w:rPr>
              <w:t>1,28,975</w:t>
            </w:r>
          </w:p>
        </w:tc>
        <w:tc>
          <w:tcPr>
            <w:tcW w:w="1843" w:type="dxa"/>
            <w:tcBorders>
              <w:top w:val="nil"/>
              <w:left w:val="single" w:sz="4" w:space="0" w:color="auto"/>
              <w:bottom w:val="nil"/>
              <w:right w:val="single" w:sz="4" w:space="0" w:color="auto"/>
            </w:tcBorders>
            <w:shd w:val="clear" w:color="000000" w:fill="FFFFFF"/>
            <w:noWrap/>
            <w:hideMark/>
          </w:tcPr>
          <w:p w:rsidR="00D0348E" w:rsidRPr="00D0348E" w:rsidRDefault="00D0348E" w:rsidP="00D0348E">
            <w:pPr>
              <w:jc w:val="right"/>
              <w:rPr>
                <w:rFonts w:ascii="Garamond" w:eastAsia="Times New Roman" w:hAnsi="Garamond" w:cs="Calibri"/>
                <w:color w:val="000000"/>
                <w:sz w:val="20"/>
                <w:szCs w:val="20"/>
              </w:rPr>
            </w:pPr>
            <w:r w:rsidRPr="00D0348E">
              <w:rPr>
                <w:rFonts w:ascii="Garamond" w:eastAsia="Times New Roman" w:hAnsi="Garamond" w:cs="Calibri"/>
                <w:color w:val="000000"/>
                <w:sz w:val="20"/>
                <w:szCs w:val="20"/>
              </w:rPr>
              <w:t xml:space="preserve"> 1,33,729 </w:t>
            </w:r>
          </w:p>
        </w:tc>
        <w:tc>
          <w:tcPr>
            <w:tcW w:w="2447" w:type="dxa"/>
            <w:tcBorders>
              <w:top w:val="nil"/>
              <w:left w:val="single" w:sz="4" w:space="0" w:color="auto"/>
              <w:bottom w:val="nil"/>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rPr>
            </w:pPr>
            <w:r w:rsidRPr="00D0348E">
              <w:rPr>
                <w:rFonts w:ascii="Garamond" w:eastAsia="Times New Roman" w:hAnsi="Garamond" w:cs="Calibri"/>
                <w:color w:val="000000"/>
                <w:sz w:val="20"/>
                <w:szCs w:val="20"/>
              </w:rPr>
              <w:t>3.7</w:t>
            </w:r>
          </w:p>
        </w:tc>
      </w:tr>
      <w:tr w:rsidR="00D0348E" w:rsidRPr="00D0348E" w:rsidTr="004A1B8E">
        <w:trPr>
          <w:trHeight w:val="330"/>
        </w:trPr>
        <w:tc>
          <w:tcPr>
            <w:tcW w:w="1919" w:type="dxa"/>
            <w:tcBorders>
              <w:top w:val="nil"/>
              <w:left w:val="single" w:sz="4" w:space="0" w:color="auto"/>
              <w:bottom w:val="nil"/>
              <w:right w:val="single" w:sz="4" w:space="0" w:color="auto"/>
            </w:tcBorders>
            <w:shd w:val="clear" w:color="auto" w:fill="auto"/>
            <w:noWrap/>
            <w:hideMark/>
          </w:tcPr>
          <w:p w:rsidR="00D0348E" w:rsidRPr="00D0348E" w:rsidRDefault="00D0348E" w:rsidP="00D0348E">
            <w:pPr>
              <w:rPr>
                <w:rFonts w:ascii="Garamond" w:eastAsia="Times New Roman" w:hAnsi="Garamond" w:cs="Calibri"/>
                <w:color w:val="000000"/>
                <w:sz w:val="20"/>
                <w:szCs w:val="20"/>
                <w:lang w:val="en-US" w:bidi="hi-IN"/>
              </w:rPr>
            </w:pPr>
            <w:r w:rsidRPr="00D0348E">
              <w:rPr>
                <w:rFonts w:ascii="Garamond" w:eastAsia="Times New Roman" w:hAnsi="Garamond" w:cs="Calibri"/>
                <w:color w:val="000000"/>
                <w:sz w:val="20"/>
                <w:szCs w:val="20"/>
                <w:lang w:val="en-IN" w:bidi="hi-IN"/>
              </w:rPr>
              <w:t>NSE</w:t>
            </w:r>
          </w:p>
        </w:tc>
        <w:tc>
          <w:tcPr>
            <w:tcW w:w="1843" w:type="dxa"/>
            <w:tcBorders>
              <w:top w:val="nil"/>
              <w:left w:val="single" w:sz="4" w:space="0" w:color="auto"/>
              <w:bottom w:val="nil"/>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lang w:val="en-US"/>
              </w:rPr>
            </w:pPr>
            <w:r w:rsidRPr="00D0348E">
              <w:rPr>
                <w:rFonts w:ascii="Garamond" w:eastAsia="Times New Roman" w:hAnsi="Garamond" w:cs="Calibri"/>
                <w:color w:val="000000"/>
                <w:sz w:val="20"/>
                <w:szCs w:val="20"/>
              </w:rPr>
              <w:t>14,39,017</w:t>
            </w:r>
          </w:p>
        </w:tc>
        <w:tc>
          <w:tcPr>
            <w:tcW w:w="1843" w:type="dxa"/>
            <w:tcBorders>
              <w:top w:val="nil"/>
              <w:left w:val="single" w:sz="4" w:space="0" w:color="auto"/>
              <w:bottom w:val="nil"/>
              <w:right w:val="single" w:sz="4" w:space="0" w:color="auto"/>
            </w:tcBorders>
            <w:shd w:val="clear" w:color="000000" w:fill="FFFFFF"/>
            <w:noWrap/>
            <w:hideMark/>
          </w:tcPr>
          <w:p w:rsidR="00D0348E" w:rsidRPr="00D0348E" w:rsidRDefault="00D0348E" w:rsidP="00D0348E">
            <w:pPr>
              <w:jc w:val="right"/>
              <w:rPr>
                <w:rFonts w:ascii="Garamond" w:eastAsia="Times New Roman" w:hAnsi="Garamond" w:cs="Calibri"/>
                <w:color w:val="000000"/>
                <w:sz w:val="20"/>
                <w:szCs w:val="20"/>
              </w:rPr>
            </w:pPr>
            <w:r w:rsidRPr="00D0348E">
              <w:rPr>
                <w:rFonts w:ascii="Garamond" w:eastAsia="Times New Roman" w:hAnsi="Garamond" w:cs="Calibri"/>
                <w:color w:val="000000"/>
                <w:sz w:val="20"/>
                <w:szCs w:val="20"/>
              </w:rPr>
              <w:t xml:space="preserve"> 16,27,217 </w:t>
            </w:r>
          </w:p>
        </w:tc>
        <w:tc>
          <w:tcPr>
            <w:tcW w:w="2447" w:type="dxa"/>
            <w:tcBorders>
              <w:top w:val="nil"/>
              <w:left w:val="single" w:sz="4" w:space="0" w:color="auto"/>
              <w:bottom w:val="nil"/>
              <w:right w:val="single" w:sz="4" w:space="0" w:color="auto"/>
            </w:tcBorders>
            <w:shd w:val="clear" w:color="000000" w:fill="FFFFFF"/>
            <w:noWrap/>
            <w:hideMark/>
          </w:tcPr>
          <w:p w:rsidR="00D0348E" w:rsidRPr="00D0348E" w:rsidRDefault="00D0348E" w:rsidP="00D0348E">
            <w:pPr>
              <w:jc w:val="right"/>
              <w:rPr>
                <w:rFonts w:ascii="Garamond" w:eastAsia="Times New Roman" w:hAnsi="Garamond" w:cs="Calibri"/>
                <w:color w:val="000000"/>
                <w:sz w:val="20"/>
                <w:szCs w:val="20"/>
              </w:rPr>
            </w:pPr>
            <w:r w:rsidRPr="00D0348E">
              <w:rPr>
                <w:rFonts w:ascii="Garamond" w:eastAsia="Times New Roman" w:hAnsi="Garamond" w:cs="Calibri"/>
                <w:color w:val="000000"/>
                <w:sz w:val="20"/>
                <w:szCs w:val="20"/>
              </w:rPr>
              <w:t>13.1</w:t>
            </w:r>
          </w:p>
        </w:tc>
      </w:tr>
      <w:tr w:rsidR="006A6CB3" w:rsidRPr="00D0348E" w:rsidTr="004A1B8E">
        <w:trPr>
          <w:trHeight w:val="330"/>
        </w:trPr>
        <w:tc>
          <w:tcPr>
            <w:tcW w:w="5605" w:type="dxa"/>
            <w:gridSpan w:val="3"/>
            <w:tcBorders>
              <w:top w:val="nil"/>
              <w:left w:val="single" w:sz="4" w:space="0" w:color="auto"/>
              <w:bottom w:val="nil"/>
              <w:right w:val="single" w:sz="4" w:space="0" w:color="auto"/>
            </w:tcBorders>
            <w:shd w:val="clear" w:color="000000" w:fill="C6E0B4"/>
            <w:noWrap/>
            <w:hideMark/>
          </w:tcPr>
          <w:p w:rsidR="006A6CB3" w:rsidRPr="00D0348E" w:rsidRDefault="006A6CB3" w:rsidP="006A6CB3">
            <w:pPr>
              <w:rPr>
                <w:rFonts w:ascii="Garamond" w:eastAsia="Times New Roman" w:hAnsi="Garamond" w:cs="Calibri"/>
                <w:b/>
                <w:bCs/>
                <w:color w:val="000000"/>
                <w:sz w:val="20"/>
                <w:szCs w:val="20"/>
                <w:lang w:val="en-US" w:bidi="hi-IN"/>
              </w:rPr>
            </w:pPr>
            <w:r w:rsidRPr="00D0348E">
              <w:rPr>
                <w:rFonts w:ascii="Garamond" w:eastAsia="Times New Roman" w:hAnsi="Garamond" w:cs="Calibri"/>
                <w:b/>
                <w:bCs/>
                <w:color w:val="000000"/>
                <w:sz w:val="20"/>
                <w:szCs w:val="20"/>
                <w:lang w:val="en-IN" w:bidi="hi-IN"/>
              </w:rPr>
              <w:t>Gross Turnover in Equity Derivatives Segment (</w:t>
            </w:r>
            <w:r w:rsidRPr="00D0348E">
              <w:rPr>
                <w:rFonts w:ascii="Times New Roman" w:eastAsia="Times New Roman" w:hAnsi="Times New Roman"/>
                <w:b/>
                <w:bCs/>
                <w:color w:val="000000"/>
                <w:sz w:val="20"/>
                <w:szCs w:val="20"/>
                <w:lang w:val="en-IN" w:bidi="hi-IN"/>
              </w:rPr>
              <w:t>₹</w:t>
            </w:r>
            <w:r w:rsidRPr="00D0348E">
              <w:rPr>
                <w:rFonts w:ascii="Garamond" w:eastAsia="Times New Roman" w:hAnsi="Garamond" w:cs="Calibri"/>
                <w:b/>
                <w:bCs/>
                <w:color w:val="000000"/>
                <w:sz w:val="20"/>
                <w:szCs w:val="20"/>
                <w:lang w:val="en-IN" w:bidi="hi-IN"/>
              </w:rPr>
              <w:t xml:space="preserve"> crore)</w:t>
            </w:r>
          </w:p>
        </w:tc>
        <w:tc>
          <w:tcPr>
            <w:tcW w:w="2447" w:type="dxa"/>
            <w:tcBorders>
              <w:top w:val="nil"/>
              <w:left w:val="single" w:sz="4" w:space="0" w:color="auto"/>
              <w:bottom w:val="nil"/>
              <w:right w:val="single" w:sz="4" w:space="0" w:color="auto"/>
            </w:tcBorders>
            <w:shd w:val="clear" w:color="000000" w:fill="C6E0B4"/>
            <w:noWrap/>
            <w:hideMark/>
          </w:tcPr>
          <w:p w:rsidR="006A6CB3" w:rsidRPr="00D0348E" w:rsidRDefault="006A6CB3" w:rsidP="006A6CB3">
            <w:pPr>
              <w:rPr>
                <w:rFonts w:ascii="Garamond" w:eastAsia="Times New Roman" w:hAnsi="Garamond" w:cs="Calibri"/>
                <w:b/>
                <w:bCs/>
                <w:color w:val="000000"/>
                <w:sz w:val="20"/>
                <w:szCs w:val="20"/>
                <w:lang w:val="en-US" w:bidi="hi-IN"/>
              </w:rPr>
            </w:pPr>
            <w:r w:rsidRPr="00D0348E">
              <w:rPr>
                <w:rFonts w:ascii="Garamond" w:eastAsia="Times New Roman" w:hAnsi="Garamond" w:cs="Calibri"/>
                <w:b/>
                <w:bCs/>
                <w:color w:val="000000"/>
                <w:sz w:val="20"/>
                <w:szCs w:val="20"/>
                <w:lang w:val="en-IN" w:bidi="hi-IN"/>
              </w:rPr>
              <w:t> </w:t>
            </w:r>
          </w:p>
        </w:tc>
      </w:tr>
      <w:tr w:rsidR="00D0348E" w:rsidRPr="00D0348E" w:rsidTr="004A1B8E">
        <w:trPr>
          <w:trHeight w:val="330"/>
        </w:trPr>
        <w:tc>
          <w:tcPr>
            <w:tcW w:w="1919" w:type="dxa"/>
            <w:tcBorders>
              <w:top w:val="nil"/>
              <w:left w:val="single" w:sz="4" w:space="0" w:color="auto"/>
              <w:bottom w:val="nil"/>
              <w:right w:val="single" w:sz="4" w:space="0" w:color="auto"/>
            </w:tcBorders>
            <w:shd w:val="clear" w:color="auto" w:fill="auto"/>
            <w:noWrap/>
            <w:hideMark/>
          </w:tcPr>
          <w:p w:rsidR="00D0348E" w:rsidRPr="00D0348E" w:rsidRDefault="00D0348E" w:rsidP="00D0348E">
            <w:pPr>
              <w:rPr>
                <w:rFonts w:ascii="Garamond" w:eastAsia="Times New Roman" w:hAnsi="Garamond" w:cs="Calibri"/>
                <w:color w:val="000000"/>
                <w:sz w:val="20"/>
                <w:szCs w:val="20"/>
                <w:lang w:val="en-US" w:bidi="hi-IN"/>
              </w:rPr>
            </w:pPr>
            <w:r w:rsidRPr="00D0348E">
              <w:rPr>
                <w:rFonts w:ascii="Garamond" w:eastAsia="Times New Roman" w:hAnsi="Garamond" w:cs="Calibri"/>
                <w:color w:val="000000"/>
                <w:sz w:val="20"/>
                <w:szCs w:val="20"/>
                <w:lang w:val="en-IN" w:bidi="hi-IN"/>
              </w:rPr>
              <w:t xml:space="preserve">BSE </w:t>
            </w:r>
          </w:p>
        </w:tc>
        <w:tc>
          <w:tcPr>
            <w:tcW w:w="1843" w:type="dxa"/>
            <w:tcBorders>
              <w:top w:val="nil"/>
              <w:left w:val="single" w:sz="4" w:space="0" w:color="auto"/>
              <w:bottom w:val="nil"/>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lang w:val="en-US"/>
              </w:rPr>
            </w:pPr>
            <w:r w:rsidRPr="00D0348E">
              <w:rPr>
                <w:rFonts w:ascii="Garamond" w:eastAsia="Times New Roman" w:hAnsi="Garamond" w:cs="Calibri"/>
                <w:color w:val="000000"/>
                <w:sz w:val="20"/>
                <w:szCs w:val="20"/>
              </w:rPr>
              <w:t>34,10,735</w:t>
            </w:r>
          </w:p>
        </w:tc>
        <w:tc>
          <w:tcPr>
            <w:tcW w:w="1843" w:type="dxa"/>
            <w:tcBorders>
              <w:top w:val="nil"/>
              <w:left w:val="single" w:sz="4" w:space="0" w:color="auto"/>
              <w:bottom w:val="nil"/>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rPr>
            </w:pPr>
            <w:r w:rsidRPr="00D0348E">
              <w:rPr>
                <w:rFonts w:ascii="Garamond" w:eastAsia="Times New Roman" w:hAnsi="Garamond" w:cs="Calibri"/>
                <w:color w:val="000000"/>
                <w:sz w:val="20"/>
                <w:szCs w:val="20"/>
              </w:rPr>
              <w:t xml:space="preserve"> 46,01,688 </w:t>
            </w:r>
          </w:p>
        </w:tc>
        <w:tc>
          <w:tcPr>
            <w:tcW w:w="2447" w:type="dxa"/>
            <w:tcBorders>
              <w:top w:val="nil"/>
              <w:left w:val="single" w:sz="4" w:space="0" w:color="auto"/>
              <w:bottom w:val="nil"/>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rPr>
            </w:pPr>
            <w:r w:rsidRPr="00D0348E">
              <w:rPr>
                <w:rFonts w:ascii="Garamond" w:eastAsia="Times New Roman" w:hAnsi="Garamond" w:cs="Calibri"/>
                <w:color w:val="000000"/>
                <w:sz w:val="20"/>
                <w:szCs w:val="20"/>
              </w:rPr>
              <w:t>34.9</w:t>
            </w:r>
          </w:p>
        </w:tc>
      </w:tr>
      <w:tr w:rsidR="00D0348E" w:rsidRPr="00D0348E" w:rsidTr="004A1B8E">
        <w:trPr>
          <w:trHeight w:val="330"/>
        </w:trPr>
        <w:tc>
          <w:tcPr>
            <w:tcW w:w="1919" w:type="dxa"/>
            <w:tcBorders>
              <w:top w:val="nil"/>
              <w:left w:val="single" w:sz="4" w:space="0" w:color="auto"/>
              <w:bottom w:val="single" w:sz="4" w:space="0" w:color="auto"/>
              <w:right w:val="single" w:sz="4" w:space="0" w:color="auto"/>
            </w:tcBorders>
            <w:shd w:val="clear" w:color="auto" w:fill="auto"/>
            <w:noWrap/>
            <w:hideMark/>
          </w:tcPr>
          <w:p w:rsidR="00D0348E" w:rsidRPr="00D0348E" w:rsidRDefault="00D0348E" w:rsidP="00D0348E">
            <w:pPr>
              <w:rPr>
                <w:rFonts w:ascii="Garamond" w:eastAsia="Times New Roman" w:hAnsi="Garamond" w:cs="Calibri"/>
                <w:color w:val="000000"/>
                <w:sz w:val="20"/>
                <w:szCs w:val="20"/>
                <w:lang w:val="en-US" w:bidi="hi-IN"/>
              </w:rPr>
            </w:pPr>
            <w:r w:rsidRPr="00D0348E">
              <w:rPr>
                <w:rFonts w:ascii="Garamond" w:eastAsia="Times New Roman" w:hAnsi="Garamond" w:cs="Calibri"/>
                <w:color w:val="000000"/>
                <w:sz w:val="20"/>
                <w:szCs w:val="20"/>
                <w:lang w:val="en-IN" w:bidi="hi-IN"/>
              </w:rPr>
              <w:t>NSE</w:t>
            </w:r>
          </w:p>
        </w:tc>
        <w:tc>
          <w:tcPr>
            <w:tcW w:w="1843" w:type="dxa"/>
            <w:tcBorders>
              <w:top w:val="nil"/>
              <w:left w:val="single" w:sz="4" w:space="0" w:color="auto"/>
              <w:bottom w:val="single" w:sz="4" w:space="0" w:color="auto"/>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lang w:val="en-US"/>
              </w:rPr>
            </w:pPr>
            <w:r w:rsidRPr="00D0348E">
              <w:rPr>
                <w:rFonts w:ascii="Garamond" w:eastAsia="Times New Roman" w:hAnsi="Garamond" w:cs="Calibri"/>
                <w:color w:val="000000"/>
                <w:sz w:val="20"/>
                <w:szCs w:val="20"/>
              </w:rPr>
              <w:t>14,40,74,913</w:t>
            </w:r>
          </w:p>
        </w:tc>
        <w:tc>
          <w:tcPr>
            <w:tcW w:w="1843" w:type="dxa"/>
            <w:tcBorders>
              <w:top w:val="nil"/>
              <w:left w:val="single" w:sz="4" w:space="0" w:color="auto"/>
              <w:bottom w:val="single" w:sz="4" w:space="0" w:color="auto"/>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rPr>
            </w:pPr>
            <w:r w:rsidRPr="00D0348E">
              <w:rPr>
                <w:rFonts w:ascii="Garamond" w:eastAsia="Times New Roman" w:hAnsi="Garamond" w:cs="Calibri"/>
                <w:color w:val="000000"/>
                <w:sz w:val="20"/>
                <w:szCs w:val="20"/>
              </w:rPr>
              <w:t xml:space="preserve"> 14,03,91,408 </w:t>
            </w:r>
          </w:p>
        </w:tc>
        <w:tc>
          <w:tcPr>
            <w:tcW w:w="2447" w:type="dxa"/>
            <w:tcBorders>
              <w:top w:val="nil"/>
              <w:left w:val="single" w:sz="4" w:space="0" w:color="auto"/>
              <w:bottom w:val="single" w:sz="4" w:space="0" w:color="auto"/>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rPr>
            </w:pPr>
            <w:r w:rsidRPr="00D0348E">
              <w:rPr>
                <w:rFonts w:ascii="Garamond" w:eastAsia="Times New Roman" w:hAnsi="Garamond" w:cs="Calibri"/>
                <w:color w:val="000000"/>
                <w:sz w:val="20"/>
                <w:szCs w:val="20"/>
              </w:rPr>
              <w:t>-2.6</w:t>
            </w:r>
          </w:p>
        </w:tc>
      </w:tr>
      <w:tr w:rsidR="006A6CB3" w:rsidRPr="00D0348E" w:rsidTr="004A1B8E">
        <w:trPr>
          <w:trHeight w:val="330"/>
        </w:trPr>
        <w:tc>
          <w:tcPr>
            <w:tcW w:w="8052" w:type="dxa"/>
            <w:gridSpan w:val="4"/>
            <w:tcBorders>
              <w:top w:val="single" w:sz="4" w:space="0" w:color="auto"/>
              <w:left w:val="single" w:sz="4" w:space="0" w:color="auto"/>
              <w:bottom w:val="single" w:sz="4" w:space="0" w:color="auto"/>
              <w:right w:val="single" w:sz="4" w:space="0" w:color="auto"/>
            </w:tcBorders>
            <w:shd w:val="clear" w:color="000000" w:fill="C6E0B4"/>
            <w:noWrap/>
            <w:hideMark/>
          </w:tcPr>
          <w:p w:rsidR="006A6CB3" w:rsidRPr="00D0348E" w:rsidRDefault="006A6CB3" w:rsidP="006A6CB3">
            <w:pPr>
              <w:rPr>
                <w:rFonts w:ascii="Garamond" w:eastAsia="Times New Roman" w:hAnsi="Garamond" w:cs="Calibri"/>
                <w:b/>
                <w:bCs/>
                <w:color w:val="000000"/>
                <w:sz w:val="20"/>
                <w:szCs w:val="20"/>
                <w:lang w:val="en-US" w:bidi="hi-IN"/>
              </w:rPr>
            </w:pPr>
            <w:r w:rsidRPr="00D0348E">
              <w:rPr>
                <w:rFonts w:ascii="Garamond" w:eastAsia="Times New Roman" w:hAnsi="Garamond" w:cs="Calibri"/>
                <w:b/>
                <w:bCs/>
                <w:color w:val="000000"/>
                <w:sz w:val="20"/>
                <w:szCs w:val="20"/>
                <w:lang w:val="en-IN" w:bidi="hi-IN"/>
              </w:rPr>
              <w:t>Gross Turnover in Currency Derivatives Segment (</w:t>
            </w:r>
            <w:r w:rsidRPr="00D0348E">
              <w:rPr>
                <w:rFonts w:ascii="Times New Roman" w:eastAsia="Times New Roman" w:hAnsi="Times New Roman"/>
                <w:b/>
                <w:bCs/>
                <w:color w:val="000000"/>
                <w:sz w:val="20"/>
                <w:szCs w:val="20"/>
                <w:lang w:val="en-IN" w:bidi="hi-IN"/>
              </w:rPr>
              <w:t>₹</w:t>
            </w:r>
            <w:r w:rsidRPr="00D0348E">
              <w:rPr>
                <w:rFonts w:ascii="Garamond" w:eastAsia="Times New Roman" w:hAnsi="Garamond" w:cs="Calibri"/>
                <w:b/>
                <w:bCs/>
                <w:color w:val="000000"/>
                <w:sz w:val="20"/>
                <w:szCs w:val="20"/>
                <w:lang w:val="en-IN" w:bidi="hi-IN"/>
              </w:rPr>
              <w:t xml:space="preserve"> crore)</w:t>
            </w:r>
          </w:p>
          <w:p w:rsidR="006A6CB3" w:rsidRPr="00D0348E" w:rsidRDefault="006A6CB3" w:rsidP="006A6CB3">
            <w:pPr>
              <w:rPr>
                <w:rFonts w:ascii="Garamond" w:eastAsia="Times New Roman" w:hAnsi="Garamond" w:cs="Calibri"/>
                <w:b/>
                <w:bCs/>
                <w:color w:val="000000"/>
                <w:sz w:val="20"/>
                <w:szCs w:val="20"/>
                <w:lang w:val="en-US" w:bidi="hi-IN"/>
              </w:rPr>
            </w:pPr>
          </w:p>
        </w:tc>
      </w:tr>
      <w:tr w:rsidR="00D0348E" w:rsidRPr="00D0348E" w:rsidTr="004A1B8E">
        <w:trPr>
          <w:trHeight w:val="330"/>
        </w:trPr>
        <w:tc>
          <w:tcPr>
            <w:tcW w:w="1919" w:type="dxa"/>
            <w:tcBorders>
              <w:top w:val="single" w:sz="4" w:space="0" w:color="auto"/>
              <w:left w:val="single" w:sz="4" w:space="0" w:color="auto"/>
              <w:bottom w:val="nil"/>
              <w:right w:val="single" w:sz="4" w:space="0" w:color="auto"/>
            </w:tcBorders>
            <w:shd w:val="clear" w:color="auto" w:fill="auto"/>
            <w:noWrap/>
            <w:hideMark/>
          </w:tcPr>
          <w:p w:rsidR="00D0348E" w:rsidRPr="00D0348E" w:rsidRDefault="00D0348E" w:rsidP="00D0348E">
            <w:pPr>
              <w:rPr>
                <w:rFonts w:ascii="Garamond" w:eastAsia="Times New Roman" w:hAnsi="Garamond" w:cs="Calibri"/>
                <w:color w:val="000000"/>
                <w:sz w:val="20"/>
                <w:szCs w:val="20"/>
                <w:lang w:val="en-US" w:bidi="hi-IN"/>
              </w:rPr>
            </w:pPr>
            <w:r w:rsidRPr="00D0348E">
              <w:rPr>
                <w:rFonts w:ascii="Garamond" w:eastAsia="Times New Roman" w:hAnsi="Garamond" w:cs="Calibri"/>
                <w:color w:val="000000"/>
                <w:sz w:val="20"/>
                <w:szCs w:val="20"/>
                <w:lang w:val="en-IN" w:bidi="hi-IN"/>
              </w:rPr>
              <w:t xml:space="preserve">BSE </w:t>
            </w:r>
          </w:p>
        </w:tc>
        <w:tc>
          <w:tcPr>
            <w:tcW w:w="1843" w:type="dxa"/>
            <w:tcBorders>
              <w:top w:val="single" w:sz="4" w:space="0" w:color="auto"/>
              <w:left w:val="single" w:sz="4" w:space="0" w:color="auto"/>
              <w:bottom w:val="nil"/>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lang w:val="en-US"/>
              </w:rPr>
            </w:pPr>
            <w:r w:rsidRPr="00D0348E">
              <w:rPr>
                <w:rFonts w:ascii="Garamond" w:eastAsia="Times New Roman" w:hAnsi="Garamond" w:cs="Calibri"/>
                <w:color w:val="000000"/>
                <w:sz w:val="20"/>
                <w:szCs w:val="20"/>
              </w:rPr>
              <w:t>5,31,556</w:t>
            </w:r>
          </w:p>
        </w:tc>
        <w:tc>
          <w:tcPr>
            <w:tcW w:w="1843" w:type="dxa"/>
            <w:tcBorders>
              <w:top w:val="single" w:sz="4" w:space="0" w:color="auto"/>
              <w:left w:val="single" w:sz="4" w:space="0" w:color="auto"/>
              <w:bottom w:val="nil"/>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rPr>
            </w:pPr>
            <w:r w:rsidRPr="00D0348E">
              <w:rPr>
                <w:rFonts w:ascii="Garamond" w:eastAsia="Times New Roman" w:hAnsi="Garamond" w:cs="Calibri"/>
                <w:color w:val="000000"/>
                <w:sz w:val="20"/>
                <w:szCs w:val="20"/>
              </w:rPr>
              <w:t xml:space="preserve"> 5,15,735 </w:t>
            </w:r>
          </w:p>
        </w:tc>
        <w:tc>
          <w:tcPr>
            <w:tcW w:w="2447" w:type="dxa"/>
            <w:tcBorders>
              <w:top w:val="single" w:sz="4" w:space="0" w:color="auto"/>
              <w:left w:val="single" w:sz="4" w:space="0" w:color="auto"/>
              <w:bottom w:val="nil"/>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rPr>
            </w:pPr>
            <w:r w:rsidRPr="00D0348E">
              <w:rPr>
                <w:rFonts w:ascii="Garamond" w:eastAsia="Times New Roman" w:hAnsi="Garamond" w:cs="Calibri"/>
                <w:color w:val="000000"/>
                <w:sz w:val="20"/>
                <w:szCs w:val="20"/>
              </w:rPr>
              <w:t>-3.0</w:t>
            </w:r>
          </w:p>
        </w:tc>
      </w:tr>
      <w:tr w:rsidR="00D0348E" w:rsidRPr="00D0348E" w:rsidTr="004A1B8E">
        <w:trPr>
          <w:trHeight w:val="330"/>
        </w:trPr>
        <w:tc>
          <w:tcPr>
            <w:tcW w:w="1919" w:type="dxa"/>
            <w:tcBorders>
              <w:top w:val="nil"/>
              <w:left w:val="single" w:sz="4" w:space="0" w:color="auto"/>
              <w:bottom w:val="nil"/>
              <w:right w:val="single" w:sz="4" w:space="0" w:color="auto"/>
            </w:tcBorders>
            <w:shd w:val="clear" w:color="auto" w:fill="auto"/>
            <w:noWrap/>
            <w:hideMark/>
          </w:tcPr>
          <w:p w:rsidR="00D0348E" w:rsidRPr="00D0348E" w:rsidRDefault="00D0348E" w:rsidP="00D0348E">
            <w:pPr>
              <w:rPr>
                <w:rFonts w:ascii="Garamond" w:eastAsia="Times New Roman" w:hAnsi="Garamond" w:cs="Calibri"/>
                <w:color w:val="000000"/>
                <w:sz w:val="20"/>
                <w:szCs w:val="20"/>
                <w:lang w:val="en-US" w:bidi="hi-IN"/>
              </w:rPr>
            </w:pPr>
            <w:r w:rsidRPr="00D0348E">
              <w:rPr>
                <w:rFonts w:ascii="Garamond" w:eastAsia="Times New Roman" w:hAnsi="Garamond" w:cs="Calibri"/>
                <w:color w:val="000000"/>
                <w:sz w:val="20"/>
                <w:szCs w:val="20"/>
                <w:lang w:val="en-IN" w:bidi="hi-IN"/>
              </w:rPr>
              <w:t>NSE</w:t>
            </w:r>
          </w:p>
        </w:tc>
        <w:tc>
          <w:tcPr>
            <w:tcW w:w="1843" w:type="dxa"/>
            <w:tcBorders>
              <w:top w:val="nil"/>
              <w:left w:val="single" w:sz="4" w:space="0" w:color="auto"/>
              <w:bottom w:val="nil"/>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lang w:val="en-US"/>
              </w:rPr>
            </w:pPr>
            <w:r w:rsidRPr="00D0348E">
              <w:rPr>
                <w:rFonts w:ascii="Garamond" w:eastAsia="Times New Roman" w:hAnsi="Garamond" w:cs="Calibri"/>
                <w:color w:val="000000"/>
                <w:sz w:val="20"/>
                <w:szCs w:val="20"/>
              </w:rPr>
              <w:t>14,89,316</w:t>
            </w:r>
          </w:p>
        </w:tc>
        <w:tc>
          <w:tcPr>
            <w:tcW w:w="1843" w:type="dxa"/>
            <w:tcBorders>
              <w:top w:val="nil"/>
              <w:left w:val="single" w:sz="4" w:space="0" w:color="auto"/>
              <w:bottom w:val="nil"/>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rPr>
            </w:pPr>
            <w:r w:rsidRPr="00D0348E">
              <w:rPr>
                <w:rFonts w:ascii="Garamond" w:eastAsia="Times New Roman" w:hAnsi="Garamond" w:cs="Calibri"/>
                <w:color w:val="000000"/>
                <w:sz w:val="20"/>
                <w:szCs w:val="20"/>
              </w:rPr>
              <w:t xml:space="preserve"> 17,37,277 </w:t>
            </w:r>
          </w:p>
        </w:tc>
        <w:tc>
          <w:tcPr>
            <w:tcW w:w="2447" w:type="dxa"/>
            <w:tcBorders>
              <w:top w:val="nil"/>
              <w:left w:val="single" w:sz="4" w:space="0" w:color="auto"/>
              <w:bottom w:val="nil"/>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rPr>
            </w:pPr>
            <w:r w:rsidRPr="00D0348E">
              <w:rPr>
                <w:rFonts w:ascii="Garamond" w:eastAsia="Times New Roman" w:hAnsi="Garamond" w:cs="Calibri"/>
                <w:color w:val="000000"/>
                <w:sz w:val="20"/>
                <w:szCs w:val="20"/>
              </w:rPr>
              <w:t>16.6</w:t>
            </w:r>
          </w:p>
        </w:tc>
      </w:tr>
      <w:tr w:rsidR="00D0348E" w:rsidRPr="00D0348E" w:rsidTr="004A1B8E">
        <w:trPr>
          <w:trHeight w:val="330"/>
        </w:trPr>
        <w:tc>
          <w:tcPr>
            <w:tcW w:w="1919" w:type="dxa"/>
            <w:tcBorders>
              <w:top w:val="nil"/>
              <w:left w:val="single" w:sz="4" w:space="0" w:color="auto"/>
              <w:bottom w:val="single" w:sz="4" w:space="0" w:color="auto"/>
              <w:right w:val="single" w:sz="4" w:space="0" w:color="auto"/>
            </w:tcBorders>
            <w:shd w:val="clear" w:color="auto" w:fill="auto"/>
            <w:noWrap/>
            <w:hideMark/>
          </w:tcPr>
          <w:p w:rsidR="00D0348E" w:rsidRPr="00D0348E" w:rsidRDefault="00D0348E" w:rsidP="00D0348E">
            <w:pPr>
              <w:rPr>
                <w:rFonts w:ascii="Garamond" w:eastAsia="Times New Roman" w:hAnsi="Garamond" w:cs="Calibri"/>
                <w:color w:val="000000"/>
                <w:sz w:val="20"/>
                <w:szCs w:val="20"/>
                <w:lang w:val="en-US" w:bidi="hi-IN"/>
              </w:rPr>
            </w:pPr>
            <w:r w:rsidRPr="00D0348E">
              <w:rPr>
                <w:rFonts w:ascii="Garamond" w:eastAsia="Times New Roman" w:hAnsi="Garamond" w:cs="Calibri"/>
                <w:color w:val="000000"/>
                <w:sz w:val="20"/>
                <w:szCs w:val="20"/>
                <w:lang w:val="en-IN" w:bidi="hi-IN"/>
              </w:rPr>
              <w:t>MSEI</w:t>
            </w:r>
          </w:p>
        </w:tc>
        <w:tc>
          <w:tcPr>
            <w:tcW w:w="1843" w:type="dxa"/>
            <w:tcBorders>
              <w:top w:val="nil"/>
              <w:left w:val="single" w:sz="4" w:space="0" w:color="auto"/>
              <w:bottom w:val="single" w:sz="4" w:space="0" w:color="auto"/>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lang w:val="en-US"/>
              </w:rPr>
            </w:pPr>
            <w:r w:rsidRPr="00D0348E">
              <w:rPr>
                <w:rFonts w:ascii="Garamond" w:eastAsia="Times New Roman" w:hAnsi="Garamond" w:cs="Calibri"/>
                <w:color w:val="000000"/>
                <w:sz w:val="20"/>
                <w:szCs w:val="20"/>
              </w:rPr>
              <w:t>4,618</w:t>
            </w:r>
          </w:p>
        </w:tc>
        <w:tc>
          <w:tcPr>
            <w:tcW w:w="1843" w:type="dxa"/>
            <w:tcBorders>
              <w:top w:val="nil"/>
              <w:left w:val="single" w:sz="4" w:space="0" w:color="auto"/>
              <w:bottom w:val="single" w:sz="4" w:space="0" w:color="auto"/>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rPr>
            </w:pPr>
            <w:r w:rsidRPr="00D0348E">
              <w:rPr>
                <w:rFonts w:ascii="Garamond" w:eastAsia="Times New Roman" w:hAnsi="Garamond" w:cs="Calibri"/>
                <w:color w:val="000000"/>
                <w:sz w:val="20"/>
                <w:szCs w:val="20"/>
              </w:rPr>
              <w:t>4,432</w:t>
            </w:r>
          </w:p>
        </w:tc>
        <w:tc>
          <w:tcPr>
            <w:tcW w:w="2447" w:type="dxa"/>
            <w:tcBorders>
              <w:top w:val="nil"/>
              <w:left w:val="single" w:sz="4" w:space="0" w:color="auto"/>
              <w:bottom w:val="single" w:sz="4" w:space="0" w:color="auto"/>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lang w:val="en-US"/>
              </w:rPr>
            </w:pPr>
            <w:r w:rsidRPr="00D0348E">
              <w:rPr>
                <w:rFonts w:ascii="Garamond" w:eastAsia="Times New Roman" w:hAnsi="Garamond" w:cs="Calibri"/>
                <w:color w:val="000000"/>
                <w:sz w:val="20"/>
                <w:szCs w:val="20"/>
              </w:rPr>
              <w:t>-4.03</w:t>
            </w:r>
          </w:p>
        </w:tc>
      </w:tr>
      <w:tr w:rsidR="006A6CB3" w:rsidRPr="00D0348E" w:rsidTr="004A1B8E">
        <w:trPr>
          <w:trHeight w:val="330"/>
        </w:trPr>
        <w:tc>
          <w:tcPr>
            <w:tcW w:w="8052" w:type="dxa"/>
            <w:gridSpan w:val="4"/>
            <w:tcBorders>
              <w:top w:val="single" w:sz="4" w:space="0" w:color="auto"/>
              <w:left w:val="single" w:sz="4" w:space="0" w:color="auto"/>
              <w:bottom w:val="single" w:sz="4" w:space="0" w:color="auto"/>
              <w:right w:val="single" w:sz="4" w:space="0" w:color="auto"/>
            </w:tcBorders>
            <w:shd w:val="clear" w:color="000000" w:fill="C6E0B4"/>
            <w:noWrap/>
            <w:hideMark/>
          </w:tcPr>
          <w:p w:rsidR="006A6CB3" w:rsidRPr="00D0348E" w:rsidRDefault="006A6CB3" w:rsidP="006A6CB3">
            <w:pPr>
              <w:rPr>
                <w:rFonts w:ascii="Garamond" w:eastAsia="Times New Roman" w:hAnsi="Garamond" w:cs="Calibri"/>
                <w:b/>
                <w:bCs/>
                <w:color w:val="000000"/>
                <w:sz w:val="20"/>
                <w:szCs w:val="20"/>
                <w:lang w:val="en-US" w:bidi="hi-IN"/>
              </w:rPr>
            </w:pPr>
            <w:r w:rsidRPr="00D0348E">
              <w:rPr>
                <w:rFonts w:ascii="Garamond" w:eastAsia="Times New Roman" w:hAnsi="Garamond" w:cs="Calibri"/>
                <w:b/>
                <w:bCs/>
                <w:color w:val="000000"/>
                <w:sz w:val="20"/>
                <w:szCs w:val="20"/>
                <w:lang w:val="en-IN" w:bidi="hi-IN"/>
              </w:rPr>
              <w:t>Gross Turnover in Interest Rate Derivatives Segment (</w:t>
            </w:r>
            <w:r w:rsidRPr="00D0348E">
              <w:rPr>
                <w:rFonts w:ascii="Times New Roman" w:eastAsia="Times New Roman" w:hAnsi="Times New Roman"/>
                <w:b/>
                <w:bCs/>
                <w:color w:val="000000"/>
                <w:sz w:val="20"/>
                <w:szCs w:val="20"/>
                <w:lang w:val="en-IN" w:bidi="hi-IN"/>
              </w:rPr>
              <w:t>₹</w:t>
            </w:r>
            <w:r w:rsidRPr="00D0348E">
              <w:rPr>
                <w:rFonts w:ascii="Garamond" w:eastAsia="Times New Roman" w:hAnsi="Garamond" w:cs="Calibri"/>
                <w:b/>
                <w:bCs/>
                <w:color w:val="000000"/>
                <w:sz w:val="20"/>
                <w:szCs w:val="20"/>
                <w:lang w:val="en-IN" w:bidi="hi-IN"/>
              </w:rPr>
              <w:t xml:space="preserve"> crore)</w:t>
            </w:r>
          </w:p>
          <w:p w:rsidR="006A6CB3" w:rsidRPr="00D0348E" w:rsidRDefault="006A6CB3" w:rsidP="006A6CB3">
            <w:pPr>
              <w:rPr>
                <w:rFonts w:ascii="Garamond" w:eastAsia="Times New Roman" w:hAnsi="Garamond" w:cs="Calibri"/>
                <w:b/>
                <w:bCs/>
                <w:color w:val="000000"/>
                <w:sz w:val="20"/>
                <w:szCs w:val="20"/>
                <w:lang w:val="en-US" w:bidi="hi-IN"/>
              </w:rPr>
            </w:pPr>
          </w:p>
        </w:tc>
      </w:tr>
      <w:tr w:rsidR="00D0348E" w:rsidRPr="00D0348E" w:rsidTr="004A1B8E">
        <w:trPr>
          <w:trHeight w:val="330"/>
        </w:trPr>
        <w:tc>
          <w:tcPr>
            <w:tcW w:w="1919" w:type="dxa"/>
            <w:tcBorders>
              <w:top w:val="single" w:sz="4" w:space="0" w:color="auto"/>
              <w:left w:val="single" w:sz="4" w:space="0" w:color="auto"/>
              <w:bottom w:val="nil"/>
              <w:right w:val="single" w:sz="4" w:space="0" w:color="auto"/>
            </w:tcBorders>
            <w:shd w:val="clear" w:color="auto" w:fill="auto"/>
            <w:noWrap/>
            <w:hideMark/>
          </w:tcPr>
          <w:p w:rsidR="00D0348E" w:rsidRPr="00D0348E" w:rsidRDefault="00D0348E" w:rsidP="00D0348E">
            <w:pPr>
              <w:rPr>
                <w:rFonts w:ascii="Garamond" w:eastAsia="Times New Roman" w:hAnsi="Garamond" w:cs="Calibri"/>
                <w:color w:val="000000"/>
                <w:sz w:val="20"/>
                <w:szCs w:val="20"/>
                <w:lang w:val="en-US" w:bidi="hi-IN"/>
              </w:rPr>
            </w:pPr>
            <w:r w:rsidRPr="00D0348E">
              <w:rPr>
                <w:rFonts w:ascii="Garamond" w:eastAsia="Times New Roman" w:hAnsi="Garamond" w:cs="Calibri"/>
                <w:color w:val="000000"/>
                <w:sz w:val="20"/>
                <w:szCs w:val="20"/>
                <w:lang w:val="en-IN" w:bidi="hi-IN"/>
              </w:rPr>
              <w:t xml:space="preserve">BSE </w:t>
            </w:r>
          </w:p>
        </w:tc>
        <w:tc>
          <w:tcPr>
            <w:tcW w:w="1843" w:type="dxa"/>
            <w:tcBorders>
              <w:top w:val="single" w:sz="4" w:space="0" w:color="auto"/>
              <w:left w:val="single" w:sz="4" w:space="0" w:color="auto"/>
              <w:bottom w:val="nil"/>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lang w:val="en-US"/>
              </w:rPr>
            </w:pPr>
            <w:r w:rsidRPr="00D0348E">
              <w:rPr>
                <w:rFonts w:ascii="Garamond" w:eastAsia="Times New Roman" w:hAnsi="Garamond" w:cs="Calibri"/>
                <w:color w:val="000000"/>
                <w:sz w:val="20"/>
                <w:szCs w:val="20"/>
              </w:rPr>
              <w:t>4,252</w:t>
            </w:r>
          </w:p>
        </w:tc>
        <w:tc>
          <w:tcPr>
            <w:tcW w:w="1843" w:type="dxa"/>
            <w:tcBorders>
              <w:top w:val="single" w:sz="4" w:space="0" w:color="auto"/>
              <w:left w:val="single" w:sz="4" w:space="0" w:color="auto"/>
              <w:bottom w:val="nil"/>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rPr>
            </w:pPr>
            <w:r w:rsidRPr="00D0348E">
              <w:rPr>
                <w:rFonts w:ascii="Garamond" w:eastAsia="Times New Roman" w:hAnsi="Garamond" w:cs="Calibri"/>
                <w:color w:val="000000"/>
                <w:sz w:val="20"/>
                <w:szCs w:val="20"/>
              </w:rPr>
              <w:t xml:space="preserve"> 3,297 </w:t>
            </w:r>
          </w:p>
        </w:tc>
        <w:tc>
          <w:tcPr>
            <w:tcW w:w="2447" w:type="dxa"/>
            <w:tcBorders>
              <w:top w:val="single" w:sz="4" w:space="0" w:color="auto"/>
              <w:left w:val="single" w:sz="4" w:space="0" w:color="auto"/>
              <w:bottom w:val="nil"/>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rPr>
            </w:pPr>
            <w:r w:rsidRPr="00D0348E">
              <w:rPr>
                <w:rFonts w:ascii="Garamond" w:eastAsia="Times New Roman" w:hAnsi="Garamond" w:cs="Calibri"/>
                <w:color w:val="000000"/>
                <w:sz w:val="20"/>
                <w:szCs w:val="20"/>
              </w:rPr>
              <w:t>-22.5</w:t>
            </w:r>
          </w:p>
        </w:tc>
      </w:tr>
      <w:tr w:rsidR="00D0348E" w:rsidRPr="00D0348E" w:rsidTr="004A1B8E">
        <w:trPr>
          <w:trHeight w:val="330"/>
        </w:trPr>
        <w:tc>
          <w:tcPr>
            <w:tcW w:w="1919" w:type="dxa"/>
            <w:tcBorders>
              <w:top w:val="nil"/>
              <w:left w:val="single" w:sz="4" w:space="0" w:color="auto"/>
              <w:bottom w:val="single" w:sz="4" w:space="0" w:color="auto"/>
              <w:right w:val="single" w:sz="4" w:space="0" w:color="auto"/>
            </w:tcBorders>
            <w:shd w:val="clear" w:color="auto" w:fill="auto"/>
            <w:noWrap/>
            <w:hideMark/>
          </w:tcPr>
          <w:p w:rsidR="00D0348E" w:rsidRPr="00D0348E" w:rsidRDefault="00D0348E" w:rsidP="00D0348E">
            <w:pPr>
              <w:rPr>
                <w:rFonts w:ascii="Garamond" w:eastAsia="Times New Roman" w:hAnsi="Garamond" w:cs="Calibri"/>
                <w:color w:val="000000"/>
                <w:sz w:val="20"/>
                <w:szCs w:val="20"/>
                <w:lang w:val="en-US" w:bidi="hi-IN"/>
              </w:rPr>
            </w:pPr>
            <w:r w:rsidRPr="00D0348E">
              <w:rPr>
                <w:rFonts w:ascii="Garamond" w:eastAsia="Times New Roman" w:hAnsi="Garamond" w:cs="Calibri"/>
                <w:color w:val="000000"/>
                <w:sz w:val="20"/>
                <w:szCs w:val="20"/>
                <w:lang w:val="en-IN" w:bidi="hi-IN"/>
              </w:rPr>
              <w:t>NSE</w:t>
            </w:r>
          </w:p>
        </w:tc>
        <w:tc>
          <w:tcPr>
            <w:tcW w:w="1843" w:type="dxa"/>
            <w:tcBorders>
              <w:top w:val="nil"/>
              <w:left w:val="single" w:sz="4" w:space="0" w:color="auto"/>
              <w:bottom w:val="single" w:sz="4" w:space="0" w:color="auto"/>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lang w:val="en-US"/>
              </w:rPr>
            </w:pPr>
            <w:r w:rsidRPr="00D0348E">
              <w:rPr>
                <w:rFonts w:ascii="Garamond" w:eastAsia="Times New Roman" w:hAnsi="Garamond" w:cs="Calibri"/>
                <w:color w:val="000000"/>
                <w:sz w:val="20"/>
                <w:szCs w:val="20"/>
              </w:rPr>
              <w:t>1,971</w:t>
            </w:r>
          </w:p>
        </w:tc>
        <w:tc>
          <w:tcPr>
            <w:tcW w:w="1843" w:type="dxa"/>
            <w:tcBorders>
              <w:top w:val="nil"/>
              <w:left w:val="single" w:sz="4" w:space="0" w:color="auto"/>
              <w:bottom w:val="single" w:sz="4" w:space="0" w:color="auto"/>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rPr>
            </w:pPr>
            <w:r w:rsidRPr="00D0348E">
              <w:rPr>
                <w:rFonts w:ascii="Garamond" w:eastAsia="Times New Roman" w:hAnsi="Garamond" w:cs="Calibri"/>
                <w:color w:val="000000"/>
                <w:sz w:val="20"/>
                <w:szCs w:val="20"/>
              </w:rPr>
              <w:t xml:space="preserve"> 2,280 </w:t>
            </w:r>
          </w:p>
        </w:tc>
        <w:tc>
          <w:tcPr>
            <w:tcW w:w="2447" w:type="dxa"/>
            <w:tcBorders>
              <w:top w:val="nil"/>
              <w:left w:val="single" w:sz="4" w:space="0" w:color="auto"/>
              <w:bottom w:val="single" w:sz="4" w:space="0" w:color="auto"/>
              <w:right w:val="single" w:sz="4" w:space="0" w:color="auto"/>
            </w:tcBorders>
            <w:shd w:val="clear" w:color="auto" w:fill="auto"/>
            <w:noWrap/>
            <w:hideMark/>
          </w:tcPr>
          <w:p w:rsidR="00D0348E" w:rsidRPr="00D0348E" w:rsidRDefault="00D0348E" w:rsidP="00D0348E">
            <w:pPr>
              <w:jc w:val="right"/>
              <w:rPr>
                <w:rFonts w:ascii="Garamond" w:eastAsia="Times New Roman" w:hAnsi="Garamond" w:cs="Calibri"/>
                <w:color w:val="000000"/>
                <w:sz w:val="20"/>
                <w:szCs w:val="20"/>
              </w:rPr>
            </w:pPr>
            <w:r w:rsidRPr="00D0348E">
              <w:rPr>
                <w:rFonts w:ascii="Garamond" w:eastAsia="Times New Roman" w:hAnsi="Garamond" w:cs="Calibri"/>
                <w:color w:val="000000"/>
                <w:sz w:val="20"/>
                <w:szCs w:val="20"/>
              </w:rPr>
              <w:t>15.7</w:t>
            </w:r>
          </w:p>
        </w:tc>
      </w:tr>
    </w:tbl>
    <w:p w:rsidR="006A6CB3" w:rsidRPr="006A6CB3" w:rsidRDefault="006A6CB3" w:rsidP="006A6CB3">
      <w:pPr>
        <w:pBdr>
          <w:top w:val="nil"/>
          <w:left w:val="nil"/>
          <w:bottom w:val="nil"/>
          <w:right w:val="nil"/>
          <w:between w:val="nil"/>
        </w:pBdr>
        <w:ind w:left="714"/>
        <w:jc w:val="both"/>
        <w:rPr>
          <w:rFonts w:ascii="Garamond" w:eastAsia="Palatino Linotype" w:hAnsi="Garamond" w:cs="Palatino Linotype"/>
        </w:rPr>
      </w:pPr>
    </w:p>
    <w:p w:rsidR="006A6CB3" w:rsidRPr="00D0348E" w:rsidRDefault="006A6CB3" w:rsidP="006A6CB3">
      <w:pPr>
        <w:pBdr>
          <w:top w:val="nil"/>
          <w:left w:val="nil"/>
          <w:bottom w:val="nil"/>
          <w:right w:val="nil"/>
          <w:between w:val="nil"/>
        </w:pBdr>
        <w:spacing w:line="276" w:lineRule="auto"/>
        <w:rPr>
          <w:rFonts w:ascii="Garamond" w:eastAsia="Palatino Linotype" w:hAnsi="Garamond" w:cs="Palatino Linotype"/>
          <w:bCs/>
          <w:sz w:val="22"/>
          <w:szCs w:val="22"/>
        </w:rPr>
      </w:pPr>
      <w:r w:rsidRPr="00615ED4">
        <w:rPr>
          <w:rFonts w:ascii="Garamond" w:hAnsi="Garamond"/>
          <w:sz w:val="22"/>
          <w:szCs w:val="22"/>
        </w:rPr>
        <w:t xml:space="preserve">               </w:t>
      </w:r>
      <w:r w:rsidRPr="00D0348E">
        <w:rPr>
          <w:rFonts w:ascii="Garamond" w:eastAsia="Palatino Linotype" w:hAnsi="Garamond" w:cs="Palatino Linotype"/>
          <w:b/>
          <w:sz w:val="22"/>
          <w:szCs w:val="22"/>
        </w:rPr>
        <w:t xml:space="preserve">Source: </w:t>
      </w:r>
      <w:r w:rsidRPr="00D0348E">
        <w:rPr>
          <w:rFonts w:ascii="Garamond" w:eastAsia="Palatino Linotype" w:hAnsi="Garamond" w:cs="Palatino Linotype"/>
          <w:bCs/>
          <w:sz w:val="22"/>
          <w:szCs w:val="22"/>
        </w:rPr>
        <w:t>BSE, NSE and MSEI</w:t>
      </w:r>
    </w:p>
    <w:p w:rsidR="006A6CB3" w:rsidRDefault="006A6CB3" w:rsidP="006A6CB3">
      <w:pPr>
        <w:spacing w:line="276" w:lineRule="auto"/>
        <w:rPr>
          <w:rFonts w:ascii="Garamond" w:eastAsia="Palatino Linotype" w:hAnsi="Garamond" w:cs="Palatino Linotype"/>
          <w:b/>
          <w:sz w:val="22"/>
          <w:szCs w:val="22"/>
        </w:rPr>
      </w:pPr>
    </w:p>
    <w:p w:rsidR="00C538C1" w:rsidRPr="00D0348E" w:rsidRDefault="00C538C1" w:rsidP="006A6CB3">
      <w:pPr>
        <w:spacing w:line="276" w:lineRule="auto"/>
        <w:rPr>
          <w:rFonts w:ascii="Garamond" w:eastAsia="Palatino Linotype" w:hAnsi="Garamond" w:cs="Palatino Linotype"/>
          <w:b/>
          <w:sz w:val="22"/>
          <w:szCs w:val="22"/>
        </w:rPr>
      </w:pPr>
    </w:p>
    <w:p w:rsidR="006A6CB3" w:rsidRDefault="006A6CB3" w:rsidP="006A6CB3">
      <w:pPr>
        <w:spacing w:line="276" w:lineRule="auto"/>
        <w:rPr>
          <w:rFonts w:ascii="Garamond" w:eastAsia="Palatino Linotype" w:hAnsi="Garamond" w:cs="Palatino Linotype"/>
          <w:b/>
        </w:rPr>
      </w:pPr>
    </w:p>
    <w:p w:rsidR="006A6CB3" w:rsidRPr="006A6CB3" w:rsidRDefault="006A6CB3" w:rsidP="006A6CB3">
      <w:pPr>
        <w:spacing w:line="276" w:lineRule="auto"/>
        <w:rPr>
          <w:rFonts w:ascii="Garamond" w:eastAsia="Palatino Linotype" w:hAnsi="Garamond" w:cs="Palatino Linotype"/>
          <w:b/>
        </w:rPr>
      </w:pPr>
    </w:p>
    <w:p w:rsidR="003A028D" w:rsidRDefault="003A028D" w:rsidP="006A6CB3">
      <w:pPr>
        <w:spacing w:line="276" w:lineRule="auto"/>
        <w:jc w:val="center"/>
        <w:rPr>
          <w:rFonts w:ascii="Garamond" w:eastAsia="Palatino Linotype" w:hAnsi="Garamond" w:cs="Palatino Linotype"/>
          <w:b/>
        </w:rPr>
      </w:pPr>
    </w:p>
    <w:p w:rsidR="003A028D" w:rsidRDefault="003A028D" w:rsidP="006A6CB3">
      <w:pPr>
        <w:spacing w:line="276" w:lineRule="auto"/>
        <w:jc w:val="center"/>
        <w:rPr>
          <w:rFonts w:ascii="Garamond" w:eastAsia="Palatino Linotype" w:hAnsi="Garamond" w:cs="Palatino Linotype"/>
          <w:b/>
        </w:rPr>
      </w:pPr>
    </w:p>
    <w:p w:rsidR="006A6CB3" w:rsidRPr="006A6CB3" w:rsidRDefault="006A6CB3" w:rsidP="006A6CB3">
      <w:pPr>
        <w:spacing w:line="276" w:lineRule="auto"/>
        <w:jc w:val="center"/>
        <w:rPr>
          <w:rFonts w:ascii="Garamond" w:eastAsia="Palatino Linotype" w:hAnsi="Garamond" w:cs="Palatino Linotype"/>
          <w:b/>
        </w:rPr>
      </w:pPr>
      <w:r w:rsidRPr="006A6CB3">
        <w:rPr>
          <w:rFonts w:ascii="Garamond" w:eastAsia="Palatino Linotype" w:hAnsi="Garamond" w:cs="Palatino Linotype"/>
          <w:b/>
        </w:rPr>
        <w:t>Figure 1: Movement of S&amp;P BSE Sensex and Nifty 50</w:t>
      </w:r>
    </w:p>
    <w:p w:rsidR="006A6CB3" w:rsidRPr="006A6CB3" w:rsidRDefault="00D0348E" w:rsidP="006A6CB3">
      <w:pPr>
        <w:spacing w:line="276" w:lineRule="auto"/>
        <w:jc w:val="center"/>
        <w:rPr>
          <w:rFonts w:ascii="Garamond" w:eastAsia="Palatino Linotype" w:hAnsi="Garamond" w:cs="Palatino Linotype"/>
          <w:bCs/>
        </w:rPr>
      </w:pPr>
      <w:r>
        <w:rPr>
          <w:noProof/>
          <w:lang w:val="en-IN" w:eastAsia="en-IN" w:bidi="hi-IN"/>
        </w:rPr>
        <w:drawing>
          <wp:inline distT="0" distB="0" distL="0" distR="0" wp14:anchorId="2E95F93E" wp14:editId="4A878A00">
            <wp:extent cx="5400675" cy="2533650"/>
            <wp:effectExtent l="0" t="0" r="952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A6CB3" w:rsidRPr="004A1B8E" w:rsidRDefault="006A6CB3" w:rsidP="006A6CB3">
      <w:pPr>
        <w:spacing w:line="276" w:lineRule="auto"/>
        <w:rPr>
          <w:rFonts w:ascii="Garamond" w:eastAsia="Palatino Linotype" w:hAnsi="Garamond" w:cs="Palatino Linotype"/>
          <w:bCs/>
          <w:sz w:val="20"/>
          <w:szCs w:val="20"/>
        </w:rPr>
      </w:pPr>
      <w:r w:rsidRPr="004A1B8E">
        <w:rPr>
          <w:rFonts w:ascii="Garamond" w:eastAsia="Palatino Linotype" w:hAnsi="Garamond" w:cs="Palatino Linotype"/>
          <w:bCs/>
          <w:sz w:val="20"/>
          <w:szCs w:val="20"/>
        </w:rPr>
        <w:t xml:space="preserve">Note: The closing values of </w:t>
      </w:r>
      <w:r w:rsidR="003A028D">
        <w:rPr>
          <w:rFonts w:ascii="Garamond" w:eastAsia="Palatino Linotype" w:hAnsi="Garamond" w:cs="Palatino Linotype"/>
          <w:bCs/>
          <w:sz w:val="20"/>
          <w:szCs w:val="20"/>
        </w:rPr>
        <w:t>indices</w:t>
      </w:r>
      <w:r w:rsidRPr="004A1B8E">
        <w:rPr>
          <w:rFonts w:ascii="Garamond" w:eastAsia="Palatino Linotype" w:hAnsi="Garamond" w:cs="Palatino Linotype"/>
          <w:bCs/>
          <w:sz w:val="20"/>
          <w:szCs w:val="20"/>
        </w:rPr>
        <w:t xml:space="preserve"> have been rebased with respective closing values of last </w:t>
      </w:r>
      <w:r w:rsidR="003A028D">
        <w:rPr>
          <w:rFonts w:ascii="Garamond" w:eastAsia="Palatino Linotype" w:hAnsi="Garamond" w:cs="Palatino Linotype"/>
          <w:bCs/>
          <w:sz w:val="20"/>
          <w:szCs w:val="20"/>
        </w:rPr>
        <w:t xml:space="preserve">trading </w:t>
      </w:r>
      <w:r w:rsidRPr="004A1B8E">
        <w:rPr>
          <w:rFonts w:ascii="Garamond" w:eastAsia="Palatino Linotype" w:hAnsi="Garamond" w:cs="Palatino Linotype"/>
          <w:bCs/>
          <w:sz w:val="20"/>
          <w:szCs w:val="20"/>
        </w:rPr>
        <w:t xml:space="preserve">day of </w:t>
      </w:r>
      <w:r w:rsidR="003A028D">
        <w:rPr>
          <w:rFonts w:ascii="Garamond" w:eastAsia="Palatino Linotype" w:hAnsi="Garamond" w:cs="Palatino Linotype"/>
          <w:bCs/>
          <w:sz w:val="20"/>
          <w:szCs w:val="20"/>
        </w:rPr>
        <w:t>October 2020.</w:t>
      </w:r>
    </w:p>
    <w:p w:rsidR="006A6CB3" w:rsidRPr="004A1B8E" w:rsidRDefault="006A6CB3" w:rsidP="006A6CB3">
      <w:pPr>
        <w:spacing w:line="276" w:lineRule="auto"/>
        <w:rPr>
          <w:rFonts w:ascii="Garamond" w:eastAsia="Palatino Linotype" w:hAnsi="Garamond" w:cs="Palatino Linotype"/>
          <w:b/>
          <w:sz w:val="20"/>
          <w:szCs w:val="20"/>
        </w:rPr>
      </w:pPr>
      <w:r w:rsidRPr="004A1B8E">
        <w:rPr>
          <w:rFonts w:ascii="Garamond" w:eastAsia="Palatino Linotype" w:hAnsi="Garamond" w:cs="Palatino Linotype"/>
          <w:b/>
          <w:sz w:val="20"/>
          <w:szCs w:val="20"/>
        </w:rPr>
        <w:t xml:space="preserve">Source: </w:t>
      </w:r>
      <w:r w:rsidRPr="004A1B8E">
        <w:rPr>
          <w:rFonts w:ascii="Garamond" w:eastAsia="Palatino Linotype" w:hAnsi="Garamond" w:cs="Palatino Linotype"/>
          <w:bCs/>
          <w:sz w:val="20"/>
          <w:szCs w:val="20"/>
        </w:rPr>
        <w:t>BSE and NSE</w:t>
      </w:r>
    </w:p>
    <w:p w:rsidR="006A6CB3" w:rsidRPr="006A6CB3" w:rsidRDefault="006A6CB3" w:rsidP="006A6CB3">
      <w:pPr>
        <w:spacing w:line="276" w:lineRule="auto"/>
        <w:jc w:val="center"/>
        <w:rPr>
          <w:rFonts w:ascii="Garamond" w:eastAsia="Palatino Linotype" w:hAnsi="Garamond" w:cs="Palatino Linotype"/>
          <w:b/>
        </w:rPr>
      </w:pPr>
    </w:p>
    <w:p w:rsidR="006A6CB3" w:rsidRPr="006A6CB3" w:rsidRDefault="006A6CB3" w:rsidP="006A6CB3">
      <w:pPr>
        <w:pBdr>
          <w:top w:val="nil"/>
          <w:left w:val="nil"/>
          <w:bottom w:val="nil"/>
          <w:right w:val="nil"/>
          <w:between w:val="nil"/>
        </w:pBdr>
        <w:spacing w:line="276" w:lineRule="auto"/>
        <w:ind w:left="720" w:hanging="720"/>
        <w:jc w:val="center"/>
        <w:rPr>
          <w:rFonts w:ascii="Garamond" w:eastAsia="Palatino Linotype" w:hAnsi="Garamond" w:cs="Palatino Linotype"/>
          <w:b/>
        </w:rPr>
      </w:pPr>
      <w:r w:rsidRPr="006A6CB3">
        <w:rPr>
          <w:rFonts w:ascii="Garamond" w:eastAsia="Palatino Linotype" w:hAnsi="Garamond" w:cs="Palatino Linotype"/>
          <w:b/>
        </w:rPr>
        <w:t>Figure 2: Trends in Average Daily Turnover of NSE Equity and BSE Equity Cash Segment</w:t>
      </w:r>
    </w:p>
    <w:p w:rsidR="006A6CB3" w:rsidRPr="006A6CB3" w:rsidRDefault="00D0348E" w:rsidP="006A6CB3">
      <w:pPr>
        <w:pBdr>
          <w:top w:val="nil"/>
          <w:left w:val="nil"/>
          <w:bottom w:val="nil"/>
          <w:right w:val="nil"/>
          <w:between w:val="nil"/>
        </w:pBdr>
        <w:spacing w:line="276" w:lineRule="auto"/>
        <w:ind w:left="720" w:hanging="720"/>
        <w:jc w:val="center"/>
        <w:rPr>
          <w:rFonts w:ascii="Garamond" w:eastAsia="Palatino Linotype" w:hAnsi="Garamond" w:cs="Palatino Linotype"/>
          <w:b/>
        </w:rPr>
      </w:pPr>
      <w:r w:rsidRPr="00876A08">
        <w:rPr>
          <w:noProof/>
          <w:lang w:val="en-IN" w:eastAsia="en-IN" w:bidi="hi-IN"/>
        </w:rPr>
        <w:drawing>
          <wp:inline distT="0" distB="0" distL="0" distR="0" wp14:anchorId="4CC610F8" wp14:editId="6585D44E">
            <wp:extent cx="5731510" cy="2486025"/>
            <wp:effectExtent l="0" t="0" r="2540" b="9525"/>
            <wp:docPr id="12" name="Chart 12">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A6CB3" w:rsidRPr="004A1B8E" w:rsidRDefault="00C6374C" w:rsidP="006A6CB3">
      <w:pPr>
        <w:spacing w:line="276" w:lineRule="auto"/>
        <w:rPr>
          <w:rFonts w:ascii="Garamond" w:eastAsia="Palatino Linotype" w:hAnsi="Garamond" w:cs="Palatino Linotype"/>
          <w:bCs/>
          <w:sz w:val="20"/>
          <w:szCs w:val="20"/>
        </w:rPr>
      </w:pPr>
      <w:r>
        <w:rPr>
          <w:rFonts w:ascii="Garamond" w:eastAsia="Palatino Linotype" w:hAnsi="Garamond" w:cs="Palatino Linotype"/>
          <w:bCs/>
          <w:sz w:val="22"/>
          <w:szCs w:val="22"/>
        </w:rPr>
        <w:t xml:space="preserve">     </w:t>
      </w:r>
      <w:r w:rsidR="006A6CB3" w:rsidRPr="004A1B8E">
        <w:rPr>
          <w:rFonts w:ascii="Garamond" w:eastAsia="Palatino Linotype" w:hAnsi="Garamond" w:cs="Palatino Linotype"/>
          <w:bCs/>
          <w:sz w:val="20"/>
          <w:szCs w:val="20"/>
        </w:rPr>
        <w:t>Note: ADV implies Average Daily Values and ADT implies Average Daily Turnover</w:t>
      </w:r>
    </w:p>
    <w:p w:rsidR="006A6CB3" w:rsidRPr="004A1B8E" w:rsidRDefault="00C6374C" w:rsidP="006A6CB3">
      <w:pPr>
        <w:spacing w:line="276" w:lineRule="auto"/>
        <w:rPr>
          <w:rFonts w:ascii="Garamond" w:eastAsia="Palatino Linotype" w:hAnsi="Garamond" w:cs="Palatino Linotype"/>
          <w:bCs/>
          <w:sz w:val="20"/>
          <w:szCs w:val="20"/>
        </w:rPr>
      </w:pPr>
      <w:r w:rsidRPr="004A1B8E">
        <w:rPr>
          <w:rFonts w:ascii="Garamond" w:eastAsia="Palatino Linotype" w:hAnsi="Garamond" w:cs="Palatino Linotype"/>
          <w:b/>
          <w:sz w:val="20"/>
          <w:szCs w:val="20"/>
        </w:rPr>
        <w:t xml:space="preserve">      </w:t>
      </w:r>
      <w:r w:rsidR="006A6CB3" w:rsidRPr="004A1B8E">
        <w:rPr>
          <w:rFonts w:ascii="Garamond" w:eastAsia="Palatino Linotype" w:hAnsi="Garamond" w:cs="Palatino Linotype"/>
          <w:b/>
          <w:sz w:val="20"/>
          <w:szCs w:val="20"/>
        </w:rPr>
        <w:t xml:space="preserve">Source: </w:t>
      </w:r>
      <w:r w:rsidR="006A6CB3" w:rsidRPr="004A1B8E">
        <w:rPr>
          <w:rFonts w:ascii="Garamond" w:eastAsia="Palatino Linotype" w:hAnsi="Garamond" w:cs="Palatino Linotype"/>
          <w:bCs/>
          <w:sz w:val="20"/>
          <w:szCs w:val="20"/>
        </w:rPr>
        <w:t>BSE and NSE</w:t>
      </w:r>
    </w:p>
    <w:p w:rsidR="006A6CB3" w:rsidRPr="004A1B8E" w:rsidRDefault="006A6CB3" w:rsidP="006A6CB3">
      <w:pPr>
        <w:spacing w:line="276" w:lineRule="auto"/>
        <w:rPr>
          <w:rFonts w:ascii="Garamond" w:eastAsia="Palatino Linotype" w:hAnsi="Garamond" w:cs="Palatino Linotype"/>
          <w:b/>
          <w:sz w:val="20"/>
          <w:szCs w:val="20"/>
        </w:rPr>
      </w:pPr>
    </w:p>
    <w:p w:rsidR="00D0348E" w:rsidRPr="00C6045B" w:rsidRDefault="00D0348E" w:rsidP="00D0348E">
      <w:pPr>
        <w:numPr>
          <w:ilvl w:val="0"/>
          <w:numId w:val="1"/>
        </w:numPr>
        <w:spacing w:line="276" w:lineRule="auto"/>
        <w:jc w:val="both"/>
        <w:rPr>
          <w:rFonts w:ascii="Garamond" w:eastAsia="Palatino Linotype" w:hAnsi="Garamond" w:cs="Palatino Linotype"/>
        </w:rPr>
      </w:pPr>
      <w:r w:rsidRPr="00C6045B">
        <w:rPr>
          <w:rFonts w:ascii="Garamond" w:eastAsia="Palatino Linotype" w:hAnsi="Garamond" w:cs="Palatino Linotype"/>
        </w:rPr>
        <w:t xml:space="preserve">The gross turnover in the equity cash segment increased by 3.7 per cent and 13.1 per cent respectively at BSE and NSE in October 2021 over previous month. </w:t>
      </w:r>
    </w:p>
    <w:p w:rsidR="00D0348E" w:rsidRPr="00C6045B" w:rsidRDefault="00D0348E" w:rsidP="00D0348E">
      <w:pPr>
        <w:spacing w:line="276" w:lineRule="auto"/>
        <w:jc w:val="both"/>
        <w:rPr>
          <w:rFonts w:ascii="Garamond" w:eastAsia="Palatino Linotype" w:hAnsi="Garamond" w:cs="Palatino Linotype"/>
        </w:rPr>
      </w:pPr>
    </w:p>
    <w:p w:rsidR="00D0348E" w:rsidRPr="00C6045B" w:rsidRDefault="00C538C1" w:rsidP="00D0348E">
      <w:pPr>
        <w:numPr>
          <w:ilvl w:val="0"/>
          <w:numId w:val="1"/>
        </w:numPr>
        <w:spacing w:line="276" w:lineRule="auto"/>
        <w:jc w:val="both"/>
        <w:rPr>
          <w:rFonts w:ascii="Garamond" w:eastAsia="Palatino Linotype" w:hAnsi="Garamond" w:cs="Palatino Linotype"/>
        </w:rPr>
      </w:pPr>
      <w:r>
        <w:rPr>
          <w:rFonts w:ascii="Garamond" w:eastAsia="Palatino Linotype" w:hAnsi="Garamond" w:cs="Palatino Linotype"/>
        </w:rPr>
        <w:t xml:space="preserve">All </w:t>
      </w:r>
      <w:r w:rsidR="00D0348E" w:rsidRPr="00C6045B">
        <w:rPr>
          <w:rFonts w:ascii="Garamond" w:eastAsia="Palatino Linotype" w:hAnsi="Garamond" w:cs="Palatino Linotype"/>
        </w:rPr>
        <w:t>the selected BSE sectoral indices (Figure 4) registered positive returns with the exception of BSE Metal, BSE Oil</w:t>
      </w:r>
      <w:r>
        <w:rPr>
          <w:rFonts w:ascii="Garamond" w:eastAsia="Palatino Linotype" w:hAnsi="Garamond" w:cs="Palatino Linotype"/>
        </w:rPr>
        <w:t xml:space="preserve"> </w:t>
      </w:r>
      <w:r w:rsidR="00D0348E" w:rsidRPr="00C6045B">
        <w:rPr>
          <w:rFonts w:ascii="Garamond" w:eastAsia="Palatino Linotype" w:hAnsi="Garamond" w:cs="Palatino Linotype"/>
        </w:rPr>
        <w:t>&amp;</w:t>
      </w:r>
      <w:r>
        <w:rPr>
          <w:rFonts w:ascii="Garamond" w:eastAsia="Palatino Linotype" w:hAnsi="Garamond" w:cs="Palatino Linotype"/>
        </w:rPr>
        <w:t xml:space="preserve"> </w:t>
      </w:r>
      <w:r w:rsidR="00D0348E" w:rsidRPr="00C6045B">
        <w:rPr>
          <w:rFonts w:ascii="Garamond" w:eastAsia="Palatino Linotype" w:hAnsi="Garamond" w:cs="Palatino Linotype"/>
        </w:rPr>
        <w:t>Gas, BSE Teck and BSE Realty index during the month. Of the indices showing positive uptrend, BSE Auto led the pack with 6.2 per cent increase over end of September 2021 level. The average daily volatility and monthly returns for these select BSE indices for October 2021 are illustrated in Figure </w:t>
      </w:r>
      <w:r w:rsidR="003A028D">
        <w:rPr>
          <w:rFonts w:ascii="Garamond" w:eastAsia="Palatino Linotype" w:hAnsi="Garamond" w:cs="Palatino Linotype"/>
        </w:rPr>
        <w:t>3</w:t>
      </w:r>
      <w:r w:rsidR="00D0348E" w:rsidRPr="00C6045B">
        <w:rPr>
          <w:rFonts w:ascii="Garamond" w:eastAsia="Palatino Linotype" w:hAnsi="Garamond" w:cs="Palatino Linotype"/>
        </w:rPr>
        <w:t>.</w:t>
      </w:r>
    </w:p>
    <w:p w:rsidR="006A6CB3" w:rsidRPr="006A6CB3" w:rsidRDefault="006A6CB3" w:rsidP="006A6CB3">
      <w:pPr>
        <w:spacing w:line="276" w:lineRule="auto"/>
        <w:jc w:val="center"/>
        <w:rPr>
          <w:rFonts w:ascii="Garamond" w:eastAsia="Palatino Linotype" w:hAnsi="Garamond" w:cs="Palatino Linotype"/>
          <w:b/>
        </w:rPr>
      </w:pPr>
    </w:p>
    <w:p w:rsidR="003A028D" w:rsidRDefault="003A028D" w:rsidP="006A6CB3">
      <w:pPr>
        <w:spacing w:line="276" w:lineRule="auto"/>
        <w:jc w:val="center"/>
        <w:rPr>
          <w:rFonts w:ascii="Garamond" w:eastAsia="Palatino Linotype" w:hAnsi="Garamond" w:cs="Palatino Linotype"/>
          <w:b/>
        </w:rPr>
      </w:pPr>
    </w:p>
    <w:p w:rsidR="006A6CB3" w:rsidRPr="006A6CB3" w:rsidRDefault="006A6CB3" w:rsidP="006A6CB3">
      <w:pPr>
        <w:spacing w:line="276" w:lineRule="auto"/>
        <w:jc w:val="center"/>
        <w:rPr>
          <w:rFonts w:ascii="Garamond" w:eastAsia="Palatino Linotype" w:hAnsi="Garamond" w:cs="Palatino Linotype"/>
          <w:b/>
        </w:rPr>
      </w:pPr>
      <w:r w:rsidRPr="006A6CB3">
        <w:rPr>
          <w:rFonts w:ascii="Garamond" w:eastAsia="Palatino Linotype" w:hAnsi="Garamond" w:cs="Palatino Linotype"/>
          <w:b/>
        </w:rPr>
        <w:t xml:space="preserve">Figure </w:t>
      </w:r>
      <w:r w:rsidR="003A028D">
        <w:rPr>
          <w:rFonts w:ascii="Garamond" w:eastAsia="Palatino Linotype" w:hAnsi="Garamond" w:cs="Palatino Linotype"/>
          <w:b/>
        </w:rPr>
        <w:t>3</w:t>
      </w:r>
      <w:r w:rsidRPr="006A6CB3">
        <w:rPr>
          <w:rFonts w:ascii="Garamond" w:eastAsia="Palatino Linotype" w:hAnsi="Garamond" w:cs="Palatino Linotype"/>
          <w:b/>
        </w:rPr>
        <w:t xml:space="preserve">: Trends of BSE Sectoral Indices during </w:t>
      </w:r>
      <w:r w:rsidR="00D0348E">
        <w:rPr>
          <w:rFonts w:ascii="Garamond" w:eastAsia="Palatino Linotype" w:hAnsi="Garamond" w:cs="Palatino Linotype"/>
          <w:b/>
        </w:rPr>
        <w:t>October</w:t>
      </w:r>
      <w:r w:rsidRPr="006A6CB3">
        <w:rPr>
          <w:rFonts w:ascii="Garamond" w:eastAsia="Palatino Linotype" w:hAnsi="Garamond" w:cs="Palatino Linotype"/>
          <w:b/>
        </w:rPr>
        <w:t xml:space="preserve"> 2021 (per cent)</w:t>
      </w:r>
    </w:p>
    <w:p w:rsidR="006A6CB3" w:rsidRPr="006A6CB3" w:rsidRDefault="00D0348E" w:rsidP="006A6CB3">
      <w:pPr>
        <w:spacing w:line="276" w:lineRule="auto"/>
        <w:jc w:val="center"/>
        <w:rPr>
          <w:rFonts w:ascii="Garamond" w:eastAsia="Palatino Linotype" w:hAnsi="Garamond" w:cs="Palatino Linotype"/>
          <w:b/>
        </w:rPr>
      </w:pPr>
      <w:r w:rsidRPr="00681553">
        <w:rPr>
          <w:noProof/>
          <w:lang w:val="en-IN" w:eastAsia="en-IN" w:bidi="hi-IN"/>
        </w:rPr>
        <w:drawing>
          <wp:inline distT="0" distB="0" distL="0" distR="0" wp14:anchorId="5A2EA8D9" wp14:editId="4B1077FB">
            <wp:extent cx="5648325" cy="2047875"/>
            <wp:effectExtent l="0" t="0" r="9525" b="9525"/>
            <wp:docPr id="19" name="Chart 19">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A6CB3" w:rsidRPr="006A6CB3" w:rsidRDefault="006A6CB3" w:rsidP="006A6CB3">
      <w:pPr>
        <w:spacing w:line="276" w:lineRule="auto"/>
        <w:rPr>
          <w:rFonts w:ascii="Garamond" w:eastAsia="Palatino Linotype" w:hAnsi="Garamond" w:cs="Palatino Linotype"/>
          <w:b/>
        </w:rPr>
      </w:pPr>
      <w:r w:rsidRPr="006A6CB3">
        <w:rPr>
          <w:rFonts w:ascii="Garamond" w:eastAsia="Palatino Linotype" w:hAnsi="Garamond" w:cs="Palatino Linotype"/>
          <w:b/>
        </w:rPr>
        <w:t xml:space="preserve">       </w:t>
      </w:r>
      <w:r w:rsidRPr="006A6CB3">
        <w:rPr>
          <w:rFonts w:ascii="Garamond" w:eastAsia="Palatino Linotype" w:hAnsi="Garamond" w:cs="Palatino Linotype"/>
          <w:b/>
        </w:rPr>
        <w:tab/>
      </w:r>
      <w:r w:rsidRPr="00C6374C">
        <w:rPr>
          <w:rFonts w:ascii="Garamond" w:eastAsia="Palatino Linotype" w:hAnsi="Garamond" w:cs="Palatino Linotype"/>
          <w:b/>
          <w:sz w:val="22"/>
          <w:szCs w:val="22"/>
        </w:rPr>
        <w:t>Source:</w:t>
      </w:r>
      <w:r w:rsidRPr="006A6CB3">
        <w:rPr>
          <w:rFonts w:ascii="Garamond" w:eastAsia="Palatino Linotype" w:hAnsi="Garamond" w:cs="Palatino Linotype"/>
          <w:b/>
        </w:rPr>
        <w:t xml:space="preserve"> </w:t>
      </w:r>
      <w:r w:rsidRPr="00C6374C">
        <w:rPr>
          <w:rFonts w:ascii="Garamond" w:eastAsia="Palatino Linotype" w:hAnsi="Garamond" w:cs="Palatino Linotype"/>
          <w:bCs/>
        </w:rPr>
        <w:t>BSE</w:t>
      </w:r>
    </w:p>
    <w:p w:rsidR="006A6CB3" w:rsidRPr="006A6CB3" w:rsidRDefault="006A6CB3" w:rsidP="006A6CB3">
      <w:pPr>
        <w:pBdr>
          <w:top w:val="nil"/>
          <w:left w:val="nil"/>
          <w:bottom w:val="nil"/>
          <w:right w:val="nil"/>
          <w:between w:val="nil"/>
        </w:pBdr>
        <w:spacing w:line="276" w:lineRule="auto"/>
        <w:ind w:left="709" w:hanging="720"/>
        <w:rPr>
          <w:rFonts w:ascii="Garamond" w:eastAsia="Palatino Linotype" w:hAnsi="Garamond" w:cs="Palatino Linotype"/>
          <w:b/>
          <w:color w:val="2E74B5"/>
        </w:rPr>
      </w:pPr>
    </w:p>
    <w:p w:rsidR="00D0348E" w:rsidRPr="00486585" w:rsidRDefault="00D0348E" w:rsidP="00D0348E">
      <w:pPr>
        <w:numPr>
          <w:ilvl w:val="0"/>
          <w:numId w:val="1"/>
        </w:numPr>
        <w:pBdr>
          <w:between w:val="nil"/>
        </w:pBdr>
        <w:spacing w:line="276" w:lineRule="auto"/>
        <w:jc w:val="both"/>
        <w:rPr>
          <w:rFonts w:ascii="Garamond" w:eastAsia="Palatino Linotype" w:hAnsi="Garamond" w:cs="Palatino Linotype"/>
        </w:rPr>
      </w:pPr>
      <w:r w:rsidRPr="006E7202">
        <w:rPr>
          <w:rFonts w:ascii="Garamond" w:eastAsia="Palatino Linotype" w:hAnsi="Garamond" w:cs="Palatino Linotype"/>
        </w:rPr>
        <w:t>Similarly, during October 2021,</w:t>
      </w:r>
      <w:r w:rsidRPr="00486585">
        <w:rPr>
          <w:rFonts w:ascii="Garamond" w:eastAsia="Palatino Linotype" w:hAnsi="Garamond" w:cs="Palatino Linotype"/>
        </w:rPr>
        <w:t xml:space="preserve"> among the select sectoral indices of the NSE, Nifty PSU increased by 13.8 per cent, followed by Nifty Bank (4.5 per cent) and Nifty Energy (1.7 per cent). The average daily volatility and monthly returns of these select NSE indices for October 2021 are illustrated in Figure </w:t>
      </w:r>
      <w:r w:rsidR="003A028D">
        <w:rPr>
          <w:rFonts w:ascii="Garamond" w:eastAsia="Palatino Linotype" w:hAnsi="Garamond" w:cs="Palatino Linotype"/>
        </w:rPr>
        <w:t>4</w:t>
      </w:r>
      <w:r w:rsidRPr="00486585">
        <w:rPr>
          <w:rFonts w:ascii="Garamond" w:eastAsia="Palatino Linotype" w:hAnsi="Garamond" w:cs="Palatino Linotype"/>
        </w:rPr>
        <w:t>.</w:t>
      </w:r>
    </w:p>
    <w:p w:rsidR="00D0348E" w:rsidRPr="00891713" w:rsidRDefault="00D0348E" w:rsidP="00D0348E">
      <w:pPr>
        <w:pBdr>
          <w:between w:val="nil"/>
        </w:pBdr>
        <w:spacing w:line="276" w:lineRule="auto"/>
        <w:jc w:val="center"/>
        <w:rPr>
          <w:rFonts w:ascii="Garamond" w:eastAsia="Palatino Linotype" w:hAnsi="Garamond" w:cs="Palatino Linotype"/>
          <w:b/>
          <w:color w:val="2E74B5"/>
        </w:rPr>
      </w:pPr>
    </w:p>
    <w:p w:rsidR="00D0348E" w:rsidRDefault="00D0348E" w:rsidP="00D0348E">
      <w:pPr>
        <w:pBdr>
          <w:between w:val="nil"/>
        </w:pBdr>
        <w:spacing w:line="276" w:lineRule="auto"/>
        <w:jc w:val="center"/>
        <w:rPr>
          <w:rFonts w:ascii="Garamond" w:eastAsia="Palatino Linotype" w:hAnsi="Garamond" w:cs="Palatino Linotype"/>
          <w:b/>
        </w:rPr>
      </w:pPr>
      <w:r w:rsidRPr="00891713">
        <w:rPr>
          <w:rFonts w:ascii="Garamond" w:eastAsia="Palatino Linotype" w:hAnsi="Garamond" w:cs="Palatino Linotype"/>
          <w:b/>
        </w:rPr>
        <w:t xml:space="preserve">Figure </w:t>
      </w:r>
      <w:r w:rsidR="003A028D">
        <w:rPr>
          <w:rFonts w:ascii="Garamond" w:eastAsia="Palatino Linotype" w:hAnsi="Garamond" w:cs="Palatino Linotype"/>
          <w:b/>
        </w:rPr>
        <w:t>4</w:t>
      </w:r>
      <w:r w:rsidRPr="00891713">
        <w:rPr>
          <w:rFonts w:ascii="Garamond" w:eastAsia="Palatino Linotype" w:hAnsi="Garamond" w:cs="Palatino Linotype"/>
          <w:b/>
        </w:rPr>
        <w:t xml:space="preserve">: Trends of NSE Sectoral Indices during </w:t>
      </w:r>
      <w:r>
        <w:rPr>
          <w:rFonts w:ascii="Garamond" w:eastAsia="Palatino Linotype" w:hAnsi="Garamond" w:cs="Palatino Linotype"/>
          <w:b/>
        </w:rPr>
        <w:t>October</w:t>
      </w:r>
      <w:r w:rsidRPr="00891713">
        <w:rPr>
          <w:rFonts w:ascii="Garamond" w:eastAsia="Palatino Linotype" w:hAnsi="Garamond" w:cs="Palatino Linotype"/>
          <w:b/>
        </w:rPr>
        <w:t xml:space="preserve"> 2021 (per cent)</w:t>
      </w:r>
    </w:p>
    <w:p w:rsidR="006A6CB3" w:rsidRPr="006A6CB3" w:rsidRDefault="00D0348E" w:rsidP="006A6CB3">
      <w:pPr>
        <w:pBdr>
          <w:top w:val="nil"/>
          <w:left w:val="nil"/>
          <w:bottom w:val="nil"/>
          <w:right w:val="nil"/>
          <w:between w:val="nil"/>
        </w:pBdr>
        <w:spacing w:line="276" w:lineRule="auto"/>
        <w:jc w:val="center"/>
        <w:rPr>
          <w:rFonts w:ascii="Garamond" w:eastAsia="Palatino Linotype" w:hAnsi="Garamond" w:cs="Palatino Linotype"/>
          <w:b/>
          <w:color w:val="2E74B5"/>
        </w:rPr>
      </w:pPr>
      <w:r>
        <w:rPr>
          <w:noProof/>
          <w:lang w:val="en-IN" w:eastAsia="en-IN" w:bidi="hi-IN"/>
        </w:rPr>
        <w:drawing>
          <wp:inline distT="0" distB="0" distL="0" distR="0" wp14:anchorId="51D7A848" wp14:editId="595FB2AA">
            <wp:extent cx="5876925" cy="1990725"/>
            <wp:effectExtent l="0" t="0" r="9525" b="9525"/>
            <wp:docPr id="17" name="Chart 17">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87232" w:rsidRDefault="006A6CB3" w:rsidP="004A1B8E">
      <w:pPr>
        <w:spacing w:line="276" w:lineRule="auto"/>
        <w:rPr>
          <w:rFonts w:ascii="Garamond" w:eastAsia="Palatino Linotype" w:hAnsi="Garamond" w:cs="Palatino Linotype"/>
          <w:b/>
        </w:rPr>
      </w:pPr>
      <w:r w:rsidRPr="006A6CB3">
        <w:rPr>
          <w:rFonts w:ascii="Garamond" w:eastAsia="Palatino Linotype" w:hAnsi="Garamond" w:cs="Palatino Linotype"/>
          <w:b/>
        </w:rPr>
        <w:t xml:space="preserve">      </w:t>
      </w:r>
      <w:r w:rsidRPr="006A6CB3">
        <w:rPr>
          <w:rFonts w:ascii="Garamond" w:eastAsia="Palatino Linotype" w:hAnsi="Garamond" w:cs="Palatino Linotype"/>
          <w:b/>
        </w:rPr>
        <w:tab/>
      </w:r>
      <w:r w:rsidRPr="006A6CB3">
        <w:rPr>
          <w:rFonts w:ascii="Garamond" w:eastAsia="Palatino Linotype" w:hAnsi="Garamond" w:cs="Palatino Linotype"/>
          <w:b/>
        </w:rPr>
        <w:tab/>
      </w:r>
      <w:r w:rsidRPr="00087232">
        <w:rPr>
          <w:rFonts w:ascii="Garamond" w:eastAsia="Palatino Linotype" w:hAnsi="Garamond" w:cs="Palatino Linotype"/>
          <w:b/>
          <w:sz w:val="22"/>
          <w:szCs w:val="22"/>
        </w:rPr>
        <w:t xml:space="preserve">Source: </w:t>
      </w:r>
      <w:r w:rsidRPr="00087232">
        <w:rPr>
          <w:rFonts w:ascii="Garamond" w:eastAsia="Palatino Linotype" w:hAnsi="Garamond" w:cs="Palatino Linotype"/>
          <w:bCs/>
          <w:sz w:val="22"/>
          <w:szCs w:val="22"/>
        </w:rPr>
        <w:t>NSE</w:t>
      </w:r>
    </w:p>
    <w:p w:rsidR="00087232" w:rsidRPr="006A6CB3" w:rsidRDefault="00087232" w:rsidP="006A6CB3">
      <w:pPr>
        <w:pBdr>
          <w:top w:val="nil"/>
          <w:left w:val="nil"/>
          <w:bottom w:val="nil"/>
          <w:right w:val="nil"/>
          <w:between w:val="nil"/>
        </w:pBdr>
        <w:spacing w:line="276" w:lineRule="auto"/>
        <w:rPr>
          <w:rFonts w:ascii="Garamond" w:eastAsia="Palatino Linotype" w:hAnsi="Garamond" w:cs="Palatino Linotype"/>
          <w:b/>
        </w:rPr>
      </w:pPr>
    </w:p>
    <w:p w:rsidR="006A6CB3" w:rsidRPr="006A6CB3" w:rsidRDefault="006A6CB3" w:rsidP="006A6CB3">
      <w:pPr>
        <w:widowControl w:val="0"/>
        <w:numPr>
          <w:ilvl w:val="0"/>
          <w:numId w:val="2"/>
        </w:numPr>
        <w:spacing w:line="276" w:lineRule="auto"/>
        <w:ind w:left="567" w:hanging="567"/>
        <w:rPr>
          <w:rFonts w:ascii="Garamond" w:eastAsia="Palatino Linotype" w:hAnsi="Garamond" w:cs="Palatino Linotype"/>
          <w:b/>
        </w:rPr>
      </w:pPr>
      <w:r w:rsidRPr="006A6CB3">
        <w:rPr>
          <w:rFonts w:ascii="Garamond" w:eastAsia="Palatino Linotype" w:hAnsi="Garamond" w:cs="Palatino Linotype"/>
          <w:b/>
        </w:rPr>
        <w:t xml:space="preserve">Trends in Depository Accounts </w:t>
      </w:r>
    </w:p>
    <w:p w:rsidR="00D0348E" w:rsidRPr="00891713" w:rsidRDefault="00D0348E" w:rsidP="00D23F20">
      <w:pPr>
        <w:pBdr>
          <w:between w:val="nil"/>
        </w:pBdr>
        <w:spacing w:before="100" w:beforeAutospacing="1" w:after="100" w:afterAutospacing="1"/>
        <w:jc w:val="both"/>
        <w:rPr>
          <w:rFonts w:ascii="Garamond" w:eastAsia="Palatino Linotype" w:hAnsi="Garamond" w:cs="Palatino Linotype"/>
        </w:rPr>
      </w:pPr>
      <w:r w:rsidRPr="00891713">
        <w:rPr>
          <w:rFonts w:ascii="Garamond" w:eastAsia="Palatino Linotype" w:hAnsi="Garamond" w:cs="Palatino Linotype"/>
        </w:rPr>
        <w:t xml:space="preserve">During October 2021, NSDL added 4 lakh demat accounts while CDSL added 31 lakh demat accounts. Cumulatively, both the depositories have added 187 lakh new accounts in </w:t>
      </w:r>
      <w:r w:rsidR="003E0B11">
        <w:rPr>
          <w:rFonts w:ascii="Garamond" w:eastAsia="Palatino Linotype" w:hAnsi="Garamond" w:cs="Palatino Linotype"/>
        </w:rPr>
        <w:t>2021-22</w:t>
      </w:r>
      <w:r w:rsidRPr="00891713">
        <w:rPr>
          <w:rFonts w:ascii="Garamond" w:eastAsia="Palatino Linotype" w:hAnsi="Garamond" w:cs="Palatino Linotype"/>
        </w:rPr>
        <w:t xml:space="preserve"> so far (April-October 2021), with CDSL </w:t>
      </w:r>
      <w:r w:rsidR="003E0B11">
        <w:rPr>
          <w:rFonts w:ascii="Garamond" w:eastAsia="Palatino Linotype" w:hAnsi="Garamond" w:cs="Palatino Linotype"/>
        </w:rPr>
        <w:t>solely</w:t>
      </w:r>
      <w:r w:rsidR="003E0B11" w:rsidRPr="00891713">
        <w:rPr>
          <w:rFonts w:ascii="Garamond" w:eastAsia="Palatino Linotype" w:hAnsi="Garamond" w:cs="Palatino Linotype"/>
        </w:rPr>
        <w:t xml:space="preserve"> </w:t>
      </w:r>
      <w:r w:rsidR="003E0B11">
        <w:rPr>
          <w:rFonts w:ascii="Garamond" w:eastAsia="Palatino Linotype" w:hAnsi="Garamond" w:cs="Palatino Linotype"/>
        </w:rPr>
        <w:t>registering</w:t>
      </w:r>
      <w:r w:rsidRPr="00891713">
        <w:rPr>
          <w:rFonts w:ascii="Garamond" w:eastAsia="Palatino Linotype" w:hAnsi="Garamond" w:cs="Palatino Linotype"/>
        </w:rPr>
        <w:t xml:space="preserve"> 162 lakh new demat accounts.</w:t>
      </w:r>
    </w:p>
    <w:p w:rsidR="006A6CB3" w:rsidRDefault="006A6CB3" w:rsidP="006A6CB3">
      <w:pPr>
        <w:pBdr>
          <w:top w:val="nil"/>
          <w:left w:val="nil"/>
          <w:bottom w:val="nil"/>
          <w:right w:val="nil"/>
          <w:between w:val="nil"/>
        </w:pBdr>
        <w:ind w:left="714"/>
        <w:jc w:val="both"/>
        <w:rPr>
          <w:rFonts w:ascii="Garamond" w:eastAsia="Palatino Linotype" w:hAnsi="Garamond" w:cs="Palatino Linotype"/>
        </w:rPr>
      </w:pPr>
    </w:p>
    <w:p w:rsidR="003E0B11" w:rsidRDefault="003E0B11" w:rsidP="006A6CB3">
      <w:pPr>
        <w:pBdr>
          <w:top w:val="nil"/>
          <w:left w:val="nil"/>
          <w:bottom w:val="nil"/>
          <w:right w:val="nil"/>
          <w:between w:val="nil"/>
        </w:pBdr>
        <w:ind w:left="714"/>
        <w:jc w:val="both"/>
        <w:rPr>
          <w:rFonts w:ascii="Garamond" w:eastAsia="Palatino Linotype" w:hAnsi="Garamond" w:cs="Palatino Linotype"/>
        </w:rPr>
      </w:pPr>
    </w:p>
    <w:p w:rsidR="003E0B11" w:rsidRDefault="003E0B11" w:rsidP="006A6CB3">
      <w:pPr>
        <w:pBdr>
          <w:top w:val="nil"/>
          <w:left w:val="nil"/>
          <w:bottom w:val="nil"/>
          <w:right w:val="nil"/>
          <w:between w:val="nil"/>
        </w:pBdr>
        <w:ind w:left="714"/>
        <w:jc w:val="both"/>
        <w:rPr>
          <w:rFonts w:ascii="Garamond" w:eastAsia="Palatino Linotype" w:hAnsi="Garamond" w:cs="Palatino Linotype"/>
        </w:rPr>
      </w:pPr>
    </w:p>
    <w:p w:rsidR="003E0B11" w:rsidRDefault="003E0B11" w:rsidP="006A6CB3">
      <w:pPr>
        <w:pBdr>
          <w:top w:val="nil"/>
          <w:left w:val="nil"/>
          <w:bottom w:val="nil"/>
          <w:right w:val="nil"/>
          <w:between w:val="nil"/>
        </w:pBdr>
        <w:ind w:left="714"/>
        <w:jc w:val="both"/>
        <w:rPr>
          <w:rFonts w:ascii="Garamond" w:eastAsia="Palatino Linotype" w:hAnsi="Garamond" w:cs="Palatino Linotype"/>
        </w:rPr>
      </w:pPr>
    </w:p>
    <w:p w:rsidR="003E0B11" w:rsidRDefault="003E0B11" w:rsidP="006A6CB3">
      <w:pPr>
        <w:pBdr>
          <w:top w:val="nil"/>
          <w:left w:val="nil"/>
          <w:bottom w:val="nil"/>
          <w:right w:val="nil"/>
          <w:between w:val="nil"/>
        </w:pBdr>
        <w:ind w:left="714"/>
        <w:jc w:val="both"/>
        <w:rPr>
          <w:rFonts w:ascii="Garamond" w:eastAsia="Palatino Linotype" w:hAnsi="Garamond" w:cs="Palatino Linotype"/>
        </w:rPr>
      </w:pPr>
    </w:p>
    <w:p w:rsidR="000C6BCB" w:rsidRDefault="000C6BCB" w:rsidP="000C6BCB">
      <w:pPr>
        <w:pBdr>
          <w:top w:val="nil"/>
          <w:left w:val="nil"/>
          <w:bottom w:val="nil"/>
          <w:right w:val="nil"/>
          <w:between w:val="nil"/>
        </w:pBdr>
        <w:spacing w:line="276" w:lineRule="auto"/>
        <w:jc w:val="both"/>
        <w:rPr>
          <w:rFonts w:ascii="Garamond" w:eastAsia="Palatino Linotype" w:hAnsi="Garamond" w:cs="Palatino Linotype"/>
        </w:rPr>
      </w:pPr>
    </w:p>
    <w:p w:rsidR="006A6CB3" w:rsidRPr="006A6CB3" w:rsidRDefault="006A6CB3" w:rsidP="000C6BCB">
      <w:pPr>
        <w:pBdr>
          <w:top w:val="nil"/>
          <w:left w:val="nil"/>
          <w:bottom w:val="nil"/>
          <w:right w:val="nil"/>
          <w:between w:val="nil"/>
        </w:pBdr>
        <w:spacing w:line="276" w:lineRule="auto"/>
        <w:jc w:val="both"/>
        <w:rPr>
          <w:rFonts w:ascii="Garamond" w:eastAsia="Palatino Linotype" w:hAnsi="Garamond" w:cs="Palatino Linotype"/>
          <w:b/>
          <w:bCs/>
        </w:rPr>
      </w:pPr>
      <w:r w:rsidRPr="006A6CB3">
        <w:rPr>
          <w:rFonts w:ascii="Garamond" w:eastAsia="Palatino Linotype" w:hAnsi="Garamond" w:cs="Palatino Linotype"/>
          <w:b/>
          <w:bCs/>
        </w:rPr>
        <w:lastRenderedPageBreak/>
        <w:t xml:space="preserve">Figure </w:t>
      </w:r>
      <w:r w:rsidR="003A028D">
        <w:rPr>
          <w:rFonts w:ascii="Garamond" w:eastAsia="Palatino Linotype" w:hAnsi="Garamond" w:cs="Palatino Linotype"/>
          <w:b/>
          <w:bCs/>
        </w:rPr>
        <w:t>5</w:t>
      </w:r>
      <w:r w:rsidRPr="006A6CB3">
        <w:rPr>
          <w:rFonts w:ascii="Garamond" w:eastAsia="Palatino Linotype" w:hAnsi="Garamond" w:cs="Palatino Linotype"/>
          <w:b/>
          <w:bCs/>
        </w:rPr>
        <w:t>: Monthly New Demat Accounts Added (in lakh)</w:t>
      </w:r>
    </w:p>
    <w:p w:rsidR="006A6CB3" w:rsidRPr="006A6CB3" w:rsidRDefault="00D23F20" w:rsidP="006A6CB3">
      <w:pPr>
        <w:pBdr>
          <w:top w:val="nil"/>
          <w:left w:val="nil"/>
          <w:bottom w:val="nil"/>
          <w:right w:val="nil"/>
          <w:between w:val="nil"/>
        </w:pBdr>
        <w:spacing w:line="276" w:lineRule="auto"/>
        <w:jc w:val="center"/>
        <w:rPr>
          <w:rFonts w:ascii="Garamond" w:eastAsia="Palatino Linotype" w:hAnsi="Garamond" w:cs="Palatino Linotype"/>
          <w:b/>
          <w:bCs/>
        </w:rPr>
      </w:pPr>
      <w:r w:rsidRPr="00891713">
        <w:rPr>
          <w:rFonts w:eastAsia="Calibri"/>
          <w:noProof/>
          <w:lang w:val="en-IN" w:eastAsia="en-IN" w:bidi="hi-IN"/>
        </w:rPr>
        <w:drawing>
          <wp:inline distT="0" distB="0" distL="0" distR="0" wp14:anchorId="4755FBCC" wp14:editId="48A9AB5C">
            <wp:extent cx="6115050" cy="211455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A6CB3" w:rsidRPr="004A1B8E" w:rsidRDefault="00C6374C" w:rsidP="006A6CB3">
      <w:pPr>
        <w:spacing w:line="276" w:lineRule="auto"/>
        <w:rPr>
          <w:rFonts w:ascii="Garamond" w:eastAsia="Palatino Linotype" w:hAnsi="Garamond" w:cs="Palatino Linotype"/>
          <w:bCs/>
          <w:sz w:val="20"/>
          <w:szCs w:val="20"/>
        </w:rPr>
      </w:pPr>
      <w:r>
        <w:rPr>
          <w:rFonts w:ascii="Garamond" w:eastAsia="Palatino Linotype" w:hAnsi="Garamond" w:cs="Palatino Linotype"/>
          <w:b/>
        </w:rPr>
        <w:t xml:space="preserve">   </w:t>
      </w:r>
      <w:r w:rsidR="006A6CB3" w:rsidRPr="004A1B8E">
        <w:rPr>
          <w:rFonts w:ascii="Garamond" w:eastAsia="Palatino Linotype" w:hAnsi="Garamond" w:cs="Palatino Linotype"/>
          <w:b/>
          <w:sz w:val="20"/>
          <w:szCs w:val="20"/>
        </w:rPr>
        <w:t xml:space="preserve">Source: </w:t>
      </w:r>
      <w:r w:rsidR="006A6CB3" w:rsidRPr="004A1B8E">
        <w:rPr>
          <w:rFonts w:ascii="Garamond" w:eastAsia="Palatino Linotype" w:hAnsi="Garamond" w:cs="Palatino Linotype"/>
          <w:bCs/>
          <w:sz w:val="20"/>
          <w:szCs w:val="20"/>
        </w:rPr>
        <w:t>NSDL and CDSL</w:t>
      </w:r>
    </w:p>
    <w:p w:rsidR="006A6CB3" w:rsidRPr="006A6CB3" w:rsidRDefault="006A6CB3" w:rsidP="006A6CB3">
      <w:pPr>
        <w:pBdr>
          <w:top w:val="nil"/>
          <w:left w:val="nil"/>
          <w:bottom w:val="nil"/>
          <w:right w:val="nil"/>
          <w:between w:val="nil"/>
        </w:pBdr>
        <w:spacing w:line="276" w:lineRule="auto"/>
        <w:jc w:val="both"/>
        <w:rPr>
          <w:rFonts w:ascii="Garamond" w:eastAsia="Palatino Linotype" w:hAnsi="Garamond" w:cs="Palatino Linotype"/>
          <w:i/>
          <w:iCs/>
        </w:rPr>
      </w:pPr>
    </w:p>
    <w:p w:rsidR="006A6CB3" w:rsidRPr="006A6CB3" w:rsidRDefault="006A6CB3" w:rsidP="006A6CB3">
      <w:pPr>
        <w:widowControl w:val="0"/>
        <w:numPr>
          <w:ilvl w:val="0"/>
          <w:numId w:val="2"/>
        </w:numPr>
        <w:spacing w:line="276" w:lineRule="auto"/>
        <w:ind w:left="454" w:hanging="454"/>
        <w:rPr>
          <w:rFonts w:ascii="Garamond" w:eastAsia="Palatino Linotype" w:hAnsi="Garamond" w:cs="Palatino Linotype"/>
          <w:b/>
        </w:rPr>
      </w:pPr>
      <w:r w:rsidRPr="006A6CB3">
        <w:rPr>
          <w:rFonts w:ascii="Garamond" w:eastAsia="Palatino Linotype" w:hAnsi="Garamond" w:cs="Palatino Linotype"/>
          <w:b/>
        </w:rPr>
        <w:t>Trends in Derivatives Segment</w:t>
      </w:r>
      <w:r w:rsidRPr="006A6CB3">
        <w:rPr>
          <w:rFonts w:ascii="Garamond" w:eastAsia="Palatino Linotype" w:hAnsi="Garamond" w:cs="Palatino Linotype"/>
          <w:b/>
        </w:rPr>
        <w:tab/>
      </w:r>
    </w:p>
    <w:p w:rsidR="006A6CB3" w:rsidRPr="006A6CB3" w:rsidRDefault="006A6CB3" w:rsidP="006A6CB3">
      <w:pPr>
        <w:widowControl w:val="0"/>
        <w:numPr>
          <w:ilvl w:val="0"/>
          <w:numId w:val="3"/>
        </w:numPr>
        <w:spacing w:line="276" w:lineRule="auto"/>
        <w:ind w:left="567" w:hanging="567"/>
        <w:jc w:val="both"/>
        <w:rPr>
          <w:rFonts w:ascii="Garamond" w:eastAsia="Palatino Linotype" w:hAnsi="Garamond" w:cs="Palatino Linotype"/>
          <w:b/>
        </w:rPr>
      </w:pPr>
      <w:r w:rsidRPr="006A6CB3">
        <w:rPr>
          <w:rFonts w:ascii="Garamond" w:eastAsia="Palatino Linotype" w:hAnsi="Garamond" w:cs="Palatino Linotype"/>
          <w:b/>
        </w:rPr>
        <w:t>Equity Derivatives</w:t>
      </w:r>
    </w:p>
    <w:p w:rsidR="006A6CB3" w:rsidRPr="006A6CB3" w:rsidRDefault="006A6CB3" w:rsidP="006A6CB3">
      <w:pPr>
        <w:tabs>
          <w:tab w:val="left" w:pos="3135"/>
        </w:tabs>
        <w:spacing w:line="276" w:lineRule="auto"/>
        <w:rPr>
          <w:rFonts w:ascii="Garamond" w:eastAsia="Palatino Linotype" w:hAnsi="Garamond" w:cs="Palatino Linotype"/>
          <w:b/>
          <w:u w:val="single"/>
        </w:rPr>
      </w:pPr>
      <w:r w:rsidRPr="006A6CB3">
        <w:rPr>
          <w:rFonts w:ascii="Garamond" w:eastAsia="Palatino Linotype" w:hAnsi="Garamond" w:cs="Palatino Linotype"/>
          <w:b/>
          <w:u w:val="single"/>
        </w:rPr>
        <w:t xml:space="preserve">BSE </w:t>
      </w:r>
    </w:p>
    <w:p w:rsidR="00D23F20" w:rsidRPr="00030DBC" w:rsidRDefault="00D23F20" w:rsidP="00D23F20">
      <w:pPr>
        <w:numPr>
          <w:ilvl w:val="0"/>
          <w:numId w:val="1"/>
        </w:numPr>
        <w:pBdr>
          <w:between w:val="nil"/>
        </w:pBdr>
        <w:jc w:val="both"/>
        <w:rPr>
          <w:rFonts w:ascii="Garamond" w:eastAsia="Palatino Linotype" w:hAnsi="Garamond" w:cs="Palatino Linotype"/>
        </w:rPr>
      </w:pPr>
      <w:r w:rsidRPr="00030DBC">
        <w:rPr>
          <w:rFonts w:ascii="Garamond" w:eastAsia="Palatino Linotype" w:hAnsi="Garamond" w:cs="Palatino Linotype"/>
        </w:rPr>
        <w:t xml:space="preserve">During October 2021, the cumulative notional turnover of the equity derivatives segment at BSE increased by 34.9 per cent to </w:t>
      </w:r>
      <w:r w:rsidRPr="00030DBC">
        <w:rPr>
          <w:rFonts w:ascii="Times New Roman" w:eastAsia="Palatino Linotype" w:hAnsi="Times New Roman"/>
        </w:rPr>
        <w:t>₹</w:t>
      </w:r>
      <w:r w:rsidRPr="00030DBC">
        <w:rPr>
          <w:rFonts w:ascii="Garamond" w:eastAsia="Palatino Linotype" w:hAnsi="Garamond" w:cs="Palatino Linotype"/>
        </w:rPr>
        <w:t>46.02 lakh crore.</w:t>
      </w:r>
    </w:p>
    <w:p w:rsidR="00D23F20" w:rsidRPr="00030DBC" w:rsidRDefault="00D23F20" w:rsidP="00D23F20">
      <w:pPr>
        <w:numPr>
          <w:ilvl w:val="0"/>
          <w:numId w:val="1"/>
        </w:numPr>
        <w:pBdr>
          <w:between w:val="nil"/>
        </w:pBdr>
        <w:jc w:val="both"/>
        <w:rPr>
          <w:rFonts w:ascii="Garamond" w:eastAsia="Palatino Linotype" w:hAnsi="Garamond" w:cs="Palatino Linotype"/>
        </w:rPr>
      </w:pPr>
      <w:r w:rsidRPr="00030DBC">
        <w:rPr>
          <w:rFonts w:ascii="Garamond" w:eastAsia="Palatino Linotype" w:hAnsi="Garamond" w:cs="Palatino Linotype"/>
        </w:rPr>
        <w:t xml:space="preserve">As at the end of October 2021, the open interest in terms of value at BSE stood at </w:t>
      </w:r>
      <w:r w:rsidRPr="00030DBC">
        <w:rPr>
          <w:rFonts w:ascii="Times New Roman" w:eastAsia="Palatino Linotype" w:hAnsi="Times New Roman"/>
        </w:rPr>
        <w:t>₹</w:t>
      </w:r>
      <w:r w:rsidRPr="00030DBC">
        <w:rPr>
          <w:rFonts w:ascii="Garamond" w:eastAsia="Palatino Linotype" w:hAnsi="Garamond" w:cs="Palatino Linotype"/>
        </w:rPr>
        <w:t xml:space="preserve">79 crore increasing from </w:t>
      </w:r>
      <w:r w:rsidRPr="00030DBC">
        <w:rPr>
          <w:rFonts w:ascii="Times New Roman" w:eastAsia="Palatino Linotype" w:hAnsi="Times New Roman"/>
        </w:rPr>
        <w:t>₹</w:t>
      </w:r>
      <w:r w:rsidRPr="00030DBC">
        <w:rPr>
          <w:rFonts w:ascii="Garamond" w:eastAsia="Palatino Linotype" w:hAnsi="Garamond" w:cs="Palatino Linotype"/>
        </w:rPr>
        <w:t>65 crore as at the end of September 2021.</w:t>
      </w:r>
    </w:p>
    <w:p w:rsidR="006A6CB3" w:rsidRPr="006A6CB3" w:rsidRDefault="006A6CB3" w:rsidP="006A6CB3">
      <w:pPr>
        <w:pBdr>
          <w:top w:val="nil"/>
          <w:left w:val="nil"/>
          <w:bottom w:val="nil"/>
          <w:right w:val="nil"/>
          <w:between w:val="nil"/>
        </w:pBdr>
        <w:ind w:left="714"/>
        <w:jc w:val="both"/>
        <w:rPr>
          <w:rFonts w:ascii="Garamond" w:eastAsia="Palatino Linotype" w:hAnsi="Garamond" w:cs="Palatino Linotype"/>
        </w:rPr>
      </w:pPr>
    </w:p>
    <w:p w:rsidR="006A6CB3" w:rsidRPr="006A6CB3" w:rsidRDefault="006A6CB3" w:rsidP="006A6CB3">
      <w:pPr>
        <w:tabs>
          <w:tab w:val="left" w:pos="3135"/>
        </w:tabs>
        <w:spacing w:line="276" w:lineRule="auto"/>
        <w:rPr>
          <w:rFonts w:ascii="Garamond" w:eastAsia="Palatino Linotype" w:hAnsi="Garamond" w:cs="Palatino Linotype"/>
          <w:b/>
          <w:u w:val="single"/>
        </w:rPr>
      </w:pPr>
      <w:r w:rsidRPr="006A6CB3">
        <w:rPr>
          <w:rFonts w:ascii="Garamond" w:eastAsia="Palatino Linotype" w:hAnsi="Garamond" w:cs="Palatino Linotype"/>
          <w:b/>
          <w:u w:val="single"/>
        </w:rPr>
        <w:t xml:space="preserve">NSE </w:t>
      </w:r>
    </w:p>
    <w:p w:rsidR="00D23F20" w:rsidRPr="00030DBC" w:rsidRDefault="00D23F20" w:rsidP="00D23F20">
      <w:pPr>
        <w:widowControl w:val="0"/>
        <w:numPr>
          <w:ilvl w:val="0"/>
          <w:numId w:val="1"/>
        </w:numPr>
        <w:spacing w:line="276" w:lineRule="auto"/>
        <w:jc w:val="both"/>
        <w:rPr>
          <w:rFonts w:ascii="Garamond" w:eastAsia="Palatino Linotype" w:hAnsi="Garamond" w:cs="Palatino Linotype"/>
        </w:rPr>
      </w:pPr>
      <w:r w:rsidRPr="00030DBC">
        <w:rPr>
          <w:rFonts w:ascii="Garamond" w:eastAsia="Palatino Linotype" w:hAnsi="Garamond" w:cs="Palatino Linotype"/>
        </w:rPr>
        <w:t xml:space="preserve">The monthly notional turnover in the equity derivatives segment at NSE decreased by 2.6 per cent to </w:t>
      </w:r>
      <w:r w:rsidRPr="00030DBC">
        <w:rPr>
          <w:rFonts w:ascii="Times New Roman" w:eastAsia="Palatino Linotype" w:hAnsi="Times New Roman"/>
        </w:rPr>
        <w:t>₹</w:t>
      </w:r>
      <w:r w:rsidRPr="00030DBC">
        <w:rPr>
          <w:rFonts w:ascii="Garamond" w:eastAsia="Palatino Linotype" w:hAnsi="Garamond" w:cs="Palatino Linotype"/>
        </w:rPr>
        <w:t xml:space="preserve">1,404 lakh crore in October 2021 from </w:t>
      </w:r>
      <w:r w:rsidRPr="00030DBC">
        <w:rPr>
          <w:rFonts w:ascii="Times New Roman" w:eastAsia="Palatino Linotype" w:hAnsi="Times New Roman"/>
        </w:rPr>
        <w:t>₹</w:t>
      </w:r>
      <w:r w:rsidRPr="00030DBC">
        <w:rPr>
          <w:rFonts w:ascii="Garamond" w:eastAsia="Palatino Linotype" w:hAnsi="Garamond" w:cs="Palatino Linotype"/>
        </w:rPr>
        <w:t xml:space="preserve">1,441 lakh crore in September 2021. </w:t>
      </w:r>
    </w:p>
    <w:p w:rsidR="00D23F20" w:rsidRPr="00030DBC" w:rsidRDefault="00D23F20" w:rsidP="00D23F20">
      <w:pPr>
        <w:widowControl w:val="0"/>
        <w:numPr>
          <w:ilvl w:val="0"/>
          <w:numId w:val="1"/>
        </w:numPr>
        <w:spacing w:line="276" w:lineRule="auto"/>
        <w:jc w:val="both"/>
        <w:rPr>
          <w:rFonts w:ascii="Garamond" w:eastAsia="Palatino Linotype" w:hAnsi="Garamond" w:cs="Palatino Linotype"/>
        </w:rPr>
      </w:pPr>
      <w:r w:rsidRPr="00030DBC">
        <w:rPr>
          <w:rFonts w:ascii="Garamond" w:eastAsia="Palatino Linotype" w:hAnsi="Garamond" w:cs="Palatino Linotype"/>
        </w:rPr>
        <w:t>The downtrend in equity derivatives turnover was driven by fall in index options</w:t>
      </w:r>
      <w:r w:rsidR="0078373D">
        <w:rPr>
          <w:rFonts w:ascii="Garamond" w:eastAsia="Palatino Linotype" w:hAnsi="Garamond" w:cs="Palatino Linotype"/>
        </w:rPr>
        <w:t xml:space="preserve"> turnover</w:t>
      </w:r>
      <w:r w:rsidRPr="00030DBC">
        <w:rPr>
          <w:rFonts w:ascii="Garamond" w:eastAsia="Palatino Linotype" w:hAnsi="Garamond" w:cs="Palatino Linotype"/>
        </w:rPr>
        <w:t>. This was supported by fall in no. of contracts traded during October 2021, with</w:t>
      </w:r>
      <w:r>
        <w:rPr>
          <w:rFonts w:ascii="Garamond" w:eastAsia="Palatino Linotype" w:hAnsi="Garamond" w:cs="Palatino Linotype"/>
        </w:rPr>
        <w:t xml:space="preserve"> no. of </w:t>
      </w:r>
      <w:r w:rsidRPr="00030DBC">
        <w:rPr>
          <w:rFonts w:ascii="Garamond" w:eastAsia="Palatino Linotype" w:hAnsi="Garamond" w:cs="Palatino Linotype"/>
        </w:rPr>
        <w:t xml:space="preserve">index call and put options traded decreasing by 7.0 and 7.8 per cent respectively. </w:t>
      </w:r>
    </w:p>
    <w:p w:rsidR="00D23F20" w:rsidRPr="00436B07" w:rsidRDefault="00D23F20" w:rsidP="00436B07">
      <w:pPr>
        <w:widowControl w:val="0"/>
        <w:numPr>
          <w:ilvl w:val="0"/>
          <w:numId w:val="1"/>
        </w:numPr>
        <w:spacing w:line="276" w:lineRule="auto"/>
        <w:jc w:val="both"/>
        <w:rPr>
          <w:rFonts w:ascii="Garamond" w:eastAsia="Palatino Linotype" w:hAnsi="Garamond" w:cs="Palatino Linotype"/>
        </w:rPr>
      </w:pPr>
      <w:r w:rsidRPr="00030DBC">
        <w:rPr>
          <w:rFonts w:ascii="Garamond" w:eastAsia="Palatino Linotype" w:hAnsi="Garamond" w:cs="Palatino Linotype"/>
        </w:rPr>
        <w:t xml:space="preserve">As at end of October 2021, the open interest in terms of value at NSE stood at </w:t>
      </w:r>
      <w:r w:rsidRPr="00030DBC">
        <w:rPr>
          <w:rFonts w:ascii="Times New Roman" w:eastAsia="Palatino Linotype" w:hAnsi="Times New Roman"/>
        </w:rPr>
        <w:t>₹</w:t>
      </w:r>
      <w:r w:rsidRPr="00030DBC">
        <w:rPr>
          <w:rFonts w:ascii="Garamond" w:eastAsia="Palatino Linotype" w:hAnsi="Garamond" w:cs="Palatino Linotype"/>
        </w:rPr>
        <w:t xml:space="preserve"> 7,90,966 crore showing a notable rise of 31 per cent from  </w:t>
      </w:r>
      <w:r w:rsidRPr="00030DBC">
        <w:rPr>
          <w:rFonts w:ascii="Times New Roman" w:eastAsia="Palatino Linotype" w:hAnsi="Times New Roman"/>
        </w:rPr>
        <w:t>₹</w:t>
      </w:r>
      <w:r w:rsidRPr="00030DBC">
        <w:rPr>
          <w:rFonts w:ascii="Garamond" w:eastAsia="Palatino Linotype" w:hAnsi="Garamond" w:cs="Palatino Linotype"/>
        </w:rPr>
        <w:t xml:space="preserve"> 6,03,824 crore in September 2021.</w:t>
      </w:r>
    </w:p>
    <w:p w:rsidR="00D23F20" w:rsidRPr="00D23F20" w:rsidRDefault="00D23F20" w:rsidP="00D23F20">
      <w:pPr>
        <w:pBdr>
          <w:between w:val="nil"/>
        </w:pBdr>
        <w:ind w:left="360"/>
        <w:rPr>
          <w:rFonts w:ascii="Garamond" w:eastAsia="Palatino Linotype" w:hAnsi="Garamond" w:cs="Palatino Linotype"/>
          <w:b/>
        </w:rPr>
      </w:pPr>
      <w:r w:rsidRPr="00D23F20">
        <w:rPr>
          <w:rFonts w:ascii="Garamond" w:eastAsia="Palatino Linotype" w:hAnsi="Garamond" w:cs="Palatino Linotype"/>
          <w:b/>
        </w:rPr>
        <w:t xml:space="preserve">Figure </w:t>
      </w:r>
      <w:r w:rsidR="003A028D">
        <w:rPr>
          <w:rFonts w:ascii="Garamond" w:eastAsia="Palatino Linotype" w:hAnsi="Garamond" w:cs="Palatino Linotype"/>
          <w:b/>
        </w:rPr>
        <w:t>6</w:t>
      </w:r>
      <w:r w:rsidRPr="00D23F20">
        <w:rPr>
          <w:rFonts w:ascii="Garamond" w:eastAsia="Palatino Linotype" w:hAnsi="Garamond" w:cs="Palatino Linotype"/>
          <w:b/>
        </w:rPr>
        <w:t>: Trends of Average Daily Notional Turnover at BSE and NSE (</w:t>
      </w:r>
      <w:r w:rsidRPr="00D23F20">
        <w:rPr>
          <w:rFonts w:ascii="Times New Roman" w:eastAsia="Palatino Linotype" w:hAnsi="Times New Roman"/>
          <w:b/>
        </w:rPr>
        <w:t>₹</w:t>
      </w:r>
      <w:r w:rsidRPr="00D23F20">
        <w:rPr>
          <w:rFonts w:ascii="Garamond" w:eastAsia="Palatino Linotype" w:hAnsi="Garamond" w:cs="Palatino Linotype"/>
          <w:b/>
        </w:rPr>
        <w:t xml:space="preserve"> crore)</w:t>
      </w:r>
    </w:p>
    <w:p w:rsidR="006A6CB3" w:rsidRPr="00D23F20" w:rsidRDefault="00D522E9" w:rsidP="00D23F20">
      <w:pPr>
        <w:pStyle w:val="ListParagraph"/>
        <w:pBdr>
          <w:between w:val="nil"/>
        </w:pBdr>
        <w:rPr>
          <w:rFonts w:ascii="Garamond" w:eastAsia="Palatino Linotype" w:hAnsi="Garamond" w:cs="Palatino Linotype"/>
          <w:b/>
          <w:sz w:val="24"/>
          <w:szCs w:val="24"/>
          <w:lang w:val="en-GB"/>
        </w:rPr>
      </w:pPr>
      <w:r>
        <w:rPr>
          <w:noProof/>
          <w:lang w:val="en-IN" w:eastAsia="en-IN" w:bidi="hi-IN"/>
        </w:rPr>
        <w:drawing>
          <wp:inline distT="0" distB="0" distL="0" distR="0" wp14:anchorId="301FB1A1" wp14:editId="4AEE32B9">
            <wp:extent cx="5305425" cy="2457450"/>
            <wp:effectExtent l="0" t="0" r="9525" b="0"/>
            <wp:docPr id="1" name="Chart 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rPr>
        <w:t xml:space="preserve"> </w:t>
      </w:r>
    </w:p>
    <w:p w:rsidR="00D23F20" w:rsidRDefault="006A6CB3" w:rsidP="006A6CB3">
      <w:pPr>
        <w:tabs>
          <w:tab w:val="left" w:pos="3135"/>
        </w:tabs>
        <w:spacing w:line="276" w:lineRule="auto"/>
        <w:rPr>
          <w:rFonts w:ascii="Garamond" w:eastAsia="Palatino Linotype" w:hAnsi="Garamond" w:cs="Palatino Linotype"/>
          <w:b/>
          <w:sz w:val="22"/>
          <w:szCs w:val="22"/>
        </w:rPr>
      </w:pPr>
      <w:r w:rsidRPr="00D87E25">
        <w:rPr>
          <w:rFonts w:ascii="Garamond" w:eastAsia="Palatino Linotype" w:hAnsi="Garamond" w:cs="Palatino Linotype"/>
          <w:b/>
          <w:sz w:val="22"/>
          <w:szCs w:val="22"/>
        </w:rPr>
        <w:lastRenderedPageBreak/>
        <w:t>Table 3: Trends in Equity Derivatives Market</w:t>
      </w:r>
    </w:p>
    <w:tbl>
      <w:tblPr>
        <w:tblW w:w="10391" w:type="dxa"/>
        <w:jc w:val="center"/>
        <w:tblLook w:val="04A0" w:firstRow="1" w:lastRow="0" w:firstColumn="1" w:lastColumn="0" w:noHBand="0" w:noVBand="1"/>
      </w:tblPr>
      <w:tblGrid>
        <w:gridCol w:w="2027"/>
        <w:gridCol w:w="1417"/>
        <w:gridCol w:w="1417"/>
        <w:gridCol w:w="1371"/>
        <w:gridCol w:w="1305"/>
        <w:gridCol w:w="1280"/>
        <w:gridCol w:w="1574"/>
      </w:tblGrid>
      <w:tr w:rsidR="00D23F20" w:rsidRPr="00AD4F7A" w:rsidTr="00D23F20">
        <w:trPr>
          <w:trHeight w:val="315"/>
          <w:jc w:val="center"/>
        </w:trPr>
        <w:tc>
          <w:tcPr>
            <w:tcW w:w="2027" w:type="dxa"/>
            <w:vMerge w:val="restart"/>
            <w:tcBorders>
              <w:top w:val="single" w:sz="4" w:space="0" w:color="auto"/>
              <w:left w:val="single" w:sz="4" w:space="0" w:color="auto"/>
              <w:bottom w:val="single" w:sz="4" w:space="0" w:color="auto"/>
              <w:right w:val="single" w:sz="4" w:space="0" w:color="auto"/>
            </w:tcBorders>
            <w:shd w:val="clear" w:color="8DB3E2" w:fill="8DB3E2"/>
            <w:noWrap/>
            <w:vAlign w:val="center"/>
            <w:hideMark/>
          </w:tcPr>
          <w:p w:rsidR="00D23F20" w:rsidRPr="00AD4F7A" w:rsidRDefault="00D23F20" w:rsidP="00D23F20">
            <w:pPr>
              <w:rPr>
                <w:rFonts w:ascii="Garamond" w:eastAsia="Times New Roman" w:hAnsi="Garamond"/>
                <w:b/>
                <w:bCs/>
                <w:sz w:val="20"/>
                <w:lang w:eastAsia="en-IN"/>
              </w:rPr>
            </w:pPr>
            <w:r w:rsidRPr="00AD4F7A">
              <w:rPr>
                <w:rFonts w:ascii="Garamond" w:eastAsia="Times New Roman" w:hAnsi="Garamond"/>
                <w:b/>
                <w:bCs/>
                <w:sz w:val="20"/>
                <w:lang w:eastAsia="en-IN"/>
              </w:rPr>
              <w:t>Description</w:t>
            </w:r>
          </w:p>
        </w:tc>
        <w:tc>
          <w:tcPr>
            <w:tcW w:w="4205" w:type="dxa"/>
            <w:gridSpan w:val="3"/>
            <w:tcBorders>
              <w:top w:val="single" w:sz="4" w:space="0" w:color="auto"/>
              <w:left w:val="nil"/>
              <w:bottom w:val="single" w:sz="4" w:space="0" w:color="auto"/>
              <w:right w:val="single" w:sz="4" w:space="0" w:color="000000"/>
            </w:tcBorders>
            <w:shd w:val="clear" w:color="8DB3E2" w:fill="8DB3E2"/>
            <w:noWrap/>
            <w:vAlign w:val="center"/>
            <w:hideMark/>
          </w:tcPr>
          <w:p w:rsidR="00D23F20" w:rsidRPr="00AD4F7A" w:rsidRDefault="00D23F20" w:rsidP="00D23F20">
            <w:pPr>
              <w:jc w:val="center"/>
              <w:rPr>
                <w:rFonts w:ascii="Garamond" w:eastAsia="Times New Roman" w:hAnsi="Garamond"/>
                <w:b/>
                <w:bCs/>
                <w:sz w:val="20"/>
                <w:lang w:eastAsia="en-IN"/>
              </w:rPr>
            </w:pPr>
            <w:r w:rsidRPr="00AD4F7A">
              <w:rPr>
                <w:rFonts w:ascii="Garamond" w:eastAsia="Times New Roman" w:hAnsi="Garamond"/>
                <w:b/>
                <w:bCs/>
                <w:sz w:val="20"/>
                <w:lang w:eastAsia="en-IN"/>
              </w:rPr>
              <w:t>NSE</w:t>
            </w:r>
          </w:p>
        </w:tc>
        <w:tc>
          <w:tcPr>
            <w:tcW w:w="4159" w:type="dxa"/>
            <w:gridSpan w:val="3"/>
            <w:tcBorders>
              <w:top w:val="single" w:sz="4" w:space="0" w:color="auto"/>
              <w:left w:val="nil"/>
              <w:bottom w:val="single" w:sz="4" w:space="0" w:color="auto"/>
              <w:right w:val="single" w:sz="4" w:space="0" w:color="000000"/>
            </w:tcBorders>
            <w:shd w:val="clear" w:color="8DB3E2" w:fill="8DB3E2"/>
            <w:noWrap/>
            <w:vAlign w:val="center"/>
            <w:hideMark/>
          </w:tcPr>
          <w:p w:rsidR="00D23F20" w:rsidRPr="00AD4F7A" w:rsidRDefault="00D23F20" w:rsidP="00D23F20">
            <w:pPr>
              <w:jc w:val="center"/>
              <w:rPr>
                <w:rFonts w:ascii="Garamond" w:eastAsia="Times New Roman" w:hAnsi="Garamond"/>
                <w:b/>
                <w:bCs/>
                <w:sz w:val="20"/>
                <w:lang w:eastAsia="en-IN"/>
              </w:rPr>
            </w:pPr>
            <w:r w:rsidRPr="00AD4F7A">
              <w:rPr>
                <w:rFonts w:ascii="Garamond" w:eastAsia="Times New Roman" w:hAnsi="Garamond"/>
                <w:b/>
                <w:bCs/>
                <w:sz w:val="20"/>
                <w:lang w:eastAsia="en-IN"/>
              </w:rPr>
              <w:t>BSE</w:t>
            </w:r>
          </w:p>
        </w:tc>
      </w:tr>
      <w:tr w:rsidR="00D23F20" w:rsidRPr="00AD4F7A" w:rsidTr="00D23F20">
        <w:trPr>
          <w:trHeight w:val="208"/>
          <w:jc w:val="center"/>
        </w:trPr>
        <w:tc>
          <w:tcPr>
            <w:tcW w:w="2027" w:type="dxa"/>
            <w:vMerge/>
            <w:tcBorders>
              <w:top w:val="single" w:sz="4" w:space="0" w:color="auto"/>
              <w:left w:val="single" w:sz="4" w:space="0" w:color="auto"/>
              <w:bottom w:val="single" w:sz="4" w:space="0" w:color="auto"/>
              <w:right w:val="single" w:sz="4" w:space="0" w:color="auto"/>
            </w:tcBorders>
            <w:vAlign w:val="center"/>
            <w:hideMark/>
          </w:tcPr>
          <w:p w:rsidR="00D23F20" w:rsidRPr="00AD4F7A" w:rsidRDefault="00D23F20" w:rsidP="00D23F20">
            <w:pPr>
              <w:rPr>
                <w:rFonts w:ascii="Garamond" w:eastAsia="Times New Roman" w:hAnsi="Garamond"/>
                <w:b/>
                <w:bCs/>
                <w:sz w:val="20"/>
                <w:lang w:eastAsia="en-IN"/>
              </w:rPr>
            </w:pPr>
          </w:p>
        </w:tc>
        <w:tc>
          <w:tcPr>
            <w:tcW w:w="1417" w:type="dxa"/>
            <w:tcBorders>
              <w:top w:val="nil"/>
              <w:left w:val="nil"/>
              <w:bottom w:val="single" w:sz="4" w:space="0" w:color="auto"/>
              <w:right w:val="single" w:sz="4" w:space="0" w:color="auto"/>
            </w:tcBorders>
            <w:shd w:val="clear" w:color="8DB3E2" w:fill="8DB3E2"/>
            <w:noWrap/>
            <w:vAlign w:val="center"/>
            <w:hideMark/>
          </w:tcPr>
          <w:p w:rsidR="00D23F20" w:rsidRPr="00AD4F7A" w:rsidRDefault="00D23F20" w:rsidP="00D23F20">
            <w:pPr>
              <w:jc w:val="center"/>
              <w:rPr>
                <w:rFonts w:ascii="Garamond" w:eastAsia="Times New Roman" w:hAnsi="Garamond"/>
                <w:b/>
                <w:bCs/>
                <w:sz w:val="20"/>
                <w:lang w:eastAsia="en-IN"/>
              </w:rPr>
            </w:pPr>
            <w:r w:rsidRPr="00AD4F7A">
              <w:rPr>
                <w:rFonts w:ascii="Garamond" w:eastAsia="Times New Roman" w:hAnsi="Garamond"/>
                <w:b/>
                <w:bCs/>
                <w:sz w:val="20"/>
                <w:lang w:eastAsia="en-IN"/>
              </w:rPr>
              <w:t>Sep-21</w:t>
            </w:r>
          </w:p>
        </w:tc>
        <w:tc>
          <w:tcPr>
            <w:tcW w:w="1417" w:type="dxa"/>
            <w:tcBorders>
              <w:top w:val="nil"/>
              <w:left w:val="nil"/>
              <w:bottom w:val="single" w:sz="4" w:space="0" w:color="auto"/>
              <w:right w:val="single" w:sz="4" w:space="0" w:color="auto"/>
            </w:tcBorders>
            <w:shd w:val="clear" w:color="8DB3E2" w:fill="8DB3E2"/>
            <w:noWrap/>
            <w:vAlign w:val="center"/>
            <w:hideMark/>
          </w:tcPr>
          <w:p w:rsidR="00D23F20" w:rsidRPr="00AD4F7A" w:rsidRDefault="00D23F20" w:rsidP="00D23F20">
            <w:pPr>
              <w:jc w:val="center"/>
              <w:rPr>
                <w:rFonts w:ascii="Garamond" w:eastAsia="Times New Roman" w:hAnsi="Garamond"/>
                <w:b/>
                <w:bCs/>
                <w:sz w:val="20"/>
                <w:lang w:eastAsia="en-IN"/>
              </w:rPr>
            </w:pPr>
            <w:r w:rsidRPr="00AD4F7A">
              <w:rPr>
                <w:rFonts w:ascii="Garamond" w:eastAsia="Times New Roman" w:hAnsi="Garamond"/>
                <w:b/>
                <w:bCs/>
                <w:sz w:val="20"/>
                <w:lang w:eastAsia="en-IN"/>
              </w:rPr>
              <w:t>Oct-21</w:t>
            </w:r>
          </w:p>
        </w:tc>
        <w:tc>
          <w:tcPr>
            <w:tcW w:w="1371" w:type="dxa"/>
            <w:tcBorders>
              <w:top w:val="nil"/>
              <w:left w:val="nil"/>
              <w:bottom w:val="single" w:sz="4" w:space="0" w:color="auto"/>
              <w:right w:val="single" w:sz="4" w:space="0" w:color="auto"/>
            </w:tcBorders>
            <w:shd w:val="clear" w:color="8DB3E2" w:fill="8DB3E2"/>
            <w:vAlign w:val="center"/>
            <w:hideMark/>
          </w:tcPr>
          <w:p w:rsidR="00D23F20" w:rsidRPr="00AD4F7A" w:rsidRDefault="00D23F20" w:rsidP="00D23F20">
            <w:pPr>
              <w:jc w:val="center"/>
              <w:rPr>
                <w:rFonts w:ascii="Garamond" w:eastAsia="Times New Roman" w:hAnsi="Garamond"/>
                <w:b/>
                <w:bCs/>
                <w:sz w:val="20"/>
                <w:lang w:eastAsia="en-IN"/>
              </w:rPr>
            </w:pPr>
            <w:r w:rsidRPr="00AD4F7A">
              <w:rPr>
                <w:rFonts w:ascii="Garamond" w:eastAsia="Times New Roman" w:hAnsi="Garamond"/>
                <w:b/>
                <w:bCs/>
                <w:sz w:val="20"/>
                <w:lang w:eastAsia="en-IN"/>
              </w:rPr>
              <w:t>M-o-M Variation (%)</w:t>
            </w:r>
          </w:p>
        </w:tc>
        <w:tc>
          <w:tcPr>
            <w:tcW w:w="1305" w:type="dxa"/>
            <w:tcBorders>
              <w:top w:val="nil"/>
              <w:left w:val="nil"/>
              <w:bottom w:val="single" w:sz="4" w:space="0" w:color="auto"/>
              <w:right w:val="single" w:sz="4" w:space="0" w:color="auto"/>
            </w:tcBorders>
            <w:shd w:val="clear" w:color="8DB3E2" w:fill="8DB3E2"/>
            <w:noWrap/>
            <w:vAlign w:val="center"/>
            <w:hideMark/>
          </w:tcPr>
          <w:p w:rsidR="00D23F20" w:rsidRPr="00AD4F7A" w:rsidRDefault="00D23F20" w:rsidP="00D23F20">
            <w:pPr>
              <w:jc w:val="center"/>
              <w:rPr>
                <w:rFonts w:ascii="Garamond" w:eastAsia="Times New Roman" w:hAnsi="Garamond"/>
                <w:b/>
                <w:bCs/>
                <w:sz w:val="20"/>
                <w:lang w:eastAsia="en-IN"/>
              </w:rPr>
            </w:pPr>
            <w:r w:rsidRPr="00AD4F7A">
              <w:rPr>
                <w:rFonts w:ascii="Garamond" w:eastAsia="Times New Roman" w:hAnsi="Garamond"/>
                <w:b/>
                <w:bCs/>
                <w:sz w:val="20"/>
                <w:lang w:eastAsia="en-IN"/>
              </w:rPr>
              <w:t>Sep-21</w:t>
            </w:r>
          </w:p>
        </w:tc>
        <w:tc>
          <w:tcPr>
            <w:tcW w:w="1280" w:type="dxa"/>
            <w:tcBorders>
              <w:top w:val="nil"/>
              <w:left w:val="nil"/>
              <w:bottom w:val="single" w:sz="4" w:space="0" w:color="auto"/>
              <w:right w:val="single" w:sz="4" w:space="0" w:color="auto"/>
            </w:tcBorders>
            <w:shd w:val="clear" w:color="8DB3E2" w:fill="8DB3E2"/>
            <w:noWrap/>
            <w:vAlign w:val="center"/>
            <w:hideMark/>
          </w:tcPr>
          <w:p w:rsidR="00D23F20" w:rsidRPr="00AD4F7A" w:rsidRDefault="00D23F20" w:rsidP="00D23F20">
            <w:pPr>
              <w:jc w:val="center"/>
              <w:rPr>
                <w:rFonts w:ascii="Garamond" w:eastAsia="Times New Roman" w:hAnsi="Garamond"/>
                <w:b/>
                <w:bCs/>
                <w:sz w:val="20"/>
                <w:lang w:eastAsia="en-IN"/>
              </w:rPr>
            </w:pPr>
            <w:r w:rsidRPr="00AD4F7A">
              <w:rPr>
                <w:rFonts w:ascii="Garamond" w:eastAsia="Times New Roman" w:hAnsi="Garamond"/>
                <w:b/>
                <w:bCs/>
                <w:sz w:val="20"/>
                <w:lang w:eastAsia="en-IN"/>
              </w:rPr>
              <w:t>Oct-21</w:t>
            </w:r>
          </w:p>
        </w:tc>
        <w:tc>
          <w:tcPr>
            <w:tcW w:w="1574" w:type="dxa"/>
            <w:tcBorders>
              <w:top w:val="nil"/>
              <w:left w:val="nil"/>
              <w:bottom w:val="single" w:sz="4" w:space="0" w:color="auto"/>
              <w:right w:val="single" w:sz="4" w:space="0" w:color="auto"/>
            </w:tcBorders>
            <w:shd w:val="clear" w:color="8DB3E2" w:fill="8DB3E2"/>
            <w:vAlign w:val="center"/>
            <w:hideMark/>
          </w:tcPr>
          <w:p w:rsidR="00D23F20" w:rsidRPr="00AD4F7A" w:rsidRDefault="00D23F20" w:rsidP="00D23F20">
            <w:pPr>
              <w:jc w:val="center"/>
              <w:rPr>
                <w:rFonts w:ascii="Garamond" w:eastAsia="Times New Roman" w:hAnsi="Garamond"/>
                <w:b/>
                <w:bCs/>
                <w:sz w:val="20"/>
                <w:lang w:eastAsia="en-IN"/>
              </w:rPr>
            </w:pPr>
            <w:r w:rsidRPr="00AD4F7A">
              <w:rPr>
                <w:rFonts w:ascii="Garamond" w:eastAsia="Times New Roman" w:hAnsi="Garamond"/>
                <w:b/>
                <w:bCs/>
                <w:sz w:val="20"/>
                <w:lang w:eastAsia="en-IN"/>
              </w:rPr>
              <w:t>M-o-M Variation (%)</w:t>
            </w:r>
          </w:p>
        </w:tc>
      </w:tr>
      <w:tr w:rsidR="00D23F20" w:rsidRPr="00AD4F7A" w:rsidTr="00D23F20">
        <w:trPr>
          <w:trHeight w:val="208"/>
          <w:jc w:val="center"/>
        </w:trPr>
        <w:tc>
          <w:tcPr>
            <w:tcW w:w="10391" w:type="dxa"/>
            <w:gridSpan w:val="7"/>
            <w:tcBorders>
              <w:top w:val="single" w:sz="4" w:space="0" w:color="auto"/>
              <w:left w:val="single" w:sz="4" w:space="0" w:color="auto"/>
              <w:bottom w:val="single" w:sz="4" w:space="0" w:color="auto"/>
              <w:right w:val="single" w:sz="4" w:space="0" w:color="auto"/>
            </w:tcBorders>
            <w:shd w:val="clear" w:color="FFFFCC" w:fill="FFFFCC"/>
            <w:vAlign w:val="center"/>
            <w:hideMark/>
          </w:tcPr>
          <w:p w:rsidR="00D23F20" w:rsidRPr="00AD4F7A" w:rsidRDefault="00D23F20" w:rsidP="00D23F20">
            <w:pPr>
              <w:rPr>
                <w:rFonts w:ascii="Garamond" w:eastAsia="Times New Roman" w:hAnsi="Garamond"/>
                <w:b/>
                <w:bCs/>
                <w:sz w:val="20"/>
                <w:lang w:eastAsia="en-IN"/>
              </w:rPr>
            </w:pPr>
            <w:r w:rsidRPr="00AD4F7A">
              <w:rPr>
                <w:rFonts w:ascii="Garamond" w:eastAsia="Times New Roman" w:hAnsi="Garamond"/>
                <w:b/>
                <w:bCs/>
                <w:sz w:val="20"/>
                <w:lang w:eastAsia="en-IN"/>
              </w:rPr>
              <w:t xml:space="preserve">A. Turnover  </w:t>
            </w:r>
            <w:r w:rsidRPr="00AD4F7A">
              <w:rPr>
                <w:rFonts w:ascii="Garamond" w:eastAsia="Times New Roman" w:hAnsi="Garamond"/>
                <w:b/>
                <w:bCs/>
                <w:color w:val="000000"/>
                <w:sz w:val="20"/>
                <w:lang w:eastAsia="en-IN"/>
              </w:rPr>
              <w:t>(</w:t>
            </w:r>
            <w:r w:rsidRPr="00AD4F7A">
              <w:rPr>
                <w:rFonts w:ascii="Times New Roman" w:eastAsia="Palatino Linotype" w:hAnsi="Times New Roman"/>
                <w:sz w:val="20"/>
              </w:rPr>
              <w:t>₹</w:t>
            </w:r>
            <w:r w:rsidRPr="00AD4F7A">
              <w:rPr>
                <w:rFonts w:ascii="Garamond" w:eastAsia="Times New Roman" w:hAnsi="Garamond"/>
                <w:b/>
                <w:bCs/>
                <w:color w:val="000000"/>
                <w:sz w:val="20"/>
                <w:lang w:eastAsia="en-IN"/>
              </w:rPr>
              <w:t xml:space="preserve"> crore)</w:t>
            </w:r>
          </w:p>
        </w:tc>
      </w:tr>
      <w:tr w:rsidR="00D23F20" w:rsidRPr="00AD4F7A" w:rsidTr="00D23F20">
        <w:trPr>
          <w:trHeight w:val="208"/>
          <w:jc w:val="center"/>
        </w:trPr>
        <w:tc>
          <w:tcPr>
            <w:tcW w:w="2027" w:type="dxa"/>
            <w:tcBorders>
              <w:top w:val="nil"/>
              <w:left w:val="single" w:sz="4" w:space="0" w:color="auto"/>
              <w:bottom w:val="single" w:sz="4" w:space="0" w:color="auto"/>
              <w:right w:val="single" w:sz="4" w:space="0" w:color="auto"/>
            </w:tcBorders>
            <w:shd w:val="clear" w:color="C6D9F0" w:fill="C6D9F0"/>
            <w:noWrap/>
            <w:vAlign w:val="center"/>
            <w:hideMark/>
          </w:tcPr>
          <w:p w:rsidR="00D23F20" w:rsidRPr="00AD4F7A" w:rsidRDefault="00D23F20" w:rsidP="00D23F20">
            <w:pPr>
              <w:rPr>
                <w:rFonts w:ascii="Garamond" w:eastAsia="Times New Roman" w:hAnsi="Garamond"/>
                <w:sz w:val="20"/>
                <w:lang w:eastAsia="en-IN"/>
              </w:rPr>
            </w:pPr>
            <w:r w:rsidRPr="00AD4F7A">
              <w:rPr>
                <w:rFonts w:ascii="Garamond" w:eastAsia="Times New Roman" w:hAnsi="Garamond"/>
                <w:sz w:val="20"/>
                <w:lang w:eastAsia="en-IN"/>
              </w:rPr>
              <w:t xml:space="preserve">   (i) Index  Futures</w:t>
            </w:r>
          </w:p>
        </w:tc>
        <w:tc>
          <w:tcPr>
            <w:tcW w:w="1417"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6,28,544</w:t>
            </w:r>
          </w:p>
        </w:tc>
        <w:tc>
          <w:tcPr>
            <w:tcW w:w="1417" w:type="dxa"/>
            <w:tcBorders>
              <w:top w:val="nil"/>
              <w:left w:val="nil"/>
              <w:bottom w:val="single" w:sz="4" w:space="0" w:color="000000"/>
              <w:right w:val="single" w:sz="4" w:space="0" w:color="000000"/>
            </w:tcBorders>
            <w:shd w:val="clear" w:color="000000" w:fill="FFFFFF"/>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6,87,872</w:t>
            </w:r>
          </w:p>
        </w:tc>
        <w:tc>
          <w:tcPr>
            <w:tcW w:w="1371"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9.4</w:t>
            </w:r>
          </w:p>
        </w:tc>
        <w:tc>
          <w:tcPr>
            <w:tcW w:w="1305" w:type="dxa"/>
            <w:tcBorders>
              <w:top w:val="nil"/>
              <w:left w:val="nil"/>
              <w:bottom w:val="single" w:sz="4" w:space="0" w:color="auto"/>
              <w:right w:val="single" w:sz="4" w:space="0" w:color="auto"/>
            </w:tcBorders>
            <w:shd w:val="clear" w:color="auto" w:fill="auto"/>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0.5</w:t>
            </w:r>
          </w:p>
        </w:tc>
        <w:tc>
          <w:tcPr>
            <w:tcW w:w="1280" w:type="dxa"/>
            <w:tcBorders>
              <w:top w:val="nil"/>
              <w:left w:val="nil"/>
              <w:bottom w:val="single" w:sz="4" w:space="0" w:color="000000"/>
              <w:right w:val="single" w:sz="4" w:space="0" w:color="000000"/>
            </w:tcBorders>
            <w:shd w:val="clear" w:color="000000" w:fill="FFFFFF"/>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2</w:t>
            </w:r>
          </w:p>
        </w:tc>
        <w:tc>
          <w:tcPr>
            <w:tcW w:w="1574" w:type="dxa"/>
            <w:tcBorders>
              <w:top w:val="nil"/>
              <w:left w:val="nil"/>
              <w:bottom w:val="single" w:sz="4" w:space="0" w:color="auto"/>
              <w:right w:val="single" w:sz="4" w:space="0" w:color="auto"/>
            </w:tcBorders>
            <w:shd w:val="clear" w:color="auto" w:fill="auto"/>
            <w:noWrap/>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300.0</w:t>
            </w:r>
          </w:p>
        </w:tc>
      </w:tr>
      <w:tr w:rsidR="00D23F20" w:rsidRPr="00AD4F7A" w:rsidTr="00D23F20">
        <w:trPr>
          <w:trHeight w:val="208"/>
          <w:jc w:val="center"/>
        </w:trPr>
        <w:tc>
          <w:tcPr>
            <w:tcW w:w="2027" w:type="dxa"/>
            <w:tcBorders>
              <w:top w:val="nil"/>
              <w:left w:val="single" w:sz="4" w:space="0" w:color="auto"/>
              <w:bottom w:val="single" w:sz="4" w:space="0" w:color="auto"/>
              <w:right w:val="single" w:sz="4" w:space="0" w:color="auto"/>
            </w:tcBorders>
            <w:shd w:val="clear" w:color="C6D9F0" w:fill="C6D9F0"/>
            <w:noWrap/>
            <w:vAlign w:val="center"/>
            <w:hideMark/>
          </w:tcPr>
          <w:p w:rsidR="00D23F20" w:rsidRPr="00AD4F7A" w:rsidRDefault="00D23F20" w:rsidP="00D23F20">
            <w:pPr>
              <w:rPr>
                <w:rFonts w:ascii="Garamond" w:eastAsia="Times New Roman" w:hAnsi="Garamond"/>
                <w:sz w:val="20"/>
                <w:lang w:eastAsia="en-IN"/>
              </w:rPr>
            </w:pPr>
            <w:r w:rsidRPr="00AD4F7A">
              <w:rPr>
                <w:rFonts w:ascii="Garamond" w:eastAsia="Times New Roman" w:hAnsi="Garamond"/>
                <w:sz w:val="20"/>
                <w:lang w:eastAsia="en-IN"/>
              </w:rPr>
              <w:t xml:space="preserve">   (ii) Options on Index</w:t>
            </w:r>
          </w:p>
        </w:tc>
        <w:tc>
          <w:tcPr>
            <w:tcW w:w="1417"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 </w:t>
            </w:r>
          </w:p>
        </w:tc>
        <w:tc>
          <w:tcPr>
            <w:tcW w:w="1417"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p>
        </w:tc>
        <w:tc>
          <w:tcPr>
            <w:tcW w:w="1371"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p>
        </w:tc>
        <w:tc>
          <w:tcPr>
            <w:tcW w:w="1305"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 </w:t>
            </w:r>
          </w:p>
        </w:tc>
        <w:tc>
          <w:tcPr>
            <w:tcW w:w="1280"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p>
        </w:tc>
        <w:tc>
          <w:tcPr>
            <w:tcW w:w="1574" w:type="dxa"/>
            <w:tcBorders>
              <w:top w:val="nil"/>
              <w:left w:val="nil"/>
              <w:bottom w:val="single" w:sz="4" w:space="0" w:color="auto"/>
              <w:right w:val="single" w:sz="4" w:space="0" w:color="auto"/>
            </w:tcBorders>
            <w:shd w:val="clear" w:color="auto" w:fill="auto"/>
            <w:noWrap/>
            <w:hideMark/>
          </w:tcPr>
          <w:p w:rsidR="00D23F20" w:rsidRPr="00AD4F7A" w:rsidRDefault="00D23F20" w:rsidP="00D23F20">
            <w:pPr>
              <w:jc w:val="right"/>
              <w:rPr>
                <w:rFonts w:ascii="Garamond" w:eastAsia="Times New Roman" w:hAnsi="Garamond"/>
                <w:color w:val="000000"/>
                <w:sz w:val="20"/>
                <w:lang w:eastAsia="en-IN"/>
              </w:rPr>
            </w:pPr>
          </w:p>
        </w:tc>
      </w:tr>
      <w:tr w:rsidR="00D23F20" w:rsidRPr="00AD4F7A" w:rsidTr="00D23F20">
        <w:trPr>
          <w:trHeight w:val="208"/>
          <w:jc w:val="center"/>
        </w:trPr>
        <w:tc>
          <w:tcPr>
            <w:tcW w:w="2027" w:type="dxa"/>
            <w:tcBorders>
              <w:top w:val="nil"/>
              <w:left w:val="single" w:sz="4" w:space="0" w:color="auto"/>
              <w:bottom w:val="single" w:sz="4" w:space="0" w:color="auto"/>
              <w:right w:val="single" w:sz="4" w:space="0" w:color="auto"/>
            </w:tcBorders>
            <w:shd w:val="clear" w:color="C6D9F0" w:fill="C6D9F0"/>
            <w:noWrap/>
            <w:vAlign w:val="center"/>
            <w:hideMark/>
          </w:tcPr>
          <w:p w:rsidR="00D23F20" w:rsidRPr="00AD4F7A" w:rsidRDefault="00D23F20" w:rsidP="00D23F20">
            <w:pPr>
              <w:rPr>
                <w:rFonts w:ascii="Garamond" w:eastAsia="Times New Roman" w:hAnsi="Garamond"/>
                <w:i/>
                <w:iCs/>
                <w:sz w:val="20"/>
                <w:lang w:eastAsia="en-IN"/>
              </w:rPr>
            </w:pPr>
            <w:r w:rsidRPr="00AD4F7A">
              <w:rPr>
                <w:rFonts w:ascii="Garamond" w:eastAsia="Times New Roman" w:hAnsi="Garamond"/>
                <w:i/>
                <w:iCs/>
                <w:sz w:val="20"/>
                <w:lang w:eastAsia="en-IN"/>
              </w:rPr>
              <w:t xml:space="preserve">            Put</w:t>
            </w:r>
          </w:p>
        </w:tc>
        <w:tc>
          <w:tcPr>
            <w:tcW w:w="1417"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6,40,78,948</w:t>
            </w:r>
          </w:p>
        </w:tc>
        <w:tc>
          <w:tcPr>
            <w:tcW w:w="1417" w:type="dxa"/>
            <w:tcBorders>
              <w:top w:val="nil"/>
              <w:left w:val="nil"/>
              <w:bottom w:val="single" w:sz="4" w:space="0" w:color="000000"/>
              <w:right w:val="single" w:sz="4" w:space="0" w:color="000000"/>
            </w:tcBorders>
            <w:shd w:val="clear" w:color="000000" w:fill="FFFFFF"/>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6,16,96,432</w:t>
            </w:r>
          </w:p>
        </w:tc>
        <w:tc>
          <w:tcPr>
            <w:tcW w:w="1371"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-3.7</w:t>
            </w:r>
          </w:p>
        </w:tc>
        <w:tc>
          <w:tcPr>
            <w:tcW w:w="1305"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14,40,112</w:t>
            </w:r>
          </w:p>
        </w:tc>
        <w:tc>
          <w:tcPr>
            <w:tcW w:w="1280" w:type="dxa"/>
            <w:tcBorders>
              <w:top w:val="nil"/>
              <w:left w:val="nil"/>
              <w:bottom w:val="single" w:sz="4" w:space="0" w:color="000000"/>
              <w:right w:val="nil"/>
            </w:tcBorders>
            <w:shd w:val="clear" w:color="000000" w:fill="FFFFFF"/>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14,85,940</w:t>
            </w:r>
          </w:p>
        </w:tc>
        <w:tc>
          <w:tcPr>
            <w:tcW w:w="1574" w:type="dxa"/>
            <w:tcBorders>
              <w:top w:val="nil"/>
              <w:left w:val="single" w:sz="4" w:space="0" w:color="auto"/>
              <w:bottom w:val="single" w:sz="4" w:space="0" w:color="auto"/>
              <w:right w:val="single" w:sz="4" w:space="0" w:color="auto"/>
            </w:tcBorders>
            <w:shd w:val="clear" w:color="auto" w:fill="auto"/>
            <w:noWrap/>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3.2</w:t>
            </w:r>
          </w:p>
        </w:tc>
      </w:tr>
      <w:tr w:rsidR="00D23F20" w:rsidRPr="00AD4F7A" w:rsidTr="00D23F20">
        <w:trPr>
          <w:trHeight w:val="208"/>
          <w:jc w:val="center"/>
        </w:trPr>
        <w:tc>
          <w:tcPr>
            <w:tcW w:w="2027" w:type="dxa"/>
            <w:tcBorders>
              <w:top w:val="nil"/>
              <w:left w:val="single" w:sz="4" w:space="0" w:color="auto"/>
              <w:bottom w:val="single" w:sz="4" w:space="0" w:color="auto"/>
              <w:right w:val="single" w:sz="4" w:space="0" w:color="auto"/>
            </w:tcBorders>
            <w:shd w:val="clear" w:color="C6D9F0" w:fill="C6D9F0"/>
            <w:noWrap/>
            <w:vAlign w:val="center"/>
            <w:hideMark/>
          </w:tcPr>
          <w:p w:rsidR="00D23F20" w:rsidRPr="00AD4F7A" w:rsidRDefault="00D23F20" w:rsidP="00D23F20">
            <w:pPr>
              <w:rPr>
                <w:rFonts w:ascii="Garamond" w:eastAsia="Times New Roman" w:hAnsi="Garamond"/>
                <w:i/>
                <w:iCs/>
                <w:sz w:val="20"/>
                <w:lang w:eastAsia="en-IN"/>
              </w:rPr>
            </w:pPr>
            <w:r w:rsidRPr="00AD4F7A">
              <w:rPr>
                <w:rFonts w:ascii="Garamond" w:eastAsia="Times New Roman" w:hAnsi="Garamond"/>
                <w:i/>
                <w:iCs/>
                <w:sz w:val="20"/>
                <w:lang w:eastAsia="en-IN"/>
              </w:rPr>
              <w:t xml:space="preserve">           Call</w:t>
            </w:r>
          </w:p>
        </w:tc>
        <w:tc>
          <w:tcPr>
            <w:tcW w:w="1417"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7,11,89,891</w:t>
            </w:r>
          </w:p>
        </w:tc>
        <w:tc>
          <w:tcPr>
            <w:tcW w:w="1417" w:type="dxa"/>
            <w:tcBorders>
              <w:top w:val="nil"/>
              <w:left w:val="nil"/>
              <w:bottom w:val="single" w:sz="4" w:space="0" w:color="000000"/>
              <w:right w:val="single" w:sz="4" w:space="0" w:color="000000"/>
            </w:tcBorders>
            <w:shd w:val="clear" w:color="000000" w:fill="FFFFFF"/>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6,92,76,282</w:t>
            </w:r>
          </w:p>
        </w:tc>
        <w:tc>
          <w:tcPr>
            <w:tcW w:w="1371"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-2.7</w:t>
            </w:r>
          </w:p>
        </w:tc>
        <w:tc>
          <w:tcPr>
            <w:tcW w:w="1305"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19,70,623</w:t>
            </w:r>
          </w:p>
        </w:tc>
        <w:tc>
          <w:tcPr>
            <w:tcW w:w="1280" w:type="dxa"/>
            <w:tcBorders>
              <w:top w:val="nil"/>
              <w:left w:val="nil"/>
              <w:bottom w:val="single" w:sz="4" w:space="0" w:color="000000"/>
              <w:right w:val="single" w:sz="4" w:space="0" w:color="000000"/>
            </w:tcBorders>
            <w:shd w:val="clear" w:color="000000" w:fill="FFFFFF"/>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31,15,746</w:t>
            </w:r>
          </w:p>
        </w:tc>
        <w:tc>
          <w:tcPr>
            <w:tcW w:w="1574" w:type="dxa"/>
            <w:tcBorders>
              <w:top w:val="nil"/>
              <w:left w:val="nil"/>
              <w:bottom w:val="single" w:sz="4" w:space="0" w:color="auto"/>
              <w:right w:val="single" w:sz="4" w:space="0" w:color="auto"/>
            </w:tcBorders>
            <w:shd w:val="clear" w:color="auto" w:fill="auto"/>
            <w:noWrap/>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58.1</w:t>
            </w:r>
          </w:p>
        </w:tc>
      </w:tr>
      <w:tr w:rsidR="00D23F20" w:rsidRPr="00AD4F7A" w:rsidTr="00D23F20">
        <w:trPr>
          <w:trHeight w:val="208"/>
          <w:jc w:val="center"/>
        </w:trPr>
        <w:tc>
          <w:tcPr>
            <w:tcW w:w="2027" w:type="dxa"/>
            <w:tcBorders>
              <w:top w:val="nil"/>
              <w:left w:val="single" w:sz="4" w:space="0" w:color="auto"/>
              <w:bottom w:val="single" w:sz="4" w:space="0" w:color="auto"/>
              <w:right w:val="single" w:sz="4" w:space="0" w:color="auto"/>
            </w:tcBorders>
            <w:shd w:val="clear" w:color="C6D9F0" w:fill="C6D9F0"/>
            <w:noWrap/>
            <w:vAlign w:val="center"/>
            <w:hideMark/>
          </w:tcPr>
          <w:p w:rsidR="00D23F20" w:rsidRPr="00AD4F7A" w:rsidRDefault="00D23F20" w:rsidP="00D23F20">
            <w:pPr>
              <w:rPr>
                <w:rFonts w:ascii="Garamond" w:eastAsia="Times New Roman" w:hAnsi="Garamond"/>
                <w:sz w:val="20"/>
                <w:lang w:eastAsia="en-IN"/>
              </w:rPr>
            </w:pPr>
            <w:r w:rsidRPr="00AD4F7A">
              <w:rPr>
                <w:rFonts w:ascii="Garamond" w:eastAsia="Times New Roman" w:hAnsi="Garamond"/>
                <w:sz w:val="20"/>
                <w:lang w:eastAsia="en-IN"/>
              </w:rPr>
              <w:t xml:space="preserve">  (iii) Stock Futures</w:t>
            </w:r>
          </w:p>
        </w:tc>
        <w:tc>
          <w:tcPr>
            <w:tcW w:w="1417"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18,92,759</w:t>
            </w:r>
          </w:p>
        </w:tc>
        <w:tc>
          <w:tcPr>
            <w:tcW w:w="1417" w:type="dxa"/>
            <w:tcBorders>
              <w:top w:val="nil"/>
              <w:left w:val="nil"/>
              <w:bottom w:val="single" w:sz="4" w:space="0" w:color="000000"/>
              <w:right w:val="single" w:sz="4" w:space="0" w:color="000000"/>
            </w:tcBorders>
            <w:shd w:val="clear" w:color="000000" w:fill="FFFFFF"/>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22,45,565</w:t>
            </w:r>
          </w:p>
        </w:tc>
        <w:tc>
          <w:tcPr>
            <w:tcW w:w="1371"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18.6</w:t>
            </w:r>
          </w:p>
        </w:tc>
        <w:tc>
          <w:tcPr>
            <w:tcW w:w="1305"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0</w:t>
            </w:r>
          </w:p>
        </w:tc>
        <w:tc>
          <w:tcPr>
            <w:tcW w:w="1280"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0</w:t>
            </w:r>
          </w:p>
        </w:tc>
        <w:tc>
          <w:tcPr>
            <w:tcW w:w="1574" w:type="dxa"/>
            <w:tcBorders>
              <w:top w:val="nil"/>
              <w:left w:val="nil"/>
              <w:bottom w:val="single" w:sz="4" w:space="0" w:color="auto"/>
              <w:right w:val="single" w:sz="4" w:space="0" w:color="auto"/>
            </w:tcBorders>
            <w:shd w:val="clear" w:color="auto" w:fill="auto"/>
            <w:noWrap/>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w:t>
            </w:r>
          </w:p>
        </w:tc>
      </w:tr>
      <w:tr w:rsidR="00D23F20" w:rsidRPr="00AD4F7A" w:rsidTr="00D23F20">
        <w:trPr>
          <w:trHeight w:val="208"/>
          <w:jc w:val="center"/>
        </w:trPr>
        <w:tc>
          <w:tcPr>
            <w:tcW w:w="2027" w:type="dxa"/>
            <w:tcBorders>
              <w:top w:val="nil"/>
              <w:left w:val="single" w:sz="4" w:space="0" w:color="auto"/>
              <w:bottom w:val="single" w:sz="4" w:space="0" w:color="auto"/>
              <w:right w:val="single" w:sz="4" w:space="0" w:color="auto"/>
            </w:tcBorders>
            <w:shd w:val="clear" w:color="C6D9F0" w:fill="C6D9F0"/>
            <w:noWrap/>
            <w:vAlign w:val="center"/>
            <w:hideMark/>
          </w:tcPr>
          <w:p w:rsidR="00D23F20" w:rsidRPr="00AD4F7A" w:rsidRDefault="00D23F20" w:rsidP="00D23F20">
            <w:pPr>
              <w:rPr>
                <w:rFonts w:ascii="Garamond" w:eastAsia="Times New Roman" w:hAnsi="Garamond"/>
                <w:sz w:val="20"/>
                <w:lang w:eastAsia="en-IN"/>
              </w:rPr>
            </w:pPr>
            <w:r w:rsidRPr="00AD4F7A">
              <w:rPr>
                <w:rFonts w:ascii="Garamond" w:eastAsia="Times New Roman" w:hAnsi="Garamond"/>
                <w:sz w:val="20"/>
                <w:lang w:eastAsia="en-IN"/>
              </w:rPr>
              <w:t>(iv) Options on Stock</w:t>
            </w:r>
          </w:p>
        </w:tc>
        <w:tc>
          <w:tcPr>
            <w:tcW w:w="1417"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 </w:t>
            </w:r>
          </w:p>
        </w:tc>
        <w:tc>
          <w:tcPr>
            <w:tcW w:w="1417"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p>
        </w:tc>
        <w:tc>
          <w:tcPr>
            <w:tcW w:w="1371"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p>
        </w:tc>
        <w:tc>
          <w:tcPr>
            <w:tcW w:w="1305"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 </w:t>
            </w:r>
          </w:p>
        </w:tc>
        <w:tc>
          <w:tcPr>
            <w:tcW w:w="1280"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 </w:t>
            </w:r>
          </w:p>
        </w:tc>
        <w:tc>
          <w:tcPr>
            <w:tcW w:w="1574" w:type="dxa"/>
            <w:tcBorders>
              <w:top w:val="nil"/>
              <w:left w:val="nil"/>
              <w:bottom w:val="single" w:sz="4" w:space="0" w:color="auto"/>
              <w:right w:val="single" w:sz="4" w:space="0" w:color="auto"/>
            </w:tcBorders>
            <w:shd w:val="clear" w:color="auto" w:fill="auto"/>
            <w:noWrap/>
            <w:hideMark/>
          </w:tcPr>
          <w:p w:rsidR="00D23F20" w:rsidRPr="00AD4F7A" w:rsidRDefault="00D23F20" w:rsidP="00D23F20">
            <w:pPr>
              <w:jc w:val="right"/>
              <w:rPr>
                <w:rFonts w:ascii="Garamond" w:eastAsia="Times New Roman" w:hAnsi="Garamond"/>
                <w:color w:val="000000"/>
                <w:sz w:val="20"/>
                <w:lang w:eastAsia="en-IN"/>
              </w:rPr>
            </w:pPr>
          </w:p>
        </w:tc>
      </w:tr>
      <w:tr w:rsidR="00D23F20" w:rsidRPr="00AD4F7A" w:rsidTr="00D23F20">
        <w:trPr>
          <w:trHeight w:val="208"/>
          <w:jc w:val="center"/>
        </w:trPr>
        <w:tc>
          <w:tcPr>
            <w:tcW w:w="2027" w:type="dxa"/>
            <w:tcBorders>
              <w:top w:val="nil"/>
              <w:left w:val="single" w:sz="4" w:space="0" w:color="auto"/>
              <w:bottom w:val="single" w:sz="4" w:space="0" w:color="auto"/>
              <w:right w:val="single" w:sz="4" w:space="0" w:color="auto"/>
            </w:tcBorders>
            <w:shd w:val="clear" w:color="C6D9F0" w:fill="C6D9F0"/>
            <w:noWrap/>
            <w:vAlign w:val="center"/>
            <w:hideMark/>
          </w:tcPr>
          <w:p w:rsidR="00D23F20" w:rsidRPr="00AD4F7A" w:rsidRDefault="00D23F20" w:rsidP="00D23F20">
            <w:pPr>
              <w:rPr>
                <w:rFonts w:ascii="Garamond" w:eastAsia="Times New Roman" w:hAnsi="Garamond"/>
                <w:i/>
                <w:iCs/>
                <w:sz w:val="20"/>
                <w:lang w:eastAsia="en-IN"/>
              </w:rPr>
            </w:pPr>
            <w:r w:rsidRPr="00AD4F7A">
              <w:rPr>
                <w:rFonts w:ascii="Garamond" w:eastAsia="Times New Roman" w:hAnsi="Garamond"/>
                <w:i/>
                <w:iCs/>
                <w:sz w:val="20"/>
                <w:lang w:eastAsia="en-IN"/>
              </w:rPr>
              <w:t xml:space="preserve">            Put</w:t>
            </w:r>
          </w:p>
        </w:tc>
        <w:tc>
          <w:tcPr>
            <w:tcW w:w="1417"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15,27,572</w:t>
            </w:r>
          </w:p>
        </w:tc>
        <w:tc>
          <w:tcPr>
            <w:tcW w:w="1417" w:type="dxa"/>
            <w:tcBorders>
              <w:top w:val="nil"/>
              <w:left w:val="nil"/>
              <w:bottom w:val="single" w:sz="4" w:space="0" w:color="000000"/>
              <w:right w:val="single" w:sz="4" w:space="0" w:color="000000"/>
            </w:tcBorders>
            <w:shd w:val="clear" w:color="000000" w:fill="FFFFFF"/>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16,50,374</w:t>
            </w:r>
          </w:p>
        </w:tc>
        <w:tc>
          <w:tcPr>
            <w:tcW w:w="1371"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8.0</w:t>
            </w:r>
          </w:p>
        </w:tc>
        <w:tc>
          <w:tcPr>
            <w:tcW w:w="1305" w:type="dxa"/>
            <w:tcBorders>
              <w:top w:val="nil"/>
              <w:left w:val="nil"/>
              <w:bottom w:val="single" w:sz="4" w:space="0" w:color="auto"/>
              <w:right w:val="single" w:sz="4" w:space="0" w:color="auto"/>
            </w:tcBorders>
            <w:shd w:val="clear" w:color="auto" w:fill="auto"/>
            <w:noWrap/>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0</w:t>
            </w:r>
          </w:p>
        </w:tc>
        <w:tc>
          <w:tcPr>
            <w:tcW w:w="1280"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0</w:t>
            </w:r>
          </w:p>
        </w:tc>
        <w:tc>
          <w:tcPr>
            <w:tcW w:w="1574" w:type="dxa"/>
            <w:tcBorders>
              <w:top w:val="nil"/>
              <w:left w:val="nil"/>
              <w:bottom w:val="single" w:sz="4" w:space="0" w:color="auto"/>
              <w:right w:val="single" w:sz="4" w:space="0" w:color="auto"/>
            </w:tcBorders>
            <w:shd w:val="clear" w:color="auto" w:fill="auto"/>
            <w:noWrap/>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w:t>
            </w:r>
          </w:p>
        </w:tc>
      </w:tr>
      <w:tr w:rsidR="00D23F20" w:rsidRPr="00AD4F7A" w:rsidTr="00D23F20">
        <w:trPr>
          <w:trHeight w:val="208"/>
          <w:jc w:val="center"/>
        </w:trPr>
        <w:tc>
          <w:tcPr>
            <w:tcW w:w="2027" w:type="dxa"/>
            <w:tcBorders>
              <w:top w:val="nil"/>
              <w:left w:val="single" w:sz="4" w:space="0" w:color="auto"/>
              <w:bottom w:val="single" w:sz="4" w:space="0" w:color="auto"/>
              <w:right w:val="single" w:sz="4" w:space="0" w:color="auto"/>
            </w:tcBorders>
            <w:shd w:val="clear" w:color="C6D9F0" w:fill="C6D9F0"/>
            <w:noWrap/>
            <w:vAlign w:val="center"/>
            <w:hideMark/>
          </w:tcPr>
          <w:p w:rsidR="00D23F20" w:rsidRPr="00AD4F7A" w:rsidRDefault="00D23F20" w:rsidP="00D23F20">
            <w:pPr>
              <w:rPr>
                <w:rFonts w:ascii="Garamond" w:eastAsia="Times New Roman" w:hAnsi="Garamond"/>
                <w:i/>
                <w:iCs/>
                <w:sz w:val="20"/>
                <w:lang w:eastAsia="en-IN"/>
              </w:rPr>
            </w:pPr>
            <w:r w:rsidRPr="00AD4F7A">
              <w:rPr>
                <w:rFonts w:ascii="Garamond" w:eastAsia="Times New Roman" w:hAnsi="Garamond"/>
                <w:i/>
                <w:iCs/>
                <w:sz w:val="20"/>
                <w:lang w:eastAsia="en-IN"/>
              </w:rPr>
              <w:t xml:space="preserve">          Call</w:t>
            </w:r>
          </w:p>
        </w:tc>
        <w:tc>
          <w:tcPr>
            <w:tcW w:w="1417"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47,57,200</w:t>
            </w:r>
          </w:p>
        </w:tc>
        <w:tc>
          <w:tcPr>
            <w:tcW w:w="1417" w:type="dxa"/>
            <w:tcBorders>
              <w:top w:val="nil"/>
              <w:left w:val="nil"/>
              <w:bottom w:val="single" w:sz="4" w:space="0" w:color="000000"/>
              <w:right w:val="single" w:sz="4" w:space="0" w:color="000000"/>
            </w:tcBorders>
            <w:shd w:val="clear" w:color="000000" w:fill="FFFFFF"/>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48,34,881</w:t>
            </w:r>
          </w:p>
        </w:tc>
        <w:tc>
          <w:tcPr>
            <w:tcW w:w="1371"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1.6</w:t>
            </w:r>
          </w:p>
        </w:tc>
        <w:tc>
          <w:tcPr>
            <w:tcW w:w="1305" w:type="dxa"/>
            <w:tcBorders>
              <w:top w:val="nil"/>
              <w:left w:val="nil"/>
              <w:bottom w:val="single" w:sz="4" w:space="0" w:color="auto"/>
              <w:right w:val="single" w:sz="4" w:space="0" w:color="auto"/>
            </w:tcBorders>
            <w:shd w:val="clear" w:color="auto" w:fill="auto"/>
            <w:noWrap/>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0.1</w:t>
            </w:r>
          </w:p>
        </w:tc>
        <w:tc>
          <w:tcPr>
            <w:tcW w:w="1280"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0</w:t>
            </w:r>
          </w:p>
        </w:tc>
        <w:tc>
          <w:tcPr>
            <w:tcW w:w="1574" w:type="dxa"/>
            <w:tcBorders>
              <w:top w:val="nil"/>
              <w:left w:val="nil"/>
              <w:bottom w:val="single" w:sz="4" w:space="0" w:color="auto"/>
              <w:right w:val="single" w:sz="4" w:space="0" w:color="auto"/>
            </w:tcBorders>
            <w:shd w:val="clear" w:color="auto" w:fill="auto"/>
            <w:noWrap/>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-100.0</w:t>
            </w:r>
          </w:p>
        </w:tc>
      </w:tr>
      <w:tr w:rsidR="00D23F20" w:rsidRPr="00AD4F7A" w:rsidTr="00D23F20">
        <w:trPr>
          <w:trHeight w:val="208"/>
          <w:jc w:val="center"/>
        </w:trPr>
        <w:tc>
          <w:tcPr>
            <w:tcW w:w="2027" w:type="dxa"/>
            <w:tcBorders>
              <w:top w:val="nil"/>
              <w:left w:val="single" w:sz="4" w:space="0" w:color="auto"/>
              <w:bottom w:val="single" w:sz="4" w:space="0" w:color="auto"/>
              <w:right w:val="single" w:sz="4" w:space="0" w:color="auto"/>
            </w:tcBorders>
            <w:shd w:val="clear" w:color="C6D9F0" w:fill="C6D9F0"/>
            <w:noWrap/>
            <w:vAlign w:val="center"/>
            <w:hideMark/>
          </w:tcPr>
          <w:p w:rsidR="00D23F20" w:rsidRPr="00AD4F7A" w:rsidRDefault="00D23F20" w:rsidP="00D23F20">
            <w:pPr>
              <w:rPr>
                <w:rFonts w:ascii="Garamond" w:eastAsia="Times New Roman" w:hAnsi="Garamond"/>
                <w:b/>
                <w:bCs/>
                <w:sz w:val="20"/>
                <w:lang w:eastAsia="en-IN"/>
              </w:rPr>
            </w:pPr>
            <w:r w:rsidRPr="00AD4F7A">
              <w:rPr>
                <w:rFonts w:ascii="Garamond" w:eastAsia="Times New Roman" w:hAnsi="Garamond"/>
                <w:b/>
                <w:bCs/>
                <w:sz w:val="20"/>
                <w:lang w:eastAsia="en-IN"/>
              </w:rPr>
              <w:t xml:space="preserve">         Total</w:t>
            </w:r>
          </w:p>
        </w:tc>
        <w:tc>
          <w:tcPr>
            <w:tcW w:w="1417" w:type="dxa"/>
            <w:tcBorders>
              <w:top w:val="nil"/>
              <w:left w:val="nil"/>
              <w:bottom w:val="single" w:sz="4" w:space="0" w:color="auto"/>
              <w:right w:val="single" w:sz="4" w:space="0" w:color="auto"/>
            </w:tcBorders>
            <w:shd w:val="clear" w:color="C6D9F0" w:fill="C6D9F0"/>
            <w:noWrap/>
            <w:vAlign w:val="center"/>
            <w:hideMark/>
          </w:tcPr>
          <w:p w:rsidR="00D23F20" w:rsidRPr="00AD4F7A" w:rsidRDefault="00D23F20" w:rsidP="00D23F20">
            <w:pPr>
              <w:jc w:val="right"/>
              <w:rPr>
                <w:rFonts w:ascii="Garamond" w:eastAsia="Times New Roman" w:hAnsi="Garamond"/>
                <w:b/>
                <w:bCs/>
                <w:sz w:val="20"/>
                <w:lang w:eastAsia="en-IN"/>
              </w:rPr>
            </w:pPr>
            <w:r w:rsidRPr="00AD4F7A">
              <w:rPr>
                <w:rFonts w:ascii="Garamond" w:eastAsia="Times New Roman" w:hAnsi="Garamond"/>
                <w:b/>
                <w:bCs/>
                <w:sz w:val="20"/>
                <w:lang w:eastAsia="en-IN"/>
              </w:rPr>
              <w:t>14,40,74,913</w:t>
            </w:r>
          </w:p>
        </w:tc>
        <w:tc>
          <w:tcPr>
            <w:tcW w:w="1417" w:type="dxa"/>
            <w:tcBorders>
              <w:top w:val="nil"/>
              <w:left w:val="nil"/>
              <w:bottom w:val="single" w:sz="4" w:space="0" w:color="auto"/>
              <w:right w:val="single" w:sz="4" w:space="0" w:color="auto"/>
            </w:tcBorders>
            <w:shd w:val="clear" w:color="C6D9F0" w:fill="C6D9F0"/>
            <w:noWrap/>
            <w:vAlign w:val="center"/>
            <w:hideMark/>
          </w:tcPr>
          <w:p w:rsidR="00D23F20" w:rsidRPr="00AD4F7A" w:rsidRDefault="00D23F20" w:rsidP="00D23F20">
            <w:pPr>
              <w:jc w:val="right"/>
              <w:rPr>
                <w:rFonts w:ascii="Garamond" w:eastAsia="Times New Roman" w:hAnsi="Garamond"/>
                <w:b/>
                <w:bCs/>
                <w:sz w:val="20"/>
                <w:lang w:eastAsia="en-IN"/>
              </w:rPr>
            </w:pPr>
            <w:r w:rsidRPr="00AD4F7A">
              <w:rPr>
                <w:rFonts w:ascii="Garamond" w:eastAsia="Times New Roman" w:hAnsi="Garamond"/>
                <w:b/>
                <w:bCs/>
                <w:sz w:val="20"/>
                <w:lang w:eastAsia="en-IN"/>
              </w:rPr>
              <w:t>14,03,91,406</w:t>
            </w:r>
          </w:p>
        </w:tc>
        <w:tc>
          <w:tcPr>
            <w:tcW w:w="1371" w:type="dxa"/>
            <w:tcBorders>
              <w:top w:val="nil"/>
              <w:left w:val="nil"/>
              <w:bottom w:val="single" w:sz="4" w:space="0" w:color="auto"/>
              <w:right w:val="single" w:sz="4" w:space="0" w:color="auto"/>
            </w:tcBorders>
            <w:shd w:val="clear" w:color="C6D9F0" w:fill="C6D9F0"/>
            <w:noWrap/>
            <w:vAlign w:val="bottom"/>
            <w:hideMark/>
          </w:tcPr>
          <w:p w:rsidR="00D23F20" w:rsidRPr="00AD4F7A" w:rsidRDefault="00D23F20" w:rsidP="00D23F20">
            <w:pPr>
              <w:jc w:val="right"/>
              <w:rPr>
                <w:rFonts w:ascii="Garamond" w:eastAsia="Times New Roman" w:hAnsi="Garamond"/>
                <w:b/>
                <w:bCs/>
                <w:color w:val="000000"/>
                <w:sz w:val="20"/>
                <w:lang w:eastAsia="en-IN"/>
              </w:rPr>
            </w:pPr>
            <w:r w:rsidRPr="00AD4F7A">
              <w:rPr>
                <w:rFonts w:ascii="Garamond" w:eastAsia="Times New Roman" w:hAnsi="Garamond"/>
                <w:b/>
                <w:bCs/>
                <w:color w:val="000000"/>
                <w:sz w:val="20"/>
                <w:lang w:eastAsia="en-IN"/>
              </w:rPr>
              <w:t>-2.6</w:t>
            </w:r>
          </w:p>
        </w:tc>
        <w:tc>
          <w:tcPr>
            <w:tcW w:w="1305" w:type="dxa"/>
            <w:tcBorders>
              <w:top w:val="nil"/>
              <w:left w:val="nil"/>
              <w:bottom w:val="single" w:sz="4" w:space="0" w:color="auto"/>
              <w:right w:val="single" w:sz="4" w:space="0" w:color="auto"/>
            </w:tcBorders>
            <w:shd w:val="clear" w:color="C6D9F0" w:fill="C6D9F0"/>
            <w:noWrap/>
            <w:vAlign w:val="center"/>
            <w:hideMark/>
          </w:tcPr>
          <w:p w:rsidR="00D23F20" w:rsidRPr="00AD4F7A" w:rsidRDefault="00D23F20" w:rsidP="00D23F20">
            <w:pPr>
              <w:jc w:val="right"/>
              <w:rPr>
                <w:rFonts w:ascii="Garamond" w:eastAsia="Times New Roman" w:hAnsi="Garamond"/>
                <w:b/>
                <w:bCs/>
                <w:sz w:val="20"/>
                <w:lang w:eastAsia="en-IN"/>
              </w:rPr>
            </w:pPr>
            <w:r w:rsidRPr="00AD4F7A">
              <w:rPr>
                <w:rFonts w:ascii="Garamond" w:eastAsia="Times New Roman" w:hAnsi="Garamond"/>
                <w:b/>
                <w:bCs/>
                <w:sz w:val="20"/>
                <w:lang w:eastAsia="en-IN"/>
              </w:rPr>
              <w:t>34,10,735</w:t>
            </w:r>
          </w:p>
        </w:tc>
        <w:tc>
          <w:tcPr>
            <w:tcW w:w="1280" w:type="dxa"/>
            <w:tcBorders>
              <w:top w:val="nil"/>
              <w:left w:val="nil"/>
              <w:bottom w:val="single" w:sz="4" w:space="0" w:color="auto"/>
              <w:right w:val="single" w:sz="4" w:space="0" w:color="auto"/>
            </w:tcBorders>
            <w:shd w:val="clear" w:color="C6D9F0" w:fill="C6D9F0"/>
            <w:noWrap/>
            <w:vAlign w:val="center"/>
            <w:hideMark/>
          </w:tcPr>
          <w:p w:rsidR="00D23F20" w:rsidRPr="00AD4F7A" w:rsidRDefault="00D23F20" w:rsidP="00D23F20">
            <w:pPr>
              <w:jc w:val="right"/>
              <w:rPr>
                <w:rFonts w:ascii="Garamond" w:eastAsia="Times New Roman" w:hAnsi="Garamond"/>
                <w:b/>
                <w:bCs/>
                <w:sz w:val="20"/>
                <w:lang w:eastAsia="en-IN"/>
              </w:rPr>
            </w:pPr>
            <w:r w:rsidRPr="00AD4F7A">
              <w:rPr>
                <w:rFonts w:ascii="Garamond" w:eastAsia="Times New Roman" w:hAnsi="Garamond"/>
                <w:b/>
                <w:bCs/>
                <w:sz w:val="20"/>
                <w:lang w:eastAsia="en-IN"/>
              </w:rPr>
              <w:t>46,01,688</w:t>
            </w:r>
          </w:p>
        </w:tc>
        <w:tc>
          <w:tcPr>
            <w:tcW w:w="1574" w:type="dxa"/>
            <w:tcBorders>
              <w:top w:val="nil"/>
              <w:left w:val="nil"/>
              <w:bottom w:val="single" w:sz="4" w:space="0" w:color="auto"/>
              <w:right w:val="single" w:sz="4" w:space="0" w:color="auto"/>
            </w:tcBorders>
            <w:shd w:val="clear" w:color="C6D9F0" w:fill="C6D9F0"/>
            <w:noWrap/>
            <w:hideMark/>
          </w:tcPr>
          <w:p w:rsidR="00D23F20" w:rsidRPr="00AD4F7A" w:rsidRDefault="00D23F20" w:rsidP="00D23F20">
            <w:pPr>
              <w:jc w:val="right"/>
              <w:rPr>
                <w:rFonts w:ascii="Garamond" w:eastAsia="Times New Roman" w:hAnsi="Garamond"/>
                <w:b/>
                <w:bCs/>
                <w:color w:val="000000"/>
                <w:sz w:val="20"/>
                <w:lang w:eastAsia="en-IN"/>
              </w:rPr>
            </w:pPr>
            <w:r w:rsidRPr="00AD4F7A">
              <w:rPr>
                <w:rFonts w:ascii="Garamond" w:eastAsia="Times New Roman" w:hAnsi="Garamond"/>
                <w:b/>
                <w:bCs/>
                <w:color w:val="000000"/>
                <w:sz w:val="20"/>
                <w:lang w:eastAsia="en-IN"/>
              </w:rPr>
              <w:t>34.9</w:t>
            </w:r>
          </w:p>
        </w:tc>
      </w:tr>
      <w:tr w:rsidR="00D23F20" w:rsidRPr="00AD4F7A" w:rsidTr="00D23F20">
        <w:trPr>
          <w:trHeight w:val="208"/>
          <w:jc w:val="center"/>
        </w:trPr>
        <w:tc>
          <w:tcPr>
            <w:tcW w:w="10391" w:type="dxa"/>
            <w:gridSpan w:val="7"/>
            <w:tcBorders>
              <w:top w:val="single" w:sz="4" w:space="0" w:color="auto"/>
              <w:left w:val="single" w:sz="4" w:space="0" w:color="auto"/>
              <w:bottom w:val="single" w:sz="4" w:space="0" w:color="auto"/>
              <w:right w:val="single" w:sz="4" w:space="0" w:color="auto"/>
            </w:tcBorders>
            <w:shd w:val="clear" w:color="FFFFCC" w:fill="FFFFCC"/>
            <w:vAlign w:val="center"/>
            <w:hideMark/>
          </w:tcPr>
          <w:p w:rsidR="00D23F20" w:rsidRPr="00AD4F7A" w:rsidRDefault="00D23F20" w:rsidP="00D23F20">
            <w:pPr>
              <w:rPr>
                <w:rFonts w:ascii="Garamond" w:eastAsia="Times New Roman" w:hAnsi="Garamond"/>
                <w:b/>
                <w:bCs/>
                <w:sz w:val="20"/>
                <w:lang w:eastAsia="en-IN"/>
              </w:rPr>
            </w:pPr>
            <w:r w:rsidRPr="00AD4F7A">
              <w:rPr>
                <w:rFonts w:ascii="Garamond" w:eastAsia="Times New Roman" w:hAnsi="Garamond"/>
                <w:b/>
                <w:bCs/>
                <w:sz w:val="20"/>
                <w:lang w:eastAsia="en-IN"/>
              </w:rPr>
              <w:t xml:space="preserve">B. No. of Contracts </w:t>
            </w:r>
          </w:p>
        </w:tc>
      </w:tr>
      <w:tr w:rsidR="00D23F20" w:rsidRPr="00AD4F7A" w:rsidTr="00D23F20">
        <w:trPr>
          <w:trHeight w:val="208"/>
          <w:jc w:val="center"/>
        </w:trPr>
        <w:tc>
          <w:tcPr>
            <w:tcW w:w="2027" w:type="dxa"/>
            <w:tcBorders>
              <w:top w:val="nil"/>
              <w:left w:val="single" w:sz="4" w:space="0" w:color="auto"/>
              <w:bottom w:val="single" w:sz="4" w:space="0" w:color="auto"/>
              <w:right w:val="single" w:sz="4" w:space="0" w:color="auto"/>
            </w:tcBorders>
            <w:shd w:val="clear" w:color="C6D9F0" w:fill="C6D9F0"/>
            <w:noWrap/>
            <w:vAlign w:val="center"/>
            <w:hideMark/>
          </w:tcPr>
          <w:p w:rsidR="00D23F20" w:rsidRPr="00AD4F7A" w:rsidRDefault="00D23F20" w:rsidP="00D23F20">
            <w:pPr>
              <w:rPr>
                <w:rFonts w:ascii="Garamond" w:eastAsia="Times New Roman" w:hAnsi="Garamond"/>
                <w:sz w:val="20"/>
                <w:lang w:eastAsia="en-IN"/>
              </w:rPr>
            </w:pPr>
            <w:r w:rsidRPr="00AD4F7A">
              <w:rPr>
                <w:rFonts w:ascii="Garamond" w:eastAsia="Times New Roman" w:hAnsi="Garamond"/>
                <w:sz w:val="20"/>
                <w:lang w:eastAsia="en-IN"/>
              </w:rPr>
              <w:t xml:space="preserve">   (i) Index  Futures</w:t>
            </w:r>
          </w:p>
        </w:tc>
        <w:tc>
          <w:tcPr>
            <w:tcW w:w="1417"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69,53,668</w:t>
            </w:r>
          </w:p>
        </w:tc>
        <w:tc>
          <w:tcPr>
            <w:tcW w:w="1417" w:type="dxa"/>
            <w:tcBorders>
              <w:top w:val="nil"/>
              <w:left w:val="nil"/>
              <w:bottom w:val="single" w:sz="4" w:space="0" w:color="000000"/>
              <w:right w:val="single" w:sz="4" w:space="0" w:color="000000"/>
            </w:tcBorders>
            <w:shd w:val="clear" w:color="000000" w:fill="FFFFFF"/>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73,16,936</w:t>
            </w:r>
          </w:p>
        </w:tc>
        <w:tc>
          <w:tcPr>
            <w:tcW w:w="1371"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5.2</w:t>
            </w:r>
          </w:p>
        </w:tc>
        <w:tc>
          <w:tcPr>
            <w:tcW w:w="1305"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5</w:t>
            </w:r>
          </w:p>
        </w:tc>
        <w:tc>
          <w:tcPr>
            <w:tcW w:w="1280"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24</w:t>
            </w:r>
          </w:p>
        </w:tc>
        <w:tc>
          <w:tcPr>
            <w:tcW w:w="1574" w:type="dxa"/>
            <w:tcBorders>
              <w:top w:val="nil"/>
              <w:left w:val="nil"/>
              <w:bottom w:val="single" w:sz="4" w:space="0" w:color="auto"/>
              <w:right w:val="single" w:sz="4" w:space="0" w:color="auto"/>
            </w:tcBorders>
            <w:shd w:val="clear" w:color="auto" w:fill="auto"/>
            <w:noWrap/>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380.0</w:t>
            </w:r>
          </w:p>
        </w:tc>
      </w:tr>
      <w:tr w:rsidR="00D23F20" w:rsidRPr="00AD4F7A" w:rsidTr="00D23F20">
        <w:trPr>
          <w:trHeight w:val="208"/>
          <w:jc w:val="center"/>
        </w:trPr>
        <w:tc>
          <w:tcPr>
            <w:tcW w:w="2027" w:type="dxa"/>
            <w:tcBorders>
              <w:top w:val="nil"/>
              <w:left w:val="single" w:sz="4" w:space="0" w:color="auto"/>
              <w:bottom w:val="single" w:sz="4" w:space="0" w:color="auto"/>
              <w:right w:val="single" w:sz="4" w:space="0" w:color="auto"/>
            </w:tcBorders>
            <w:shd w:val="clear" w:color="C6D9F0" w:fill="C6D9F0"/>
            <w:noWrap/>
            <w:vAlign w:val="center"/>
            <w:hideMark/>
          </w:tcPr>
          <w:p w:rsidR="00D23F20" w:rsidRPr="00AD4F7A" w:rsidRDefault="00D23F20" w:rsidP="00D23F20">
            <w:pPr>
              <w:rPr>
                <w:rFonts w:ascii="Garamond" w:eastAsia="Times New Roman" w:hAnsi="Garamond"/>
                <w:sz w:val="20"/>
                <w:lang w:eastAsia="en-IN"/>
              </w:rPr>
            </w:pPr>
            <w:r w:rsidRPr="00AD4F7A">
              <w:rPr>
                <w:rFonts w:ascii="Garamond" w:eastAsia="Times New Roman" w:hAnsi="Garamond"/>
                <w:sz w:val="20"/>
                <w:lang w:eastAsia="en-IN"/>
              </w:rPr>
              <w:t xml:space="preserve">   (ii) Options on Index</w:t>
            </w:r>
          </w:p>
        </w:tc>
        <w:tc>
          <w:tcPr>
            <w:tcW w:w="1417"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 </w:t>
            </w:r>
          </w:p>
        </w:tc>
        <w:tc>
          <w:tcPr>
            <w:tcW w:w="1417"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p>
        </w:tc>
        <w:tc>
          <w:tcPr>
            <w:tcW w:w="1371"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p>
        </w:tc>
        <w:tc>
          <w:tcPr>
            <w:tcW w:w="1305"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 </w:t>
            </w:r>
          </w:p>
        </w:tc>
        <w:tc>
          <w:tcPr>
            <w:tcW w:w="1280"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p>
        </w:tc>
        <w:tc>
          <w:tcPr>
            <w:tcW w:w="1574" w:type="dxa"/>
            <w:tcBorders>
              <w:top w:val="nil"/>
              <w:left w:val="nil"/>
              <w:bottom w:val="single" w:sz="4" w:space="0" w:color="auto"/>
              <w:right w:val="single" w:sz="4" w:space="0" w:color="auto"/>
            </w:tcBorders>
            <w:shd w:val="clear" w:color="auto" w:fill="auto"/>
            <w:noWrap/>
            <w:hideMark/>
          </w:tcPr>
          <w:p w:rsidR="00D23F20" w:rsidRPr="00AD4F7A" w:rsidRDefault="00D23F20" w:rsidP="00D23F20">
            <w:pPr>
              <w:jc w:val="right"/>
              <w:rPr>
                <w:rFonts w:ascii="Garamond" w:eastAsia="Times New Roman" w:hAnsi="Garamond"/>
                <w:color w:val="000000"/>
                <w:sz w:val="20"/>
                <w:lang w:eastAsia="en-IN"/>
              </w:rPr>
            </w:pPr>
          </w:p>
        </w:tc>
      </w:tr>
      <w:tr w:rsidR="00D23F20" w:rsidRPr="00AD4F7A" w:rsidTr="00D23F20">
        <w:trPr>
          <w:trHeight w:val="208"/>
          <w:jc w:val="center"/>
        </w:trPr>
        <w:tc>
          <w:tcPr>
            <w:tcW w:w="2027" w:type="dxa"/>
            <w:tcBorders>
              <w:top w:val="nil"/>
              <w:left w:val="single" w:sz="4" w:space="0" w:color="auto"/>
              <w:bottom w:val="single" w:sz="4" w:space="0" w:color="auto"/>
              <w:right w:val="single" w:sz="4" w:space="0" w:color="auto"/>
            </w:tcBorders>
            <w:shd w:val="clear" w:color="C6D9F0" w:fill="C6D9F0"/>
            <w:noWrap/>
            <w:vAlign w:val="center"/>
            <w:hideMark/>
          </w:tcPr>
          <w:p w:rsidR="00D23F20" w:rsidRPr="00AD4F7A" w:rsidRDefault="00D23F20" w:rsidP="00D23F20">
            <w:pPr>
              <w:rPr>
                <w:rFonts w:ascii="Garamond" w:eastAsia="Times New Roman" w:hAnsi="Garamond"/>
                <w:i/>
                <w:iCs/>
                <w:sz w:val="20"/>
                <w:lang w:eastAsia="en-IN"/>
              </w:rPr>
            </w:pPr>
            <w:r w:rsidRPr="00AD4F7A">
              <w:rPr>
                <w:rFonts w:ascii="Garamond" w:eastAsia="Times New Roman" w:hAnsi="Garamond"/>
                <w:i/>
                <w:iCs/>
                <w:sz w:val="20"/>
                <w:lang w:eastAsia="en-IN"/>
              </w:rPr>
              <w:t xml:space="preserve">            Put</w:t>
            </w:r>
          </w:p>
        </w:tc>
        <w:tc>
          <w:tcPr>
            <w:tcW w:w="1417"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71,31,09,216</w:t>
            </w:r>
          </w:p>
        </w:tc>
        <w:tc>
          <w:tcPr>
            <w:tcW w:w="1417" w:type="dxa"/>
            <w:tcBorders>
              <w:top w:val="nil"/>
              <w:left w:val="nil"/>
              <w:bottom w:val="single" w:sz="4" w:space="0" w:color="000000"/>
              <w:right w:val="single" w:sz="4" w:space="0" w:color="000000"/>
            </w:tcBorders>
            <w:shd w:val="clear" w:color="000000" w:fill="FFFFFF"/>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65,76,72,564</w:t>
            </w:r>
          </w:p>
        </w:tc>
        <w:tc>
          <w:tcPr>
            <w:tcW w:w="1371"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-7.8</w:t>
            </w:r>
          </w:p>
        </w:tc>
        <w:tc>
          <w:tcPr>
            <w:tcW w:w="1305"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1,77,74,316</w:t>
            </w:r>
          </w:p>
        </w:tc>
        <w:tc>
          <w:tcPr>
            <w:tcW w:w="1280" w:type="dxa"/>
            <w:tcBorders>
              <w:top w:val="nil"/>
              <w:left w:val="nil"/>
              <w:bottom w:val="single" w:sz="4" w:space="0" w:color="000000"/>
              <w:right w:val="single" w:sz="4" w:space="0" w:color="000000"/>
            </w:tcBorders>
            <w:shd w:val="clear" w:color="000000" w:fill="FFFFFF"/>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1,75,87,235</w:t>
            </w:r>
          </w:p>
        </w:tc>
        <w:tc>
          <w:tcPr>
            <w:tcW w:w="1574" w:type="dxa"/>
            <w:tcBorders>
              <w:top w:val="nil"/>
              <w:left w:val="nil"/>
              <w:bottom w:val="single" w:sz="4" w:space="0" w:color="auto"/>
              <w:right w:val="single" w:sz="4" w:space="0" w:color="auto"/>
            </w:tcBorders>
            <w:shd w:val="clear" w:color="auto" w:fill="auto"/>
            <w:noWrap/>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-1.1</w:t>
            </w:r>
          </w:p>
        </w:tc>
      </w:tr>
      <w:tr w:rsidR="00D23F20" w:rsidRPr="00AD4F7A" w:rsidTr="00D23F20">
        <w:trPr>
          <w:trHeight w:val="208"/>
          <w:jc w:val="center"/>
        </w:trPr>
        <w:tc>
          <w:tcPr>
            <w:tcW w:w="2027" w:type="dxa"/>
            <w:tcBorders>
              <w:top w:val="nil"/>
              <w:left w:val="single" w:sz="4" w:space="0" w:color="auto"/>
              <w:bottom w:val="single" w:sz="4" w:space="0" w:color="auto"/>
              <w:right w:val="single" w:sz="4" w:space="0" w:color="auto"/>
            </w:tcBorders>
            <w:shd w:val="clear" w:color="C6D9F0" w:fill="C6D9F0"/>
            <w:noWrap/>
            <w:vAlign w:val="center"/>
            <w:hideMark/>
          </w:tcPr>
          <w:p w:rsidR="00D23F20" w:rsidRPr="00AD4F7A" w:rsidRDefault="00D23F20" w:rsidP="00D23F20">
            <w:pPr>
              <w:rPr>
                <w:rFonts w:ascii="Garamond" w:eastAsia="Times New Roman" w:hAnsi="Garamond"/>
                <w:i/>
                <w:iCs/>
                <w:sz w:val="20"/>
                <w:lang w:eastAsia="en-IN"/>
              </w:rPr>
            </w:pPr>
            <w:r w:rsidRPr="00AD4F7A">
              <w:rPr>
                <w:rFonts w:ascii="Garamond" w:eastAsia="Times New Roman" w:hAnsi="Garamond"/>
                <w:i/>
                <w:iCs/>
                <w:sz w:val="20"/>
                <w:lang w:eastAsia="en-IN"/>
              </w:rPr>
              <w:t xml:space="preserve">           Call</w:t>
            </w:r>
          </w:p>
        </w:tc>
        <w:tc>
          <w:tcPr>
            <w:tcW w:w="1417"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77,30,07,414</w:t>
            </w:r>
          </w:p>
        </w:tc>
        <w:tc>
          <w:tcPr>
            <w:tcW w:w="1417" w:type="dxa"/>
            <w:tcBorders>
              <w:top w:val="nil"/>
              <w:left w:val="nil"/>
              <w:bottom w:val="single" w:sz="4" w:space="0" w:color="000000"/>
              <w:right w:val="single" w:sz="4" w:space="0" w:color="000000"/>
            </w:tcBorders>
            <w:shd w:val="clear" w:color="000000" w:fill="FFFFFF"/>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71,92,02,710</w:t>
            </w:r>
          </w:p>
        </w:tc>
        <w:tc>
          <w:tcPr>
            <w:tcW w:w="1371"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-7.0</w:t>
            </w:r>
          </w:p>
        </w:tc>
        <w:tc>
          <w:tcPr>
            <w:tcW w:w="1305"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2,05,77,843</w:t>
            </w:r>
          </w:p>
        </w:tc>
        <w:tc>
          <w:tcPr>
            <w:tcW w:w="1280" w:type="dxa"/>
            <w:tcBorders>
              <w:top w:val="nil"/>
              <w:left w:val="nil"/>
              <w:bottom w:val="single" w:sz="4" w:space="0" w:color="000000"/>
              <w:right w:val="single" w:sz="4" w:space="0" w:color="000000"/>
            </w:tcBorders>
            <w:shd w:val="clear" w:color="000000" w:fill="FFFFFF"/>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3,14,28,978</w:t>
            </w:r>
          </w:p>
        </w:tc>
        <w:tc>
          <w:tcPr>
            <w:tcW w:w="1574" w:type="dxa"/>
            <w:tcBorders>
              <w:top w:val="nil"/>
              <w:left w:val="nil"/>
              <w:bottom w:val="single" w:sz="4" w:space="0" w:color="auto"/>
              <w:right w:val="single" w:sz="4" w:space="0" w:color="auto"/>
            </w:tcBorders>
            <w:shd w:val="clear" w:color="auto" w:fill="auto"/>
            <w:noWrap/>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52.7</w:t>
            </w:r>
          </w:p>
        </w:tc>
      </w:tr>
      <w:tr w:rsidR="00D23F20" w:rsidRPr="00AD4F7A" w:rsidTr="00D23F20">
        <w:trPr>
          <w:trHeight w:val="208"/>
          <w:jc w:val="center"/>
        </w:trPr>
        <w:tc>
          <w:tcPr>
            <w:tcW w:w="2027" w:type="dxa"/>
            <w:tcBorders>
              <w:top w:val="nil"/>
              <w:left w:val="single" w:sz="4" w:space="0" w:color="auto"/>
              <w:bottom w:val="single" w:sz="4" w:space="0" w:color="auto"/>
              <w:right w:val="single" w:sz="4" w:space="0" w:color="auto"/>
            </w:tcBorders>
            <w:shd w:val="clear" w:color="C6D9F0" w:fill="C6D9F0"/>
            <w:noWrap/>
            <w:vAlign w:val="center"/>
            <w:hideMark/>
          </w:tcPr>
          <w:p w:rsidR="00D23F20" w:rsidRPr="00AD4F7A" w:rsidRDefault="00D23F20" w:rsidP="00D23F20">
            <w:pPr>
              <w:rPr>
                <w:rFonts w:ascii="Garamond" w:eastAsia="Times New Roman" w:hAnsi="Garamond"/>
                <w:sz w:val="20"/>
                <w:lang w:eastAsia="en-IN"/>
              </w:rPr>
            </w:pPr>
            <w:r w:rsidRPr="00AD4F7A">
              <w:rPr>
                <w:rFonts w:ascii="Garamond" w:eastAsia="Times New Roman" w:hAnsi="Garamond"/>
                <w:sz w:val="20"/>
                <w:lang w:eastAsia="en-IN"/>
              </w:rPr>
              <w:t xml:space="preserve">  (iii) Stock Futures</w:t>
            </w:r>
          </w:p>
        </w:tc>
        <w:tc>
          <w:tcPr>
            <w:tcW w:w="1417"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2,17,93,593</w:t>
            </w:r>
          </w:p>
        </w:tc>
        <w:tc>
          <w:tcPr>
            <w:tcW w:w="1417" w:type="dxa"/>
            <w:tcBorders>
              <w:top w:val="nil"/>
              <w:left w:val="nil"/>
              <w:bottom w:val="single" w:sz="4" w:space="0" w:color="000000"/>
              <w:right w:val="single" w:sz="4" w:space="0" w:color="000000"/>
            </w:tcBorders>
            <w:shd w:val="clear" w:color="000000" w:fill="FFFFFF"/>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2,45,07,229</w:t>
            </w:r>
          </w:p>
        </w:tc>
        <w:tc>
          <w:tcPr>
            <w:tcW w:w="1371"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12.5</w:t>
            </w:r>
          </w:p>
        </w:tc>
        <w:tc>
          <w:tcPr>
            <w:tcW w:w="1305"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0</w:t>
            </w:r>
          </w:p>
        </w:tc>
        <w:tc>
          <w:tcPr>
            <w:tcW w:w="1280"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0</w:t>
            </w:r>
          </w:p>
        </w:tc>
        <w:tc>
          <w:tcPr>
            <w:tcW w:w="1574" w:type="dxa"/>
            <w:tcBorders>
              <w:top w:val="nil"/>
              <w:left w:val="nil"/>
              <w:bottom w:val="single" w:sz="4" w:space="0" w:color="auto"/>
              <w:right w:val="single" w:sz="4" w:space="0" w:color="auto"/>
            </w:tcBorders>
            <w:shd w:val="clear" w:color="auto" w:fill="auto"/>
            <w:noWrap/>
            <w:hideMark/>
          </w:tcPr>
          <w:p w:rsidR="00D23F20" w:rsidRPr="00AD4F7A" w:rsidRDefault="00D23F20" w:rsidP="00D23F20">
            <w:pPr>
              <w:jc w:val="right"/>
              <w:rPr>
                <w:rFonts w:ascii="Garamond" w:eastAsia="Times New Roman" w:hAnsi="Garamond"/>
                <w:color w:val="000000"/>
                <w:sz w:val="20"/>
                <w:lang w:eastAsia="en-IN"/>
              </w:rPr>
            </w:pPr>
          </w:p>
        </w:tc>
      </w:tr>
      <w:tr w:rsidR="00D23F20" w:rsidRPr="00AD4F7A" w:rsidTr="00D23F20">
        <w:trPr>
          <w:trHeight w:val="208"/>
          <w:jc w:val="center"/>
        </w:trPr>
        <w:tc>
          <w:tcPr>
            <w:tcW w:w="2027" w:type="dxa"/>
            <w:tcBorders>
              <w:top w:val="nil"/>
              <w:left w:val="single" w:sz="4" w:space="0" w:color="auto"/>
              <w:bottom w:val="single" w:sz="4" w:space="0" w:color="auto"/>
              <w:right w:val="single" w:sz="4" w:space="0" w:color="auto"/>
            </w:tcBorders>
            <w:shd w:val="clear" w:color="C6D9F0" w:fill="C6D9F0"/>
            <w:noWrap/>
            <w:vAlign w:val="center"/>
            <w:hideMark/>
          </w:tcPr>
          <w:p w:rsidR="00D23F20" w:rsidRPr="00AD4F7A" w:rsidRDefault="00D23F20" w:rsidP="00D23F20">
            <w:pPr>
              <w:rPr>
                <w:rFonts w:ascii="Garamond" w:eastAsia="Times New Roman" w:hAnsi="Garamond"/>
                <w:sz w:val="20"/>
                <w:lang w:eastAsia="en-IN"/>
              </w:rPr>
            </w:pPr>
            <w:r w:rsidRPr="00AD4F7A">
              <w:rPr>
                <w:rFonts w:ascii="Garamond" w:eastAsia="Times New Roman" w:hAnsi="Garamond"/>
                <w:sz w:val="20"/>
                <w:lang w:eastAsia="en-IN"/>
              </w:rPr>
              <w:t>(iv) Options on Stock</w:t>
            </w:r>
          </w:p>
        </w:tc>
        <w:tc>
          <w:tcPr>
            <w:tcW w:w="1417"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 </w:t>
            </w:r>
          </w:p>
        </w:tc>
        <w:tc>
          <w:tcPr>
            <w:tcW w:w="1417"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p>
        </w:tc>
        <w:tc>
          <w:tcPr>
            <w:tcW w:w="1371"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p>
        </w:tc>
        <w:tc>
          <w:tcPr>
            <w:tcW w:w="1305"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 </w:t>
            </w:r>
          </w:p>
        </w:tc>
        <w:tc>
          <w:tcPr>
            <w:tcW w:w="1280"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 </w:t>
            </w:r>
          </w:p>
        </w:tc>
        <w:tc>
          <w:tcPr>
            <w:tcW w:w="1574" w:type="dxa"/>
            <w:tcBorders>
              <w:top w:val="nil"/>
              <w:left w:val="nil"/>
              <w:bottom w:val="single" w:sz="4" w:space="0" w:color="auto"/>
              <w:right w:val="single" w:sz="4" w:space="0" w:color="auto"/>
            </w:tcBorders>
            <w:shd w:val="clear" w:color="auto" w:fill="auto"/>
            <w:noWrap/>
            <w:hideMark/>
          </w:tcPr>
          <w:p w:rsidR="00D23F20" w:rsidRPr="00AD4F7A" w:rsidRDefault="00D23F20" w:rsidP="00D23F20">
            <w:pPr>
              <w:jc w:val="right"/>
              <w:rPr>
                <w:rFonts w:ascii="Garamond" w:eastAsia="Times New Roman" w:hAnsi="Garamond"/>
                <w:color w:val="000000"/>
                <w:sz w:val="20"/>
                <w:lang w:eastAsia="en-IN"/>
              </w:rPr>
            </w:pPr>
          </w:p>
        </w:tc>
      </w:tr>
      <w:tr w:rsidR="00D23F20" w:rsidRPr="00AD4F7A" w:rsidTr="00D23F20">
        <w:trPr>
          <w:trHeight w:val="208"/>
          <w:jc w:val="center"/>
        </w:trPr>
        <w:tc>
          <w:tcPr>
            <w:tcW w:w="2027" w:type="dxa"/>
            <w:tcBorders>
              <w:top w:val="nil"/>
              <w:left w:val="single" w:sz="4" w:space="0" w:color="auto"/>
              <w:bottom w:val="single" w:sz="4" w:space="0" w:color="auto"/>
              <w:right w:val="single" w:sz="4" w:space="0" w:color="auto"/>
            </w:tcBorders>
            <w:shd w:val="clear" w:color="C6D9F0" w:fill="C6D9F0"/>
            <w:noWrap/>
            <w:vAlign w:val="center"/>
            <w:hideMark/>
          </w:tcPr>
          <w:p w:rsidR="00D23F20" w:rsidRPr="00AD4F7A" w:rsidRDefault="00D23F20" w:rsidP="00D23F20">
            <w:pPr>
              <w:rPr>
                <w:rFonts w:ascii="Garamond" w:eastAsia="Times New Roman" w:hAnsi="Garamond"/>
                <w:i/>
                <w:iCs/>
                <w:sz w:val="20"/>
                <w:lang w:eastAsia="en-IN"/>
              </w:rPr>
            </w:pPr>
            <w:r w:rsidRPr="00AD4F7A">
              <w:rPr>
                <w:rFonts w:ascii="Garamond" w:eastAsia="Times New Roman" w:hAnsi="Garamond"/>
                <w:i/>
                <w:iCs/>
                <w:sz w:val="20"/>
                <w:lang w:eastAsia="en-IN"/>
              </w:rPr>
              <w:t xml:space="preserve">            Put</w:t>
            </w:r>
          </w:p>
        </w:tc>
        <w:tc>
          <w:tcPr>
            <w:tcW w:w="1417"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1,79,53,226</w:t>
            </w:r>
          </w:p>
        </w:tc>
        <w:tc>
          <w:tcPr>
            <w:tcW w:w="1417" w:type="dxa"/>
            <w:tcBorders>
              <w:top w:val="nil"/>
              <w:left w:val="nil"/>
              <w:bottom w:val="single" w:sz="4" w:space="0" w:color="000000"/>
              <w:right w:val="single" w:sz="4" w:space="0" w:color="000000"/>
            </w:tcBorders>
            <w:shd w:val="clear" w:color="000000" w:fill="FFFFFF"/>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1,82,81,249</w:t>
            </w:r>
          </w:p>
        </w:tc>
        <w:tc>
          <w:tcPr>
            <w:tcW w:w="1371"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1.8</w:t>
            </w:r>
          </w:p>
        </w:tc>
        <w:tc>
          <w:tcPr>
            <w:tcW w:w="1305"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0</w:t>
            </w:r>
          </w:p>
        </w:tc>
        <w:tc>
          <w:tcPr>
            <w:tcW w:w="1280"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0</w:t>
            </w:r>
          </w:p>
        </w:tc>
        <w:tc>
          <w:tcPr>
            <w:tcW w:w="1574" w:type="dxa"/>
            <w:tcBorders>
              <w:top w:val="nil"/>
              <w:left w:val="nil"/>
              <w:bottom w:val="single" w:sz="4" w:space="0" w:color="auto"/>
              <w:right w:val="single" w:sz="4" w:space="0" w:color="auto"/>
            </w:tcBorders>
            <w:shd w:val="clear" w:color="auto" w:fill="auto"/>
            <w:noWrap/>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w:t>
            </w:r>
          </w:p>
        </w:tc>
      </w:tr>
      <w:tr w:rsidR="00D23F20" w:rsidRPr="00AD4F7A" w:rsidTr="00D23F20">
        <w:trPr>
          <w:trHeight w:val="208"/>
          <w:jc w:val="center"/>
        </w:trPr>
        <w:tc>
          <w:tcPr>
            <w:tcW w:w="2027" w:type="dxa"/>
            <w:tcBorders>
              <w:top w:val="nil"/>
              <w:left w:val="single" w:sz="4" w:space="0" w:color="auto"/>
              <w:bottom w:val="single" w:sz="4" w:space="0" w:color="auto"/>
              <w:right w:val="single" w:sz="4" w:space="0" w:color="auto"/>
            </w:tcBorders>
            <w:shd w:val="clear" w:color="C6D9F0" w:fill="C6D9F0"/>
            <w:noWrap/>
            <w:vAlign w:val="center"/>
            <w:hideMark/>
          </w:tcPr>
          <w:p w:rsidR="00D23F20" w:rsidRPr="00AD4F7A" w:rsidRDefault="00D23F20" w:rsidP="00D23F20">
            <w:pPr>
              <w:rPr>
                <w:rFonts w:ascii="Garamond" w:eastAsia="Times New Roman" w:hAnsi="Garamond"/>
                <w:i/>
                <w:iCs/>
                <w:sz w:val="20"/>
                <w:lang w:eastAsia="en-IN"/>
              </w:rPr>
            </w:pPr>
            <w:r w:rsidRPr="00AD4F7A">
              <w:rPr>
                <w:rFonts w:ascii="Garamond" w:eastAsia="Times New Roman" w:hAnsi="Garamond"/>
                <w:i/>
                <w:iCs/>
                <w:sz w:val="20"/>
                <w:lang w:eastAsia="en-IN"/>
              </w:rPr>
              <w:t xml:space="preserve">          Call</w:t>
            </w:r>
          </w:p>
        </w:tc>
        <w:tc>
          <w:tcPr>
            <w:tcW w:w="1417"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5,17,75,886</w:t>
            </w:r>
          </w:p>
        </w:tc>
        <w:tc>
          <w:tcPr>
            <w:tcW w:w="1417" w:type="dxa"/>
            <w:tcBorders>
              <w:top w:val="nil"/>
              <w:left w:val="nil"/>
              <w:bottom w:val="single" w:sz="4" w:space="0" w:color="000000"/>
              <w:right w:val="single" w:sz="4" w:space="0" w:color="000000"/>
            </w:tcBorders>
            <w:shd w:val="clear" w:color="000000" w:fill="FFFFFF"/>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4,86,47,819</w:t>
            </w:r>
          </w:p>
        </w:tc>
        <w:tc>
          <w:tcPr>
            <w:tcW w:w="1371"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-6.0</w:t>
            </w:r>
          </w:p>
        </w:tc>
        <w:tc>
          <w:tcPr>
            <w:tcW w:w="1305"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0</w:t>
            </w:r>
          </w:p>
        </w:tc>
        <w:tc>
          <w:tcPr>
            <w:tcW w:w="1280"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0</w:t>
            </w:r>
          </w:p>
        </w:tc>
        <w:tc>
          <w:tcPr>
            <w:tcW w:w="1574" w:type="dxa"/>
            <w:tcBorders>
              <w:top w:val="nil"/>
              <w:left w:val="nil"/>
              <w:bottom w:val="single" w:sz="4" w:space="0" w:color="auto"/>
              <w:right w:val="single" w:sz="4" w:space="0" w:color="auto"/>
            </w:tcBorders>
            <w:shd w:val="clear" w:color="auto" w:fill="auto"/>
            <w:noWrap/>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w:t>
            </w:r>
          </w:p>
        </w:tc>
      </w:tr>
      <w:tr w:rsidR="00D23F20" w:rsidRPr="00AD4F7A" w:rsidTr="00D23F20">
        <w:trPr>
          <w:trHeight w:val="218"/>
          <w:jc w:val="center"/>
        </w:trPr>
        <w:tc>
          <w:tcPr>
            <w:tcW w:w="2027" w:type="dxa"/>
            <w:tcBorders>
              <w:top w:val="nil"/>
              <w:left w:val="single" w:sz="4" w:space="0" w:color="auto"/>
              <w:bottom w:val="single" w:sz="4" w:space="0" w:color="auto"/>
              <w:right w:val="single" w:sz="4" w:space="0" w:color="auto"/>
            </w:tcBorders>
            <w:shd w:val="clear" w:color="C6D9F0" w:fill="C6D9F0"/>
            <w:noWrap/>
            <w:vAlign w:val="center"/>
            <w:hideMark/>
          </w:tcPr>
          <w:p w:rsidR="00D23F20" w:rsidRPr="00AD4F7A" w:rsidRDefault="00D23F20" w:rsidP="00D23F20">
            <w:pPr>
              <w:rPr>
                <w:rFonts w:ascii="Garamond" w:eastAsia="Times New Roman" w:hAnsi="Garamond"/>
                <w:b/>
                <w:bCs/>
                <w:sz w:val="20"/>
                <w:lang w:eastAsia="en-IN"/>
              </w:rPr>
            </w:pPr>
            <w:r w:rsidRPr="00AD4F7A">
              <w:rPr>
                <w:rFonts w:ascii="Garamond" w:eastAsia="Times New Roman" w:hAnsi="Garamond"/>
                <w:b/>
                <w:bCs/>
                <w:sz w:val="20"/>
                <w:lang w:eastAsia="en-IN"/>
              </w:rPr>
              <w:t xml:space="preserve">         Total</w:t>
            </w:r>
          </w:p>
        </w:tc>
        <w:tc>
          <w:tcPr>
            <w:tcW w:w="1417" w:type="dxa"/>
            <w:tcBorders>
              <w:top w:val="nil"/>
              <w:left w:val="nil"/>
              <w:bottom w:val="single" w:sz="4" w:space="0" w:color="auto"/>
              <w:right w:val="single" w:sz="4" w:space="0" w:color="auto"/>
            </w:tcBorders>
            <w:shd w:val="clear" w:color="C6D9F0" w:fill="C6D9F0"/>
            <w:noWrap/>
            <w:vAlign w:val="center"/>
            <w:hideMark/>
          </w:tcPr>
          <w:p w:rsidR="00D23F20" w:rsidRPr="00AD4F7A" w:rsidRDefault="00D23F20" w:rsidP="00D23F20">
            <w:pPr>
              <w:jc w:val="right"/>
              <w:rPr>
                <w:rFonts w:ascii="Garamond" w:eastAsia="Times New Roman" w:hAnsi="Garamond"/>
                <w:b/>
                <w:bCs/>
                <w:sz w:val="20"/>
                <w:lang w:eastAsia="en-IN"/>
              </w:rPr>
            </w:pPr>
            <w:r w:rsidRPr="00AD4F7A">
              <w:rPr>
                <w:rFonts w:ascii="Garamond" w:eastAsia="Times New Roman" w:hAnsi="Garamond"/>
                <w:b/>
                <w:bCs/>
                <w:sz w:val="20"/>
                <w:lang w:eastAsia="en-IN"/>
              </w:rPr>
              <w:t>158,45,93,003</w:t>
            </w:r>
          </w:p>
        </w:tc>
        <w:tc>
          <w:tcPr>
            <w:tcW w:w="1417" w:type="dxa"/>
            <w:tcBorders>
              <w:top w:val="nil"/>
              <w:left w:val="nil"/>
              <w:bottom w:val="single" w:sz="4" w:space="0" w:color="auto"/>
              <w:right w:val="single" w:sz="4" w:space="0" w:color="auto"/>
            </w:tcBorders>
            <w:shd w:val="clear" w:color="C6D9F0" w:fill="C6D9F0"/>
            <w:noWrap/>
            <w:vAlign w:val="center"/>
            <w:hideMark/>
          </w:tcPr>
          <w:p w:rsidR="00D23F20" w:rsidRPr="00AD4F7A" w:rsidRDefault="00D23F20" w:rsidP="00D23F20">
            <w:pPr>
              <w:jc w:val="right"/>
              <w:rPr>
                <w:rFonts w:ascii="Garamond" w:eastAsia="Times New Roman" w:hAnsi="Garamond"/>
                <w:b/>
                <w:bCs/>
                <w:sz w:val="20"/>
                <w:lang w:eastAsia="en-IN"/>
              </w:rPr>
            </w:pPr>
            <w:r w:rsidRPr="00AD4F7A">
              <w:rPr>
                <w:rFonts w:ascii="Garamond" w:eastAsia="Times New Roman" w:hAnsi="Garamond"/>
                <w:b/>
                <w:bCs/>
                <w:sz w:val="20"/>
                <w:lang w:eastAsia="en-IN"/>
              </w:rPr>
              <w:t>1,47,56,28,507</w:t>
            </w:r>
          </w:p>
        </w:tc>
        <w:tc>
          <w:tcPr>
            <w:tcW w:w="1371" w:type="dxa"/>
            <w:tcBorders>
              <w:top w:val="nil"/>
              <w:left w:val="nil"/>
              <w:bottom w:val="single" w:sz="4" w:space="0" w:color="auto"/>
              <w:right w:val="single" w:sz="4" w:space="0" w:color="auto"/>
            </w:tcBorders>
            <w:shd w:val="clear" w:color="C6D9F0" w:fill="C6D9F0"/>
            <w:noWrap/>
            <w:vAlign w:val="bottom"/>
            <w:hideMark/>
          </w:tcPr>
          <w:p w:rsidR="00D23F20" w:rsidRPr="00AD4F7A" w:rsidRDefault="00D23F20" w:rsidP="00D23F20">
            <w:pPr>
              <w:jc w:val="right"/>
              <w:rPr>
                <w:rFonts w:ascii="Garamond" w:eastAsia="Times New Roman" w:hAnsi="Garamond"/>
                <w:b/>
                <w:bCs/>
                <w:color w:val="000000"/>
                <w:sz w:val="20"/>
                <w:lang w:eastAsia="en-IN"/>
              </w:rPr>
            </w:pPr>
            <w:r w:rsidRPr="00AD4F7A">
              <w:rPr>
                <w:rFonts w:ascii="Garamond" w:eastAsia="Times New Roman" w:hAnsi="Garamond"/>
                <w:b/>
                <w:bCs/>
                <w:color w:val="000000"/>
                <w:sz w:val="20"/>
                <w:lang w:eastAsia="en-IN"/>
              </w:rPr>
              <w:t>-6.9</w:t>
            </w:r>
          </w:p>
        </w:tc>
        <w:tc>
          <w:tcPr>
            <w:tcW w:w="1305" w:type="dxa"/>
            <w:tcBorders>
              <w:top w:val="nil"/>
              <w:left w:val="nil"/>
              <w:bottom w:val="single" w:sz="4" w:space="0" w:color="auto"/>
              <w:right w:val="single" w:sz="4" w:space="0" w:color="auto"/>
            </w:tcBorders>
            <w:shd w:val="clear" w:color="C6D9F0" w:fill="C6D9F0"/>
            <w:noWrap/>
            <w:vAlign w:val="center"/>
            <w:hideMark/>
          </w:tcPr>
          <w:p w:rsidR="00D23F20" w:rsidRPr="00AD4F7A" w:rsidRDefault="00D23F20" w:rsidP="00D23F20">
            <w:pPr>
              <w:jc w:val="right"/>
              <w:rPr>
                <w:rFonts w:ascii="Garamond" w:eastAsia="Times New Roman" w:hAnsi="Garamond"/>
                <w:b/>
                <w:bCs/>
                <w:sz w:val="20"/>
                <w:lang w:eastAsia="en-IN"/>
              </w:rPr>
            </w:pPr>
            <w:r w:rsidRPr="00AD4F7A">
              <w:rPr>
                <w:rFonts w:ascii="Garamond" w:eastAsia="Times New Roman" w:hAnsi="Garamond"/>
                <w:b/>
                <w:bCs/>
                <w:sz w:val="20"/>
                <w:lang w:eastAsia="en-IN"/>
              </w:rPr>
              <w:t>3,83,52,164 </w:t>
            </w:r>
          </w:p>
        </w:tc>
        <w:tc>
          <w:tcPr>
            <w:tcW w:w="1280" w:type="dxa"/>
            <w:tcBorders>
              <w:top w:val="nil"/>
              <w:left w:val="nil"/>
              <w:bottom w:val="single" w:sz="4" w:space="0" w:color="auto"/>
              <w:right w:val="single" w:sz="4" w:space="0" w:color="auto"/>
            </w:tcBorders>
            <w:shd w:val="clear" w:color="C6D9F0" w:fill="C6D9F0"/>
            <w:noWrap/>
            <w:vAlign w:val="center"/>
            <w:hideMark/>
          </w:tcPr>
          <w:p w:rsidR="00D23F20" w:rsidRPr="00AD4F7A" w:rsidRDefault="00D23F20" w:rsidP="00D23F20">
            <w:pPr>
              <w:jc w:val="right"/>
              <w:rPr>
                <w:rFonts w:ascii="Garamond" w:eastAsia="Times New Roman" w:hAnsi="Garamond"/>
                <w:b/>
                <w:bCs/>
                <w:sz w:val="20"/>
                <w:lang w:eastAsia="en-IN"/>
              </w:rPr>
            </w:pPr>
            <w:r w:rsidRPr="00AD4F7A">
              <w:rPr>
                <w:rFonts w:ascii="Garamond" w:eastAsia="Times New Roman" w:hAnsi="Garamond"/>
                <w:b/>
                <w:bCs/>
                <w:sz w:val="20"/>
                <w:lang w:eastAsia="en-IN"/>
              </w:rPr>
              <w:t>4,90,16,237</w:t>
            </w:r>
          </w:p>
        </w:tc>
        <w:tc>
          <w:tcPr>
            <w:tcW w:w="1574" w:type="dxa"/>
            <w:tcBorders>
              <w:top w:val="nil"/>
              <w:left w:val="nil"/>
              <w:bottom w:val="single" w:sz="4" w:space="0" w:color="auto"/>
              <w:right w:val="single" w:sz="4" w:space="0" w:color="auto"/>
            </w:tcBorders>
            <w:shd w:val="clear" w:color="C6D9F0" w:fill="C6D9F0"/>
            <w:noWrap/>
            <w:hideMark/>
          </w:tcPr>
          <w:p w:rsidR="00D23F20" w:rsidRPr="00AD4F7A" w:rsidRDefault="00D23F20" w:rsidP="00D23F20">
            <w:pPr>
              <w:jc w:val="right"/>
              <w:rPr>
                <w:rFonts w:ascii="Garamond" w:eastAsia="Times New Roman" w:hAnsi="Garamond"/>
                <w:b/>
                <w:bCs/>
                <w:color w:val="000000"/>
                <w:sz w:val="20"/>
                <w:lang w:eastAsia="en-IN"/>
              </w:rPr>
            </w:pPr>
            <w:r w:rsidRPr="00AD4F7A">
              <w:rPr>
                <w:rFonts w:ascii="Garamond" w:eastAsia="Times New Roman" w:hAnsi="Garamond"/>
                <w:b/>
                <w:bCs/>
                <w:color w:val="000000"/>
                <w:sz w:val="20"/>
                <w:lang w:eastAsia="en-IN"/>
              </w:rPr>
              <w:t>27.8</w:t>
            </w:r>
          </w:p>
        </w:tc>
      </w:tr>
      <w:tr w:rsidR="00D23F20" w:rsidRPr="00AD4F7A" w:rsidTr="00D23F20">
        <w:trPr>
          <w:trHeight w:val="208"/>
          <w:jc w:val="center"/>
        </w:trPr>
        <w:tc>
          <w:tcPr>
            <w:tcW w:w="10391" w:type="dxa"/>
            <w:gridSpan w:val="7"/>
            <w:tcBorders>
              <w:top w:val="single" w:sz="4" w:space="0" w:color="auto"/>
              <w:left w:val="single" w:sz="4" w:space="0" w:color="auto"/>
              <w:bottom w:val="single" w:sz="4" w:space="0" w:color="auto"/>
              <w:right w:val="single" w:sz="4" w:space="0" w:color="auto"/>
            </w:tcBorders>
            <w:shd w:val="clear" w:color="FFFFCC" w:fill="FFFFCC"/>
            <w:vAlign w:val="center"/>
            <w:hideMark/>
          </w:tcPr>
          <w:p w:rsidR="00D23F20" w:rsidRPr="00AD4F7A" w:rsidRDefault="00D23F20" w:rsidP="00D23F20">
            <w:pPr>
              <w:rPr>
                <w:rFonts w:ascii="Garamond" w:eastAsia="Times New Roman" w:hAnsi="Garamond"/>
                <w:b/>
                <w:bCs/>
                <w:sz w:val="20"/>
                <w:lang w:eastAsia="en-IN"/>
              </w:rPr>
            </w:pPr>
            <w:r w:rsidRPr="00AD4F7A">
              <w:rPr>
                <w:rFonts w:ascii="Garamond" w:eastAsia="Times New Roman" w:hAnsi="Garamond"/>
                <w:b/>
                <w:bCs/>
                <w:sz w:val="20"/>
                <w:lang w:eastAsia="en-IN"/>
              </w:rPr>
              <w:t xml:space="preserve">C.  Open Interest in Terms of Value </w:t>
            </w:r>
            <w:r w:rsidRPr="00AD4F7A">
              <w:rPr>
                <w:rFonts w:ascii="Garamond" w:eastAsia="Times New Roman" w:hAnsi="Garamond"/>
                <w:b/>
                <w:bCs/>
                <w:color w:val="000000"/>
                <w:sz w:val="20"/>
                <w:lang w:eastAsia="en-IN"/>
              </w:rPr>
              <w:t>(</w:t>
            </w:r>
            <w:r w:rsidRPr="00AD4F7A">
              <w:rPr>
                <w:rFonts w:ascii="Times New Roman" w:eastAsia="Palatino Linotype" w:hAnsi="Times New Roman"/>
                <w:sz w:val="20"/>
              </w:rPr>
              <w:t>₹</w:t>
            </w:r>
            <w:r w:rsidRPr="00AD4F7A">
              <w:rPr>
                <w:rFonts w:ascii="Garamond" w:eastAsia="Times New Roman" w:hAnsi="Garamond"/>
                <w:b/>
                <w:bCs/>
                <w:color w:val="000000"/>
                <w:sz w:val="20"/>
                <w:lang w:eastAsia="en-IN"/>
              </w:rPr>
              <w:t xml:space="preserve"> crore) (at the end of the month)</w:t>
            </w:r>
          </w:p>
        </w:tc>
      </w:tr>
      <w:tr w:rsidR="00D23F20" w:rsidRPr="00AD4F7A" w:rsidTr="00D23F20">
        <w:trPr>
          <w:trHeight w:val="208"/>
          <w:jc w:val="center"/>
        </w:trPr>
        <w:tc>
          <w:tcPr>
            <w:tcW w:w="2027" w:type="dxa"/>
            <w:tcBorders>
              <w:top w:val="nil"/>
              <w:left w:val="single" w:sz="4" w:space="0" w:color="auto"/>
              <w:bottom w:val="single" w:sz="4" w:space="0" w:color="auto"/>
              <w:right w:val="single" w:sz="4" w:space="0" w:color="auto"/>
            </w:tcBorders>
            <w:shd w:val="clear" w:color="C6D9F0" w:fill="C6D9F0"/>
            <w:noWrap/>
            <w:vAlign w:val="center"/>
            <w:hideMark/>
          </w:tcPr>
          <w:p w:rsidR="00D23F20" w:rsidRPr="00AD4F7A" w:rsidRDefault="00D23F20" w:rsidP="00D23F20">
            <w:pPr>
              <w:rPr>
                <w:rFonts w:ascii="Garamond" w:eastAsia="Times New Roman" w:hAnsi="Garamond"/>
                <w:sz w:val="20"/>
                <w:lang w:eastAsia="en-IN"/>
              </w:rPr>
            </w:pPr>
            <w:r w:rsidRPr="00AD4F7A">
              <w:rPr>
                <w:rFonts w:ascii="Garamond" w:eastAsia="Times New Roman" w:hAnsi="Garamond"/>
                <w:sz w:val="20"/>
                <w:lang w:eastAsia="en-IN"/>
              </w:rPr>
              <w:t xml:space="preserve">   (i) Index  Futures</w:t>
            </w:r>
          </w:p>
        </w:tc>
        <w:tc>
          <w:tcPr>
            <w:tcW w:w="1417"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29,620</w:t>
            </w:r>
          </w:p>
        </w:tc>
        <w:tc>
          <w:tcPr>
            <w:tcW w:w="1417"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29057</w:t>
            </w:r>
          </w:p>
        </w:tc>
        <w:tc>
          <w:tcPr>
            <w:tcW w:w="1371"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-1.9</w:t>
            </w:r>
          </w:p>
        </w:tc>
        <w:tc>
          <w:tcPr>
            <w:tcW w:w="1305"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1</w:t>
            </w:r>
          </w:p>
        </w:tc>
        <w:tc>
          <w:tcPr>
            <w:tcW w:w="1280"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0</w:t>
            </w:r>
          </w:p>
        </w:tc>
        <w:tc>
          <w:tcPr>
            <w:tcW w:w="1574" w:type="dxa"/>
            <w:tcBorders>
              <w:top w:val="nil"/>
              <w:left w:val="nil"/>
              <w:bottom w:val="single" w:sz="4" w:space="0" w:color="auto"/>
              <w:right w:val="single" w:sz="4" w:space="0" w:color="auto"/>
            </w:tcBorders>
            <w:shd w:val="clear" w:color="auto" w:fill="auto"/>
            <w:noWrap/>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-100.0</w:t>
            </w:r>
          </w:p>
        </w:tc>
      </w:tr>
      <w:tr w:rsidR="00D23F20" w:rsidRPr="00AD4F7A" w:rsidTr="00D23F20">
        <w:trPr>
          <w:trHeight w:val="208"/>
          <w:jc w:val="center"/>
        </w:trPr>
        <w:tc>
          <w:tcPr>
            <w:tcW w:w="2027" w:type="dxa"/>
            <w:tcBorders>
              <w:top w:val="nil"/>
              <w:left w:val="single" w:sz="4" w:space="0" w:color="auto"/>
              <w:bottom w:val="single" w:sz="4" w:space="0" w:color="auto"/>
              <w:right w:val="single" w:sz="4" w:space="0" w:color="auto"/>
            </w:tcBorders>
            <w:shd w:val="clear" w:color="C6D9F0" w:fill="C6D9F0"/>
            <w:noWrap/>
            <w:vAlign w:val="center"/>
            <w:hideMark/>
          </w:tcPr>
          <w:p w:rsidR="00D23F20" w:rsidRPr="00AD4F7A" w:rsidRDefault="00D23F20" w:rsidP="00D23F20">
            <w:pPr>
              <w:rPr>
                <w:rFonts w:ascii="Garamond" w:eastAsia="Times New Roman" w:hAnsi="Garamond"/>
                <w:sz w:val="20"/>
                <w:lang w:eastAsia="en-IN"/>
              </w:rPr>
            </w:pPr>
            <w:r w:rsidRPr="00AD4F7A">
              <w:rPr>
                <w:rFonts w:ascii="Garamond" w:eastAsia="Times New Roman" w:hAnsi="Garamond"/>
                <w:sz w:val="20"/>
                <w:lang w:eastAsia="en-IN"/>
              </w:rPr>
              <w:t xml:space="preserve">   (ii) Options on Index</w:t>
            </w:r>
          </w:p>
        </w:tc>
        <w:tc>
          <w:tcPr>
            <w:tcW w:w="1417"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 </w:t>
            </w:r>
          </w:p>
        </w:tc>
        <w:tc>
          <w:tcPr>
            <w:tcW w:w="1417"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p>
        </w:tc>
        <w:tc>
          <w:tcPr>
            <w:tcW w:w="1371"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p>
        </w:tc>
        <w:tc>
          <w:tcPr>
            <w:tcW w:w="1305"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 </w:t>
            </w:r>
          </w:p>
        </w:tc>
        <w:tc>
          <w:tcPr>
            <w:tcW w:w="1280"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p>
        </w:tc>
        <w:tc>
          <w:tcPr>
            <w:tcW w:w="1574" w:type="dxa"/>
            <w:tcBorders>
              <w:top w:val="nil"/>
              <w:left w:val="nil"/>
              <w:bottom w:val="single" w:sz="4" w:space="0" w:color="auto"/>
              <w:right w:val="single" w:sz="4" w:space="0" w:color="auto"/>
            </w:tcBorders>
            <w:shd w:val="clear" w:color="auto" w:fill="auto"/>
            <w:noWrap/>
            <w:hideMark/>
          </w:tcPr>
          <w:p w:rsidR="00D23F20" w:rsidRPr="00AD4F7A" w:rsidRDefault="00D23F20" w:rsidP="00D23F20">
            <w:pPr>
              <w:jc w:val="right"/>
              <w:rPr>
                <w:rFonts w:ascii="Garamond" w:eastAsia="Times New Roman" w:hAnsi="Garamond"/>
                <w:color w:val="000000"/>
                <w:sz w:val="20"/>
                <w:lang w:eastAsia="en-IN"/>
              </w:rPr>
            </w:pPr>
          </w:p>
        </w:tc>
      </w:tr>
      <w:tr w:rsidR="00D23F20" w:rsidRPr="00AD4F7A" w:rsidTr="00D23F20">
        <w:trPr>
          <w:trHeight w:val="208"/>
          <w:jc w:val="center"/>
        </w:trPr>
        <w:tc>
          <w:tcPr>
            <w:tcW w:w="2027" w:type="dxa"/>
            <w:tcBorders>
              <w:top w:val="nil"/>
              <w:left w:val="single" w:sz="4" w:space="0" w:color="auto"/>
              <w:bottom w:val="single" w:sz="4" w:space="0" w:color="auto"/>
              <w:right w:val="single" w:sz="4" w:space="0" w:color="auto"/>
            </w:tcBorders>
            <w:shd w:val="clear" w:color="C6D9F0" w:fill="C6D9F0"/>
            <w:noWrap/>
            <w:vAlign w:val="center"/>
            <w:hideMark/>
          </w:tcPr>
          <w:p w:rsidR="00D23F20" w:rsidRPr="00AD4F7A" w:rsidRDefault="00D23F20" w:rsidP="00D23F20">
            <w:pPr>
              <w:rPr>
                <w:rFonts w:ascii="Garamond" w:eastAsia="Times New Roman" w:hAnsi="Garamond"/>
                <w:i/>
                <w:iCs/>
                <w:sz w:val="20"/>
                <w:lang w:eastAsia="en-IN"/>
              </w:rPr>
            </w:pPr>
            <w:r w:rsidRPr="00AD4F7A">
              <w:rPr>
                <w:rFonts w:ascii="Garamond" w:eastAsia="Times New Roman" w:hAnsi="Garamond"/>
                <w:i/>
                <w:iCs/>
                <w:sz w:val="20"/>
                <w:lang w:eastAsia="en-IN"/>
              </w:rPr>
              <w:t xml:space="preserve">            Put</w:t>
            </w:r>
          </w:p>
        </w:tc>
        <w:tc>
          <w:tcPr>
            <w:tcW w:w="1417"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1,44,719</w:t>
            </w:r>
          </w:p>
        </w:tc>
        <w:tc>
          <w:tcPr>
            <w:tcW w:w="1417"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1,89,798</w:t>
            </w:r>
          </w:p>
        </w:tc>
        <w:tc>
          <w:tcPr>
            <w:tcW w:w="1371"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31.1</w:t>
            </w:r>
          </w:p>
        </w:tc>
        <w:tc>
          <w:tcPr>
            <w:tcW w:w="1305"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5</w:t>
            </w:r>
          </w:p>
        </w:tc>
        <w:tc>
          <w:tcPr>
            <w:tcW w:w="1280"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21.0</w:t>
            </w:r>
          </w:p>
        </w:tc>
        <w:tc>
          <w:tcPr>
            <w:tcW w:w="1574" w:type="dxa"/>
            <w:tcBorders>
              <w:top w:val="nil"/>
              <w:left w:val="nil"/>
              <w:bottom w:val="single" w:sz="4" w:space="0" w:color="auto"/>
              <w:right w:val="single" w:sz="4" w:space="0" w:color="auto"/>
            </w:tcBorders>
            <w:shd w:val="clear" w:color="auto" w:fill="auto"/>
            <w:noWrap/>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320.0</w:t>
            </w:r>
          </w:p>
        </w:tc>
      </w:tr>
      <w:tr w:rsidR="00D23F20" w:rsidRPr="00AD4F7A" w:rsidTr="00D23F20">
        <w:trPr>
          <w:trHeight w:val="208"/>
          <w:jc w:val="center"/>
        </w:trPr>
        <w:tc>
          <w:tcPr>
            <w:tcW w:w="2027" w:type="dxa"/>
            <w:tcBorders>
              <w:top w:val="nil"/>
              <w:left w:val="single" w:sz="4" w:space="0" w:color="auto"/>
              <w:bottom w:val="single" w:sz="4" w:space="0" w:color="auto"/>
              <w:right w:val="single" w:sz="4" w:space="0" w:color="auto"/>
            </w:tcBorders>
            <w:shd w:val="clear" w:color="C6D9F0" w:fill="C6D9F0"/>
            <w:noWrap/>
            <w:vAlign w:val="center"/>
            <w:hideMark/>
          </w:tcPr>
          <w:p w:rsidR="00D23F20" w:rsidRPr="00AD4F7A" w:rsidRDefault="00D23F20" w:rsidP="00D23F20">
            <w:pPr>
              <w:rPr>
                <w:rFonts w:ascii="Garamond" w:eastAsia="Times New Roman" w:hAnsi="Garamond"/>
                <w:i/>
                <w:iCs/>
                <w:sz w:val="20"/>
                <w:lang w:eastAsia="en-IN"/>
              </w:rPr>
            </w:pPr>
            <w:r w:rsidRPr="00AD4F7A">
              <w:rPr>
                <w:rFonts w:ascii="Garamond" w:eastAsia="Times New Roman" w:hAnsi="Garamond"/>
                <w:i/>
                <w:iCs/>
                <w:sz w:val="20"/>
                <w:lang w:eastAsia="en-IN"/>
              </w:rPr>
              <w:t xml:space="preserve">           Call</w:t>
            </w:r>
          </w:p>
        </w:tc>
        <w:tc>
          <w:tcPr>
            <w:tcW w:w="1417"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1,56,508</w:t>
            </w:r>
          </w:p>
        </w:tc>
        <w:tc>
          <w:tcPr>
            <w:tcW w:w="1417"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2,73,205</w:t>
            </w:r>
          </w:p>
        </w:tc>
        <w:tc>
          <w:tcPr>
            <w:tcW w:w="1371"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74.6</w:t>
            </w:r>
          </w:p>
        </w:tc>
        <w:tc>
          <w:tcPr>
            <w:tcW w:w="1305"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5</w:t>
            </w:r>
          </w:p>
        </w:tc>
        <w:tc>
          <w:tcPr>
            <w:tcW w:w="1280"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Calibri" w:hAnsi="Garamond"/>
                <w:sz w:val="20"/>
              </w:rPr>
            </w:pPr>
            <w:r w:rsidRPr="00AD4F7A">
              <w:rPr>
                <w:rFonts w:ascii="Garamond" w:eastAsia="Calibri" w:hAnsi="Garamond"/>
                <w:sz w:val="20"/>
              </w:rPr>
              <w:t>58.0</w:t>
            </w:r>
          </w:p>
        </w:tc>
        <w:tc>
          <w:tcPr>
            <w:tcW w:w="1574" w:type="dxa"/>
            <w:tcBorders>
              <w:top w:val="nil"/>
              <w:left w:val="nil"/>
              <w:bottom w:val="single" w:sz="4" w:space="0" w:color="auto"/>
              <w:right w:val="single" w:sz="4" w:space="0" w:color="auto"/>
            </w:tcBorders>
            <w:shd w:val="clear" w:color="auto" w:fill="auto"/>
            <w:noWrap/>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1060.0</w:t>
            </w:r>
          </w:p>
        </w:tc>
      </w:tr>
      <w:tr w:rsidR="00D23F20" w:rsidRPr="00AD4F7A" w:rsidTr="00D23F20">
        <w:trPr>
          <w:trHeight w:val="208"/>
          <w:jc w:val="center"/>
        </w:trPr>
        <w:tc>
          <w:tcPr>
            <w:tcW w:w="2027" w:type="dxa"/>
            <w:tcBorders>
              <w:top w:val="nil"/>
              <w:left w:val="single" w:sz="4" w:space="0" w:color="auto"/>
              <w:bottom w:val="single" w:sz="4" w:space="0" w:color="auto"/>
              <w:right w:val="single" w:sz="4" w:space="0" w:color="auto"/>
            </w:tcBorders>
            <w:shd w:val="clear" w:color="C6D9F0" w:fill="C6D9F0"/>
            <w:noWrap/>
            <w:vAlign w:val="center"/>
            <w:hideMark/>
          </w:tcPr>
          <w:p w:rsidR="00D23F20" w:rsidRPr="00AD4F7A" w:rsidRDefault="00D23F20" w:rsidP="00D23F20">
            <w:pPr>
              <w:rPr>
                <w:rFonts w:ascii="Garamond" w:eastAsia="Times New Roman" w:hAnsi="Garamond"/>
                <w:sz w:val="20"/>
                <w:lang w:eastAsia="en-IN"/>
              </w:rPr>
            </w:pPr>
            <w:r w:rsidRPr="00AD4F7A">
              <w:rPr>
                <w:rFonts w:ascii="Garamond" w:eastAsia="Times New Roman" w:hAnsi="Garamond"/>
                <w:sz w:val="20"/>
                <w:lang w:eastAsia="en-IN"/>
              </w:rPr>
              <w:t xml:space="preserve">  (iii) Stock Futures</w:t>
            </w:r>
          </w:p>
        </w:tc>
        <w:tc>
          <w:tcPr>
            <w:tcW w:w="1417"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1,88,501</w:t>
            </w:r>
          </w:p>
        </w:tc>
        <w:tc>
          <w:tcPr>
            <w:tcW w:w="1417"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1,97,100</w:t>
            </w:r>
          </w:p>
        </w:tc>
        <w:tc>
          <w:tcPr>
            <w:tcW w:w="1371"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4.6</w:t>
            </w:r>
          </w:p>
        </w:tc>
        <w:tc>
          <w:tcPr>
            <w:tcW w:w="1305"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0.0</w:t>
            </w:r>
          </w:p>
        </w:tc>
        <w:tc>
          <w:tcPr>
            <w:tcW w:w="1280"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0</w:t>
            </w:r>
          </w:p>
        </w:tc>
        <w:tc>
          <w:tcPr>
            <w:tcW w:w="1574" w:type="dxa"/>
            <w:tcBorders>
              <w:top w:val="nil"/>
              <w:left w:val="nil"/>
              <w:bottom w:val="single" w:sz="4" w:space="0" w:color="auto"/>
              <w:right w:val="single" w:sz="4" w:space="0" w:color="auto"/>
            </w:tcBorders>
            <w:shd w:val="clear" w:color="auto" w:fill="auto"/>
            <w:noWrap/>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w:t>
            </w:r>
          </w:p>
        </w:tc>
      </w:tr>
      <w:tr w:rsidR="00D23F20" w:rsidRPr="00AD4F7A" w:rsidTr="00D23F20">
        <w:trPr>
          <w:trHeight w:val="208"/>
          <w:jc w:val="center"/>
        </w:trPr>
        <w:tc>
          <w:tcPr>
            <w:tcW w:w="2027" w:type="dxa"/>
            <w:tcBorders>
              <w:top w:val="nil"/>
              <w:left w:val="single" w:sz="4" w:space="0" w:color="auto"/>
              <w:bottom w:val="single" w:sz="4" w:space="0" w:color="auto"/>
              <w:right w:val="single" w:sz="4" w:space="0" w:color="auto"/>
            </w:tcBorders>
            <w:shd w:val="clear" w:color="C6D9F0" w:fill="C6D9F0"/>
            <w:noWrap/>
            <w:vAlign w:val="center"/>
            <w:hideMark/>
          </w:tcPr>
          <w:p w:rsidR="00D23F20" w:rsidRPr="00AD4F7A" w:rsidRDefault="00D23F20" w:rsidP="00D23F20">
            <w:pPr>
              <w:rPr>
                <w:rFonts w:ascii="Garamond" w:eastAsia="Times New Roman" w:hAnsi="Garamond"/>
                <w:sz w:val="20"/>
                <w:lang w:eastAsia="en-IN"/>
              </w:rPr>
            </w:pPr>
            <w:r w:rsidRPr="00AD4F7A">
              <w:rPr>
                <w:rFonts w:ascii="Garamond" w:eastAsia="Times New Roman" w:hAnsi="Garamond"/>
                <w:sz w:val="20"/>
                <w:lang w:eastAsia="en-IN"/>
              </w:rPr>
              <w:t>(iv) Options on Stock</w:t>
            </w:r>
          </w:p>
        </w:tc>
        <w:tc>
          <w:tcPr>
            <w:tcW w:w="1417"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 </w:t>
            </w:r>
          </w:p>
        </w:tc>
        <w:tc>
          <w:tcPr>
            <w:tcW w:w="1417"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p>
        </w:tc>
        <w:tc>
          <w:tcPr>
            <w:tcW w:w="1371"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p>
        </w:tc>
        <w:tc>
          <w:tcPr>
            <w:tcW w:w="1305"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 </w:t>
            </w:r>
          </w:p>
        </w:tc>
        <w:tc>
          <w:tcPr>
            <w:tcW w:w="1280"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p>
        </w:tc>
        <w:tc>
          <w:tcPr>
            <w:tcW w:w="1574" w:type="dxa"/>
            <w:tcBorders>
              <w:top w:val="nil"/>
              <w:left w:val="nil"/>
              <w:bottom w:val="single" w:sz="4" w:space="0" w:color="auto"/>
              <w:right w:val="single" w:sz="4" w:space="0" w:color="auto"/>
            </w:tcBorders>
            <w:shd w:val="clear" w:color="auto" w:fill="auto"/>
            <w:noWrap/>
            <w:hideMark/>
          </w:tcPr>
          <w:p w:rsidR="00D23F20" w:rsidRPr="00AD4F7A" w:rsidRDefault="00D23F20" w:rsidP="00D23F20">
            <w:pPr>
              <w:jc w:val="right"/>
              <w:rPr>
                <w:rFonts w:ascii="Garamond" w:eastAsia="Times New Roman" w:hAnsi="Garamond"/>
                <w:color w:val="000000"/>
                <w:sz w:val="20"/>
                <w:lang w:eastAsia="en-IN"/>
              </w:rPr>
            </w:pPr>
          </w:p>
        </w:tc>
      </w:tr>
      <w:tr w:rsidR="00D23F20" w:rsidRPr="00AD4F7A" w:rsidTr="00D23F20">
        <w:trPr>
          <w:trHeight w:val="208"/>
          <w:jc w:val="center"/>
        </w:trPr>
        <w:tc>
          <w:tcPr>
            <w:tcW w:w="2027" w:type="dxa"/>
            <w:tcBorders>
              <w:top w:val="nil"/>
              <w:left w:val="single" w:sz="4" w:space="0" w:color="auto"/>
              <w:bottom w:val="single" w:sz="4" w:space="0" w:color="auto"/>
              <w:right w:val="single" w:sz="4" w:space="0" w:color="auto"/>
            </w:tcBorders>
            <w:shd w:val="clear" w:color="C6D9F0" w:fill="C6D9F0"/>
            <w:noWrap/>
            <w:vAlign w:val="center"/>
            <w:hideMark/>
          </w:tcPr>
          <w:p w:rsidR="00D23F20" w:rsidRPr="00AD4F7A" w:rsidRDefault="00D23F20" w:rsidP="00D23F20">
            <w:pPr>
              <w:rPr>
                <w:rFonts w:ascii="Garamond" w:eastAsia="Times New Roman" w:hAnsi="Garamond"/>
                <w:i/>
                <w:iCs/>
                <w:sz w:val="20"/>
                <w:lang w:eastAsia="en-IN"/>
              </w:rPr>
            </w:pPr>
            <w:r w:rsidRPr="00AD4F7A">
              <w:rPr>
                <w:rFonts w:ascii="Garamond" w:eastAsia="Times New Roman" w:hAnsi="Garamond"/>
                <w:i/>
                <w:iCs/>
                <w:sz w:val="20"/>
                <w:lang w:eastAsia="en-IN"/>
              </w:rPr>
              <w:t xml:space="preserve">            Put</w:t>
            </w:r>
          </w:p>
        </w:tc>
        <w:tc>
          <w:tcPr>
            <w:tcW w:w="1417"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29,198</w:t>
            </w:r>
          </w:p>
        </w:tc>
        <w:tc>
          <w:tcPr>
            <w:tcW w:w="1417"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33,941</w:t>
            </w:r>
          </w:p>
        </w:tc>
        <w:tc>
          <w:tcPr>
            <w:tcW w:w="1371"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16.2</w:t>
            </w:r>
          </w:p>
        </w:tc>
        <w:tc>
          <w:tcPr>
            <w:tcW w:w="1305"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0.0</w:t>
            </w:r>
          </w:p>
        </w:tc>
        <w:tc>
          <w:tcPr>
            <w:tcW w:w="1280"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0.0</w:t>
            </w:r>
          </w:p>
        </w:tc>
        <w:tc>
          <w:tcPr>
            <w:tcW w:w="1574" w:type="dxa"/>
            <w:tcBorders>
              <w:top w:val="nil"/>
              <w:left w:val="nil"/>
              <w:bottom w:val="single" w:sz="4" w:space="0" w:color="auto"/>
              <w:right w:val="single" w:sz="4" w:space="0" w:color="auto"/>
            </w:tcBorders>
            <w:shd w:val="clear" w:color="auto" w:fill="auto"/>
            <w:noWrap/>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w:t>
            </w:r>
          </w:p>
        </w:tc>
      </w:tr>
      <w:tr w:rsidR="00D23F20" w:rsidRPr="00AD4F7A" w:rsidTr="00D23F20">
        <w:trPr>
          <w:trHeight w:val="208"/>
          <w:jc w:val="center"/>
        </w:trPr>
        <w:tc>
          <w:tcPr>
            <w:tcW w:w="2027" w:type="dxa"/>
            <w:tcBorders>
              <w:top w:val="nil"/>
              <w:left w:val="single" w:sz="4" w:space="0" w:color="auto"/>
              <w:bottom w:val="single" w:sz="4" w:space="0" w:color="auto"/>
              <w:right w:val="single" w:sz="4" w:space="0" w:color="auto"/>
            </w:tcBorders>
            <w:shd w:val="clear" w:color="C6D9F0" w:fill="C6D9F0"/>
            <w:noWrap/>
            <w:vAlign w:val="center"/>
            <w:hideMark/>
          </w:tcPr>
          <w:p w:rsidR="00D23F20" w:rsidRPr="00AD4F7A" w:rsidRDefault="00D23F20" w:rsidP="00D23F20">
            <w:pPr>
              <w:rPr>
                <w:rFonts w:ascii="Garamond" w:eastAsia="Times New Roman" w:hAnsi="Garamond"/>
                <w:i/>
                <w:iCs/>
                <w:sz w:val="20"/>
                <w:lang w:eastAsia="en-IN"/>
              </w:rPr>
            </w:pPr>
            <w:r w:rsidRPr="00AD4F7A">
              <w:rPr>
                <w:rFonts w:ascii="Garamond" w:eastAsia="Times New Roman" w:hAnsi="Garamond"/>
                <w:i/>
                <w:iCs/>
                <w:sz w:val="20"/>
                <w:lang w:eastAsia="en-IN"/>
              </w:rPr>
              <w:t xml:space="preserve">          Call</w:t>
            </w:r>
          </w:p>
        </w:tc>
        <w:tc>
          <w:tcPr>
            <w:tcW w:w="1417"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55,278</w:t>
            </w:r>
          </w:p>
        </w:tc>
        <w:tc>
          <w:tcPr>
            <w:tcW w:w="1417"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67,865</w:t>
            </w:r>
          </w:p>
        </w:tc>
        <w:tc>
          <w:tcPr>
            <w:tcW w:w="1371"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22.8</w:t>
            </w:r>
          </w:p>
        </w:tc>
        <w:tc>
          <w:tcPr>
            <w:tcW w:w="1305"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0.0</w:t>
            </w:r>
          </w:p>
        </w:tc>
        <w:tc>
          <w:tcPr>
            <w:tcW w:w="1280"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0.0</w:t>
            </w:r>
          </w:p>
        </w:tc>
        <w:tc>
          <w:tcPr>
            <w:tcW w:w="1574" w:type="dxa"/>
            <w:tcBorders>
              <w:top w:val="nil"/>
              <w:left w:val="nil"/>
              <w:bottom w:val="single" w:sz="4" w:space="0" w:color="auto"/>
              <w:right w:val="single" w:sz="4" w:space="0" w:color="auto"/>
            </w:tcBorders>
            <w:shd w:val="clear" w:color="auto" w:fill="auto"/>
            <w:noWrap/>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w:t>
            </w:r>
          </w:p>
        </w:tc>
      </w:tr>
      <w:tr w:rsidR="00D23F20" w:rsidRPr="00AD4F7A" w:rsidTr="00D23F20">
        <w:trPr>
          <w:trHeight w:val="218"/>
          <w:jc w:val="center"/>
        </w:trPr>
        <w:tc>
          <w:tcPr>
            <w:tcW w:w="2027" w:type="dxa"/>
            <w:tcBorders>
              <w:top w:val="nil"/>
              <w:left w:val="single" w:sz="4" w:space="0" w:color="auto"/>
              <w:bottom w:val="single" w:sz="4" w:space="0" w:color="auto"/>
              <w:right w:val="single" w:sz="4" w:space="0" w:color="auto"/>
            </w:tcBorders>
            <w:shd w:val="clear" w:color="C6D9F0" w:fill="C6D9F0"/>
            <w:noWrap/>
            <w:vAlign w:val="center"/>
            <w:hideMark/>
          </w:tcPr>
          <w:p w:rsidR="00D23F20" w:rsidRPr="00AD4F7A" w:rsidRDefault="00D23F20" w:rsidP="00D23F20">
            <w:pPr>
              <w:rPr>
                <w:rFonts w:ascii="Garamond" w:eastAsia="Times New Roman" w:hAnsi="Garamond"/>
                <w:b/>
                <w:bCs/>
                <w:sz w:val="20"/>
                <w:lang w:eastAsia="en-IN"/>
              </w:rPr>
            </w:pPr>
            <w:r w:rsidRPr="00AD4F7A">
              <w:rPr>
                <w:rFonts w:ascii="Garamond" w:eastAsia="Times New Roman" w:hAnsi="Garamond"/>
                <w:b/>
                <w:bCs/>
                <w:sz w:val="20"/>
                <w:lang w:eastAsia="en-IN"/>
              </w:rPr>
              <w:t xml:space="preserve">         Total</w:t>
            </w:r>
          </w:p>
        </w:tc>
        <w:tc>
          <w:tcPr>
            <w:tcW w:w="1417" w:type="dxa"/>
            <w:tcBorders>
              <w:top w:val="nil"/>
              <w:left w:val="nil"/>
              <w:bottom w:val="single" w:sz="4" w:space="0" w:color="auto"/>
              <w:right w:val="single" w:sz="4" w:space="0" w:color="auto"/>
            </w:tcBorders>
            <w:shd w:val="clear" w:color="C6D9F0" w:fill="C6D9F0"/>
            <w:noWrap/>
            <w:vAlign w:val="center"/>
            <w:hideMark/>
          </w:tcPr>
          <w:p w:rsidR="00D23F20" w:rsidRPr="00AD4F7A" w:rsidRDefault="00D23F20" w:rsidP="00D23F20">
            <w:pPr>
              <w:jc w:val="right"/>
              <w:rPr>
                <w:rFonts w:ascii="Garamond" w:eastAsia="Times New Roman" w:hAnsi="Garamond"/>
                <w:b/>
                <w:bCs/>
                <w:sz w:val="20"/>
                <w:lang w:eastAsia="en-IN"/>
              </w:rPr>
            </w:pPr>
            <w:r w:rsidRPr="00AD4F7A">
              <w:rPr>
                <w:rFonts w:ascii="Garamond" w:eastAsia="Times New Roman" w:hAnsi="Garamond"/>
                <w:b/>
                <w:bCs/>
                <w:sz w:val="20"/>
                <w:lang w:eastAsia="en-IN"/>
              </w:rPr>
              <w:t>6,03,824</w:t>
            </w:r>
          </w:p>
        </w:tc>
        <w:tc>
          <w:tcPr>
            <w:tcW w:w="1417" w:type="dxa"/>
            <w:tcBorders>
              <w:top w:val="nil"/>
              <w:left w:val="nil"/>
              <w:bottom w:val="single" w:sz="4" w:space="0" w:color="auto"/>
              <w:right w:val="single" w:sz="4" w:space="0" w:color="auto"/>
            </w:tcBorders>
            <w:shd w:val="clear" w:color="C6D9F0" w:fill="C6D9F0"/>
            <w:noWrap/>
            <w:vAlign w:val="center"/>
            <w:hideMark/>
          </w:tcPr>
          <w:p w:rsidR="00D23F20" w:rsidRPr="00AD4F7A" w:rsidRDefault="00D23F20" w:rsidP="00D23F20">
            <w:pPr>
              <w:jc w:val="right"/>
              <w:rPr>
                <w:rFonts w:ascii="Garamond" w:eastAsia="Calibri" w:hAnsi="Garamond" w:cs="Calibri"/>
                <w:b/>
                <w:bCs/>
                <w:color w:val="000000"/>
                <w:sz w:val="20"/>
              </w:rPr>
            </w:pPr>
            <w:r w:rsidRPr="00AD4F7A">
              <w:rPr>
                <w:rFonts w:ascii="Garamond" w:eastAsia="Calibri" w:hAnsi="Garamond" w:cs="Calibri"/>
                <w:b/>
                <w:bCs/>
                <w:color w:val="000000"/>
                <w:sz w:val="20"/>
              </w:rPr>
              <w:t>7,90,966</w:t>
            </w:r>
          </w:p>
        </w:tc>
        <w:tc>
          <w:tcPr>
            <w:tcW w:w="1371" w:type="dxa"/>
            <w:tcBorders>
              <w:top w:val="nil"/>
              <w:left w:val="nil"/>
              <w:bottom w:val="single" w:sz="4" w:space="0" w:color="auto"/>
              <w:right w:val="single" w:sz="4" w:space="0" w:color="auto"/>
            </w:tcBorders>
            <w:shd w:val="clear" w:color="C6D9F0" w:fill="C6D9F0"/>
            <w:noWrap/>
            <w:vAlign w:val="bottom"/>
            <w:hideMark/>
          </w:tcPr>
          <w:p w:rsidR="00D23F20" w:rsidRPr="00AD4F7A" w:rsidRDefault="00D23F20" w:rsidP="00D23F20">
            <w:pPr>
              <w:jc w:val="right"/>
              <w:rPr>
                <w:rFonts w:ascii="Garamond" w:eastAsia="Times New Roman" w:hAnsi="Garamond"/>
                <w:b/>
                <w:bCs/>
                <w:color w:val="000000"/>
                <w:sz w:val="20"/>
                <w:lang w:eastAsia="en-IN"/>
              </w:rPr>
            </w:pPr>
            <w:r w:rsidRPr="00AD4F7A">
              <w:rPr>
                <w:rFonts w:ascii="Garamond" w:eastAsia="Times New Roman" w:hAnsi="Garamond"/>
                <w:b/>
                <w:bCs/>
                <w:color w:val="000000"/>
                <w:sz w:val="20"/>
                <w:lang w:eastAsia="en-IN"/>
              </w:rPr>
              <w:t>31.0</w:t>
            </w:r>
          </w:p>
        </w:tc>
        <w:tc>
          <w:tcPr>
            <w:tcW w:w="1305" w:type="dxa"/>
            <w:tcBorders>
              <w:top w:val="nil"/>
              <w:left w:val="nil"/>
              <w:bottom w:val="single" w:sz="4" w:space="0" w:color="auto"/>
              <w:right w:val="single" w:sz="4" w:space="0" w:color="auto"/>
            </w:tcBorders>
            <w:shd w:val="clear" w:color="C6D9F0" w:fill="C6D9F0"/>
            <w:noWrap/>
            <w:vAlign w:val="center"/>
            <w:hideMark/>
          </w:tcPr>
          <w:p w:rsidR="00D23F20" w:rsidRPr="00AD4F7A" w:rsidRDefault="00D23F20" w:rsidP="00D23F20">
            <w:pPr>
              <w:jc w:val="right"/>
              <w:rPr>
                <w:rFonts w:ascii="Garamond" w:eastAsia="Times New Roman" w:hAnsi="Garamond"/>
                <w:b/>
                <w:bCs/>
                <w:sz w:val="20"/>
                <w:lang w:eastAsia="en-IN"/>
              </w:rPr>
            </w:pPr>
            <w:r w:rsidRPr="00AD4F7A">
              <w:rPr>
                <w:rFonts w:ascii="Garamond" w:eastAsia="Times New Roman" w:hAnsi="Garamond"/>
                <w:b/>
                <w:bCs/>
                <w:sz w:val="20"/>
                <w:lang w:eastAsia="en-IN"/>
              </w:rPr>
              <w:t>65.5</w:t>
            </w:r>
          </w:p>
        </w:tc>
        <w:tc>
          <w:tcPr>
            <w:tcW w:w="1280" w:type="dxa"/>
            <w:tcBorders>
              <w:top w:val="nil"/>
              <w:left w:val="nil"/>
              <w:bottom w:val="single" w:sz="4" w:space="0" w:color="auto"/>
              <w:right w:val="single" w:sz="4" w:space="0" w:color="auto"/>
            </w:tcBorders>
            <w:shd w:val="clear" w:color="C6D9F0" w:fill="C6D9F0"/>
            <w:noWrap/>
            <w:vAlign w:val="center"/>
            <w:hideMark/>
          </w:tcPr>
          <w:p w:rsidR="00D23F20" w:rsidRPr="00AD4F7A" w:rsidRDefault="00D23F20" w:rsidP="00D23F20">
            <w:pPr>
              <w:jc w:val="right"/>
              <w:rPr>
                <w:rFonts w:ascii="Garamond" w:eastAsia="Times New Roman" w:hAnsi="Garamond"/>
                <w:b/>
                <w:bCs/>
                <w:sz w:val="20"/>
                <w:lang w:eastAsia="en-IN"/>
              </w:rPr>
            </w:pPr>
            <w:r w:rsidRPr="00AD4F7A">
              <w:rPr>
                <w:rFonts w:ascii="Garamond" w:eastAsia="Times New Roman" w:hAnsi="Garamond"/>
                <w:b/>
                <w:bCs/>
                <w:sz w:val="20"/>
                <w:lang w:eastAsia="en-IN"/>
              </w:rPr>
              <w:t>79.0</w:t>
            </w:r>
          </w:p>
        </w:tc>
        <w:tc>
          <w:tcPr>
            <w:tcW w:w="1574" w:type="dxa"/>
            <w:tcBorders>
              <w:top w:val="nil"/>
              <w:left w:val="nil"/>
              <w:bottom w:val="single" w:sz="4" w:space="0" w:color="auto"/>
              <w:right w:val="single" w:sz="4" w:space="0" w:color="auto"/>
            </w:tcBorders>
            <w:shd w:val="clear" w:color="C6D9F0" w:fill="C6D9F0"/>
            <w:noWrap/>
            <w:hideMark/>
          </w:tcPr>
          <w:p w:rsidR="00D23F20" w:rsidRPr="00AD4F7A" w:rsidRDefault="00D23F20" w:rsidP="00D23F20">
            <w:pPr>
              <w:jc w:val="right"/>
              <w:rPr>
                <w:rFonts w:ascii="Garamond" w:eastAsia="Times New Roman" w:hAnsi="Garamond"/>
                <w:b/>
                <w:bCs/>
                <w:color w:val="000000"/>
                <w:sz w:val="20"/>
                <w:lang w:eastAsia="en-IN"/>
              </w:rPr>
            </w:pPr>
            <w:r w:rsidRPr="00AD4F7A">
              <w:rPr>
                <w:rFonts w:ascii="Garamond" w:eastAsia="Times New Roman" w:hAnsi="Garamond"/>
                <w:b/>
                <w:bCs/>
                <w:color w:val="000000"/>
                <w:sz w:val="20"/>
                <w:lang w:eastAsia="en-IN"/>
              </w:rPr>
              <w:t>20.6</w:t>
            </w:r>
          </w:p>
        </w:tc>
      </w:tr>
      <w:tr w:rsidR="00D23F20" w:rsidRPr="00AD4F7A" w:rsidTr="00D23F20">
        <w:trPr>
          <w:trHeight w:val="208"/>
          <w:jc w:val="center"/>
        </w:trPr>
        <w:tc>
          <w:tcPr>
            <w:tcW w:w="10391" w:type="dxa"/>
            <w:gridSpan w:val="7"/>
            <w:tcBorders>
              <w:top w:val="single" w:sz="4" w:space="0" w:color="auto"/>
              <w:left w:val="single" w:sz="4" w:space="0" w:color="auto"/>
              <w:bottom w:val="single" w:sz="4" w:space="0" w:color="auto"/>
              <w:right w:val="single" w:sz="4" w:space="0" w:color="auto"/>
            </w:tcBorders>
            <w:shd w:val="clear" w:color="FFFFCC" w:fill="FFFFCC"/>
            <w:vAlign w:val="center"/>
            <w:hideMark/>
          </w:tcPr>
          <w:p w:rsidR="00D23F20" w:rsidRPr="00AD4F7A" w:rsidRDefault="00D23F20" w:rsidP="00D23F20">
            <w:pPr>
              <w:rPr>
                <w:rFonts w:ascii="Garamond" w:eastAsia="Times New Roman" w:hAnsi="Garamond"/>
                <w:b/>
                <w:bCs/>
                <w:sz w:val="20"/>
                <w:lang w:eastAsia="en-IN"/>
              </w:rPr>
            </w:pPr>
            <w:r w:rsidRPr="00AD4F7A">
              <w:rPr>
                <w:rFonts w:ascii="Garamond" w:eastAsia="Times New Roman" w:hAnsi="Garamond"/>
                <w:b/>
                <w:bCs/>
                <w:sz w:val="20"/>
                <w:lang w:eastAsia="en-IN"/>
              </w:rPr>
              <w:t xml:space="preserve">D.  Open Interest in Terms of No. of Contracts </w:t>
            </w:r>
            <w:r w:rsidRPr="00AD4F7A">
              <w:rPr>
                <w:rFonts w:ascii="Garamond" w:eastAsia="Times New Roman" w:hAnsi="Garamond"/>
                <w:b/>
                <w:bCs/>
                <w:color w:val="000000"/>
                <w:sz w:val="20"/>
                <w:lang w:eastAsia="en-IN"/>
              </w:rPr>
              <w:t>(at the end of the month)</w:t>
            </w:r>
          </w:p>
        </w:tc>
      </w:tr>
      <w:tr w:rsidR="00D23F20" w:rsidRPr="00AD4F7A" w:rsidTr="00D23F20">
        <w:trPr>
          <w:trHeight w:val="208"/>
          <w:jc w:val="center"/>
        </w:trPr>
        <w:tc>
          <w:tcPr>
            <w:tcW w:w="2027" w:type="dxa"/>
            <w:tcBorders>
              <w:top w:val="nil"/>
              <w:left w:val="single" w:sz="4" w:space="0" w:color="auto"/>
              <w:bottom w:val="single" w:sz="4" w:space="0" w:color="auto"/>
              <w:right w:val="single" w:sz="4" w:space="0" w:color="auto"/>
            </w:tcBorders>
            <w:shd w:val="clear" w:color="C6D9F0" w:fill="C6D9F0"/>
            <w:noWrap/>
            <w:vAlign w:val="center"/>
            <w:hideMark/>
          </w:tcPr>
          <w:p w:rsidR="00D23F20" w:rsidRPr="00AD4F7A" w:rsidRDefault="00D23F20" w:rsidP="00D23F20">
            <w:pPr>
              <w:rPr>
                <w:rFonts w:ascii="Garamond" w:eastAsia="Times New Roman" w:hAnsi="Garamond"/>
                <w:sz w:val="20"/>
                <w:lang w:eastAsia="en-IN"/>
              </w:rPr>
            </w:pPr>
            <w:r w:rsidRPr="00AD4F7A">
              <w:rPr>
                <w:rFonts w:ascii="Garamond" w:eastAsia="Times New Roman" w:hAnsi="Garamond"/>
                <w:sz w:val="20"/>
                <w:lang w:eastAsia="en-IN"/>
              </w:rPr>
              <w:t xml:space="preserve">   (i) Index  Futures</w:t>
            </w:r>
          </w:p>
        </w:tc>
        <w:tc>
          <w:tcPr>
            <w:tcW w:w="1417"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rPr>
                <w:rFonts w:ascii="Garamond" w:eastAsia="Times New Roman" w:hAnsi="Garamond" w:cs="Calibri"/>
                <w:color w:val="000000"/>
                <w:sz w:val="20"/>
                <w:lang w:eastAsia="en-IN"/>
              </w:rPr>
            </w:pPr>
            <w:r w:rsidRPr="00AD4F7A">
              <w:rPr>
                <w:rFonts w:ascii="Garamond" w:eastAsia="Times New Roman" w:hAnsi="Garamond" w:cs="Calibri"/>
                <w:color w:val="000000"/>
                <w:sz w:val="20"/>
                <w:lang w:eastAsia="en-IN"/>
              </w:rPr>
              <w:t xml:space="preserve">        6,05,475 </w:t>
            </w:r>
          </w:p>
        </w:tc>
        <w:tc>
          <w:tcPr>
            <w:tcW w:w="1417"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s="Calibri"/>
                <w:color w:val="000000"/>
                <w:sz w:val="20"/>
                <w:lang w:eastAsia="en-IN"/>
              </w:rPr>
            </w:pPr>
            <w:r w:rsidRPr="00AD4F7A">
              <w:rPr>
                <w:rFonts w:ascii="Garamond" w:eastAsia="Times New Roman" w:hAnsi="Garamond" w:cs="Calibri"/>
                <w:color w:val="000000"/>
                <w:sz w:val="20"/>
                <w:lang w:eastAsia="en-IN"/>
              </w:rPr>
              <w:t>3,19,452</w:t>
            </w:r>
          </w:p>
        </w:tc>
        <w:tc>
          <w:tcPr>
            <w:tcW w:w="1371"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-47.2</w:t>
            </w:r>
          </w:p>
        </w:tc>
        <w:tc>
          <w:tcPr>
            <w:tcW w:w="1305"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10</w:t>
            </w:r>
          </w:p>
        </w:tc>
        <w:tc>
          <w:tcPr>
            <w:tcW w:w="1280"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0</w:t>
            </w:r>
          </w:p>
        </w:tc>
        <w:tc>
          <w:tcPr>
            <w:tcW w:w="1574" w:type="dxa"/>
            <w:tcBorders>
              <w:top w:val="nil"/>
              <w:left w:val="nil"/>
              <w:bottom w:val="single" w:sz="4" w:space="0" w:color="auto"/>
              <w:right w:val="single" w:sz="4" w:space="0" w:color="auto"/>
            </w:tcBorders>
            <w:shd w:val="clear" w:color="auto" w:fill="auto"/>
            <w:noWrap/>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-100.0</w:t>
            </w:r>
          </w:p>
        </w:tc>
      </w:tr>
      <w:tr w:rsidR="00D23F20" w:rsidRPr="00AD4F7A" w:rsidTr="00D23F20">
        <w:trPr>
          <w:trHeight w:val="208"/>
          <w:jc w:val="center"/>
        </w:trPr>
        <w:tc>
          <w:tcPr>
            <w:tcW w:w="2027" w:type="dxa"/>
            <w:tcBorders>
              <w:top w:val="nil"/>
              <w:left w:val="single" w:sz="4" w:space="0" w:color="auto"/>
              <w:bottom w:val="single" w:sz="4" w:space="0" w:color="auto"/>
              <w:right w:val="single" w:sz="4" w:space="0" w:color="auto"/>
            </w:tcBorders>
            <w:shd w:val="clear" w:color="C6D9F0" w:fill="C6D9F0"/>
            <w:noWrap/>
            <w:vAlign w:val="center"/>
            <w:hideMark/>
          </w:tcPr>
          <w:p w:rsidR="00D23F20" w:rsidRPr="00AD4F7A" w:rsidRDefault="00D23F20" w:rsidP="00D23F20">
            <w:pPr>
              <w:rPr>
                <w:rFonts w:ascii="Garamond" w:eastAsia="Times New Roman" w:hAnsi="Garamond"/>
                <w:sz w:val="20"/>
                <w:lang w:eastAsia="en-IN"/>
              </w:rPr>
            </w:pPr>
            <w:r w:rsidRPr="00AD4F7A">
              <w:rPr>
                <w:rFonts w:ascii="Garamond" w:eastAsia="Times New Roman" w:hAnsi="Garamond"/>
                <w:sz w:val="20"/>
                <w:lang w:eastAsia="en-IN"/>
              </w:rPr>
              <w:t xml:space="preserve">   (ii) Options on Index</w:t>
            </w:r>
          </w:p>
        </w:tc>
        <w:tc>
          <w:tcPr>
            <w:tcW w:w="1417"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 </w:t>
            </w:r>
          </w:p>
        </w:tc>
        <w:tc>
          <w:tcPr>
            <w:tcW w:w="1417"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p>
        </w:tc>
        <w:tc>
          <w:tcPr>
            <w:tcW w:w="1371"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p>
        </w:tc>
        <w:tc>
          <w:tcPr>
            <w:tcW w:w="1305"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 </w:t>
            </w:r>
          </w:p>
        </w:tc>
        <w:tc>
          <w:tcPr>
            <w:tcW w:w="1280"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p>
        </w:tc>
        <w:tc>
          <w:tcPr>
            <w:tcW w:w="1574" w:type="dxa"/>
            <w:tcBorders>
              <w:top w:val="nil"/>
              <w:left w:val="nil"/>
              <w:bottom w:val="single" w:sz="4" w:space="0" w:color="auto"/>
              <w:right w:val="single" w:sz="4" w:space="0" w:color="auto"/>
            </w:tcBorders>
            <w:shd w:val="clear" w:color="auto" w:fill="auto"/>
            <w:noWrap/>
            <w:hideMark/>
          </w:tcPr>
          <w:p w:rsidR="00D23F20" w:rsidRPr="00AD4F7A" w:rsidRDefault="00D23F20" w:rsidP="00D23F20">
            <w:pPr>
              <w:jc w:val="right"/>
              <w:rPr>
                <w:rFonts w:ascii="Garamond" w:eastAsia="Times New Roman" w:hAnsi="Garamond"/>
                <w:color w:val="000000"/>
                <w:sz w:val="20"/>
                <w:lang w:eastAsia="en-IN"/>
              </w:rPr>
            </w:pPr>
          </w:p>
        </w:tc>
      </w:tr>
      <w:tr w:rsidR="00D23F20" w:rsidRPr="00AD4F7A" w:rsidTr="00D23F20">
        <w:trPr>
          <w:trHeight w:val="208"/>
          <w:jc w:val="center"/>
        </w:trPr>
        <w:tc>
          <w:tcPr>
            <w:tcW w:w="2027" w:type="dxa"/>
            <w:tcBorders>
              <w:top w:val="nil"/>
              <w:left w:val="single" w:sz="4" w:space="0" w:color="auto"/>
              <w:bottom w:val="single" w:sz="4" w:space="0" w:color="auto"/>
              <w:right w:val="single" w:sz="4" w:space="0" w:color="auto"/>
            </w:tcBorders>
            <w:shd w:val="clear" w:color="C6D9F0" w:fill="C6D9F0"/>
            <w:noWrap/>
            <w:vAlign w:val="center"/>
            <w:hideMark/>
          </w:tcPr>
          <w:p w:rsidR="00D23F20" w:rsidRPr="00AD4F7A" w:rsidRDefault="00D23F20" w:rsidP="00D23F20">
            <w:pPr>
              <w:rPr>
                <w:rFonts w:ascii="Garamond" w:eastAsia="Times New Roman" w:hAnsi="Garamond"/>
                <w:i/>
                <w:iCs/>
                <w:sz w:val="20"/>
                <w:lang w:eastAsia="en-IN"/>
              </w:rPr>
            </w:pPr>
            <w:r w:rsidRPr="00AD4F7A">
              <w:rPr>
                <w:rFonts w:ascii="Garamond" w:eastAsia="Times New Roman" w:hAnsi="Garamond"/>
                <w:i/>
                <w:iCs/>
                <w:sz w:val="20"/>
                <w:lang w:eastAsia="en-IN"/>
              </w:rPr>
              <w:t xml:space="preserve">            Put</w:t>
            </w:r>
          </w:p>
        </w:tc>
        <w:tc>
          <w:tcPr>
            <w:tcW w:w="1417"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16,16,406</w:t>
            </w:r>
          </w:p>
        </w:tc>
        <w:tc>
          <w:tcPr>
            <w:tcW w:w="1417"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20,83,837</w:t>
            </w:r>
          </w:p>
        </w:tc>
        <w:tc>
          <w:tcPr>
            <w:tcW w:w="1371"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28.9</w:t>
            </w:r>
          </w:p>
        </w:tc>
        <w:tc>
          <w:tcPr>
            <w:tcW w:w="1305"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57</w:t>
            </w:r>
          </w:p>
        </w:tc>
        <w:tc>
          <w:tcPr>
            <w:tcW w:w="1280"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226</w:t>
            </w:r>
          </w:p>
        </w:tc>
        <w:tc>
          <w:tcPr>
            <w:tcW w:w="1574" w:type="dxa"/>
            <w:tcBorders>
              <w:top w:val="nil"/>
              <w:left w:val="nil"/>
              <w:bottom w:val="single" w:sz="4" w:space="0" w:color="auto"/>
              <w:right w:val="single" w:sz="4" w:space="0" w:color="auto"/>
            </w:tcBorders>
            <w:shd w:val="clear" w:color="auto" w:fill="auto"/>
            <w:noWrap/>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296.5</w:t>
            </w:r>
          </w:p>
        </w:tc>
      </w:tr>
      <w:tr w:rsidR="00D23F20" w:rsidRPr="00AD4F7A" w:rsidTr="00D23F20">
        <w:trPr>
          <w:trHeight w:val="208"/>
          <w:jc w:val="center"/>
        </w:trPr>
        <w:tc>
          <w:tcPr>
            <w:tcW w:w="2027" w:type="dxa"/>
            <w:tcBorders>
              <w:top w:val="nil"/>
              <w:left w:val="single" w:sz="4" w:space="0" w:color="auto"/>
              <w:bottom w:val="single" w:sz="4" w:space="0" w:color="auto"/>
              <w:right w:val="single" w:sz="4" w:space="0" w:color="auto"/>
            </w:tcBorders>
            <w:shd w:val="clear" w:color="C6D9F0" w:fill="C6D9F0"/>
            <w:noWrap/>
            <w:vAlign w:val="center"/>
            <w:hideMark/>
          </w:tcPr>
          <w:p w:rsidR="00D23F20" w:rsidRPr="00AD4F7A" w:rsidRDefault="00D23F20" w:rsidP="00D23F20">
            <w:pPr>
              <w:rPr>
                <w:rFonts w:ascii="Garamond" w:eastAsia="Times New Roman" w:hAnsi="Garamond"/>
                <w:i/>
                <w:iCs/>
                <w:sz w:val="20"/>
                <w:lang w:eastAsia="en-IN"/>
              </w:rPr>
            </w:pPr>
            <w:r w:rsidRPr="00AD4F7A">
              <w:rPr>
                <w:rFonts w:ascii="Garamond" w:eastAsia="Times New Roman" w:hAnsi="Garamond"/>
                <w:i/>
                <w:iCs/>
                <w:sz w:val="20"/>
                <w:lang w:eastAsia="en-IN"/>
              </w:rPr>
              <w:t xml:space="preserve">           Call</w:t>
            </w:r>
          </w:p>
        </w:tc>
        <w:tc>
          <w:tcPr>
            <w:tcW w:w="1417"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17,40,056</w:t>
            </w:r>
          </w:p>
        </w:tc>
        <w:tc>
          <w:tcPr>
            <w:tcW w:w="1417"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29,85,682</w:t>
            </w:r>
          </w:p>
        </w:tc>
        <w:tc>
          <w:tcPr>
            <w:tcW w:w="1371"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71.6</w:t>
            </w:r>
          </w:p>
        </w:tc>
        <w:tc>
          <w:tcPr>
            <w:tcW w:w="1305"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642</w:t>
            </w:r>
          </w:p>
        </w:tc>
        <w:tc>
          <w:tcPr>
            <w:tcW w:w="1280"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625</w:t>
            </w:r>
          </w:p>
        </w:tc>
        <w:tc>
          <w:tcPr>
            <w:tcW w:w="1574" w:type="dxa"/>
            <w:tcBorders>
              <w:top w:val="nil"/>
              <w:left w:val="nil"/>
              <w:bottom w:val="single" w:sz="4" w:space="0" w:color="auto"/>
              <w:right w:val="single" w:sz="4" w:space="0" w:color="auto"/>
            </w:tcBorders>
            <w:shd w:val="clear" w:color="auto" w:fill="auto"/>
            <w:noWrap/>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-2.6</w:t>
            </w:r>
          </w:p>
        </w:tc>
      </w:tr>
      <w:tr w:rsidR="00D23F20" w:rsidRPr="00AD4F7A" w:rsidTr="00D23F20">
        <w:trPr>
          <w:trHeight w:val="208"/>
          <w:jc w:val="center"/>
        </w:trPr>
        <w:tc>
          <w:tcPr>
            <w:tcW w:w="2027" w:type="dxa"/>
            <w:tcBorders>
              <w:top w:val="nil"/>
              <w:left w:val="single" w:sz="4" w:space="0" w:color="auto"/>
              <w:bottom w:val="single" w:sz="4" w:space="0" w:color="auto"/>
              <w:right w:val="single" w:sz="4" w:space="0" w:color="auto"/>
            </w:tcBorders>
            <w:shd w:val="clear" w:color="C6D9F0" w:fill="C6D9F0"/>
            <w:noWrap/>
            <w:vAlign w:val="center"/>
            <w:hideMark/>
          </w:tcPr>
          <w:p w:rsidR="00D23F20" w:rsidRPr="00AD4F7A" w:rsidRDefault="00D23F20" w:rsidP="00D23F20">
            <w:pPr>
              <w:rPr>
                <w:rFonts w:ascii="Garamond" w:eastAsia="Times New Roman" w:hAnsi="Garamond"/>
                <w:sz w:val="20"/>
                <w:lang w:eastAsia="en-IN"/>
              </w:rPr>
            </w:pPr>
            <w:r w:rsidRPr="00AD4F7A">
              <w:rPr>
                <w:rFonts w:ascii="Garamond" w:eastAsia="Times New Roman" w:hAnsi="Garamond"/>
                <w:sz w:val="20"/>
                <w:lang w:eastAsia="en-IN"/>
              </w:rPr>
              <w:t xml:space="preserve">  (iii) Stock Futures</w:t>
            </w:r>
          </w:p>
        </w:tc>
        <w:tc>
          <w:tcPr>
            <w:tcW w:w="1417"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21,78,364</w:t>
            </w:r>
          </w:p>
        </w:tc>
        <w:tc>
          <w:tcPr>
            <w:tcW w:w="1417"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26,95,190</w:t>
            </w:r>
          </w:p>
        </w:tc>
        <w:tc>
          <w:tcPr>
            <w:tcW w:w="1371"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23.7</w:t>
            </w:r>
          </w:p>
        </w:tc>
        <w:tc>
          <w:tcPr>
            <w:tcW w:w="1305"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0</w:t>
            </w:r>
          </w:p>
        </w:tc>
        <w:tc>
          <w:tcPr>
            <w:tcW w:w="1280"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0</w:t>
            </w:r>
          </w:p>
        </w:tc>
        <w:tc>
          <w:tcPr>
            <w:tcW w:w="1574" w:type="dxa"/>
            <w:tcBorders>
              <w:top w:val="nil"/>
              <w:left w:val="nil"/>
              <w:bottom w:val="single" w:sz="4" w:space="0" w:color="auto"/>
              <w:right w:val="single" w:sz="4" w:space="0" w:color="auto"/>
            </w:tcBorders>
            <w:shd w:val="clear" w:color="auto" w:fill="auto"/>
            <w:noWrap/>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w:t>
            </w:r>
          </w:p>
        </w:tc>
      </w:tr>
      <w:tr w:rsidR="00D23F20" w:rsidRPr="00AD4F7A" w:rsidTr="00D23F20">
        <w:trPr>
          <w:trHeight w:val="208"/>
          <w:jc w:val="center"/>
        </w:trPr>
        <w:tc>
          <w:tcPr>
            <w:tcW w:w="2027" w:type="dxa"/>
            <w:tcBorders>
              <w:top w:val="nil"/>
              <w:left w:val="single" w:sz="4" w:space="0" w:color="auto"/>
              <w:bottom w:val="single" w:sz="4" w:space="0" w:color="auto"/>
              <w:right w:val="single" w:sz="4" w:space="0" w:color="auto"/>
            </w:tcBorders>
            <w:shd w:val="clear" w:color="C6D9F0" w:fill="C6D9F0"/>
            <w:noWrap/>
            <w:vAlign w:val="center"/>
            <w:hideMark/>
          </w:tcPr>
          <w:p w:rsidR="00D23F20" w:rsidRPr="00AD4F7A" w:rsidRDefault="00D23F20" w:rsidP="00D23F20">
            <w:pPr>
              <w:rPr>
                <w:rFonts w:ascii="Garamond" w:eastAsia="Times New Roman" w:hAnsi="Garamond"/>
                <w:sz w:val="20"/>
                <w:lang w:eastAsia="en-IN"/>
              </w:rPr>
            </w:pPr>
            <w:r w:rsidRPr="00AD4F7A">
              <w:rPr>
                <w:rFonts w:ascii="Garamond" w:eastAsia="Times New Roman" w:hAnsi="Garamond"/>
                <w:sz w:val="20"/>
                <w:lang w:eastAsia="en-IN"/>
              </w:rPr>
              <w:t>(iv) Options on Stock</w:t>
            </w:r>
          </w:p>
        </w:tc>
        <w:tc>
          <w:tcPr>
            <w:tcW w:w="1417"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 </w:t>
            </w:r>
          </w:p>
        </w:tc>
        <w:tc>
          <w:tcPr>
            <w:tcW w:w="1417"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p>
        </w:tc>
        <w:tc>
          <w:tcPr>
            <w:tcW w:w="1371"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p>
        </w:tc>
        <w:tc>
          <w:tcPr>
            <w:tcW w:w="1305"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 </w:t>
            </w:r>
          </w:p>
        </w:tc>
        <w:tc>
          <w:tcPr>
            <w:tcW w:w="1280"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p>
        </w:tc>
        <w:tc>
          <w:tcPr>
            <w:tcW w:w="1574" w:type="dxa"/>
            <w:tcBorders>
              <w:top w:val="nil"/>
              <w:left w:val="nil"/>
              <w:bottom w:val="single" w:sz="4" w:space="0" w:color="auto"/>
              <w:right w:val="single" w:sz="4" w:space="0" w:color="auto"/>
            </w:tcBorders>
            <w:shd w:val="clear" w:color="auto" w:fill="auto"/>
            <w:noWrap/>
            <w:hideMark/>
          </w:tcPr>
          <w:p w:rsidR="00D23F20" w:rsidRPr="00AD4F7A" w:rsidRDefault="00D23F20" w:rsidP="00D23F20">
            <w:pPr>
              <w:jc w:val="right"/>
              <w:rPr>
                <w:rFonts w:ascii="Garamond" w:eastAsia="Times New Roman" w:hAnsi="Garamond"/>
                <w:color w:val="000000"/>
                <w:sz w:val="20"/>
                <w:lang w:eastAsia="en-IN"/>
              </w:rPr>
            </w:pPr>
          </w:p>
        </w:tc>
      </w:tr>
      <w:tr w:rsidR="00D23F20" w:rsidRPr="00AD4F7A" w:rsidTr="00D23F20">
        <w:trPr>
          <w:trHeight w:val="208"/>
          <w:jc w:val="center"/>
        </w:trPr>
        <w:tc>
          <w:tcPr>
            <w:tcW w:w="2027" w:type="dxa"/>
            <w:tcBorders>
              <w:top w:val="nil"/>
              <w:left w:val="single" w:sz="4" w:space="0" w:color="auto"/>
              <w:bottom w:val="single" w:sz="4" w:space="0" w:color="auto"/>
              <w:right w:val="single" w:sz="4" w:space="0" w:color="auto"/>
            </w:tcBorders>
            <w:shd w:val="clear" w:color="C6D9F0" w:fill="C6D9F0"/>
            <w:noWrap/>
            <w:vAlign w:val="center"/>
            <w:hideMark/>
          </w:tcPr>
          <w:p w:rsidR="00D23F20" w:rsidRPr="00AD4F7A" w:rsidRDefault="00D23F20" w:rsidP="00D23F20">
            <w:pPr>
              <w:rPr>
                <w:rFonts w:ascii="Garamond" w:eastAsia="Times New Roman" w:hAnsi="Garamond"/>
                <w:i/>
                <w:iCs/>
                <w:sz w:val="20"/>
                <w:lang w:eastAsia="en-IN"/>
              </w:rPr>
            </w:pPr>
            <w:r w:rsidRPr="00AD4F7A">
              <w:rPr>
                <w:rFonts w:ascii="Garamond" w:eastAsia="Times New Roman" w:hAnsi="Garamond"/>
                <w:i/>
                <w:iCs/>
                <w:sz w:val="20"/>
                <w:lang w:eastAsia="en-IN"/>
              </w:rPr>
              <w:t xml:space="preserve">            Put</w:t>
            </w:r>
          </w:p>
        </w:tc>
        <w:tc>
          <w:tcPr>
            <w:tcW w:w="1417"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3,38,529</w:t>
            </w:r>
          </w:p>
        </w:tc>
        <w:tc>
          <w:tcPr>
            <w:tcW w:w="1417"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4,55,887</w:t>
            </w:r>
          </w:p>
        </w:tc>
        <w:tc>
          <w:tcPr>
            <w:tcW w:w="1371"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34.7</w:t>
            </w:r>
          </w:p>
        </w:tc>
        <w:tc>
          <w:tcPr>
            <w:tcW w:w="1305"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0</w:t>
            </w:r>
          </w:p>
        </w:tc>
        <w:tc>
          <w:tcPr>
            <w:tcW w:w="1280"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0</w:t>
            </w:r>
          </w:p>
        </w:tc>
        <w:tc>
          <w:tcPr>
            <w:tcW w:w="1574" w:type="dxa"/>
            <w:tcBorders>
              <w:top w:val="nil"/>
              <w:left w:val="nil"/>
              <w:bottom w:val="single" w:sz="4" w:space="0" w:color="auto"/>
              <w:right w:val="single" w:sz="4" w:space="0" w:color="auto"/>
            </w:tcBorders>
            <w:shd w:val="clear" w:color="auto" w:fill="auto"/>
            <w:noWrap/>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w:t>
            </w:r>
          </w:p>
        </w:tc>
      </w:tr>
      <w:tr w:rsidR="00D23F20" w:rsidRPr="00AD4F7A" w:rsidTr="00D23F20">
        <w:trPr>
          <w:trHeight w:val="208"/>
          <w:jc w:val="center"/>
        </w:trPr>
        <w:tc>
          <w:tcPr>
            <w:tcW w:w="2027" w:type="dxa"/>
            <w:tcBorders>
              <w:top w:val="nil"/>
              <w:left w:val="single" w:sz="4" w:space="0" w:color="auto"/>
              <w:bottom w:val="single" w:sz="4" w:space="0" w:color="auto"/>
              <w:right w:val="single" w:sz="4" w:space="0" w:color="auto"/>
            </w:tcBorders>
            <w:shd w:val="clear" w:color="C6D9F0" w:fill="C6D9F0"/>
            <w:noWrap/>
            <w:vAlign w:val="center"/>
            <w:hideMark/>
          </w:tcPr>
          <w:p w:rsidR="00D23F20" w:rsidRPr="00AD4F7A" w:rsidRDefault="00D23F20" w:rsidP="00D23F20">
            <w:pPr>
              <w:rPr>
                <w:rFonts w:ascii="Garamond" w:eastAsia="Times New Roman" w:hAnsi="Garamond"/>
                <w:i/>
                <w:iCs/>
                <w:sz w:val="20"/>
                <w:lang w:eastAsia="en-IN"/>
              </w:rPr>
            </w:pPr>
            <w:r w:rsidRPr="00AD4F7A">
              <w:rPr>
                <w:rFonts w:ascii="Garamond" w:eastAsia="Times New Roman" w:hAnsi="Garamond"/>
                <w:i/>
                <w:iCs/>
                <w:sz w:val="20"/>
                <w:lang w:eastAsia="en-IN"/>
              </w:rPr>
              <w:t xml:space="preserve">          Call</w:t>
            </w:r>
          </w:p>
        </w:tc>
        <w:tc>
          <w:tcPr>
            <w:tcW w:w="1417"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6,42,799</w:t>
            </w:r>
          </w:p>
        </w:tc>
        <w:tc>
          <w:tcPr>
            <w:tcW w:w="1417"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9,14,747</w:t>
            </w:r>
          </w:p>
        </w:tc>
        <w:tc>
          <w:tcPr>
            <w:tcW w:w="1371" w:type="dxa"/>
            <w:tcBorders>
              <w:top w:val="nil"/>
              <w:left w:val="nil"/>
              <w:bottom w:val="single" w:sz="4" w:space="0" w:color="auto"/>
              <w:right w:val="single" w:sz="4" w:space="0" w:color="auto"/>
            </w:tcBorders>
            <w:shd w:val="clear" w:color="auto" w:fill="auto"/>
            <w:noWrap/>
            <w:vAlign w:val="bottom"/>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42.3</w:t>
            </w:r>
          </w:p>
        </w:tc>
        <w:tc>
          <w:tcPr>
            <w:tcW w:w="1305"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0</w:t>
            </w:r>
          </w:p>
        </w:tc>
        <w:tc>
          <w:tcPr>
            <w:tcW w:w="1280" w:type="dxa"/>
            <w:tcBorders>
              <w:top w:val="nil"/>
              <w:left w:val="nil"/>
              <w:bottom w:val="single" w:sz="4" w:space="0" w:color="auto"/>
              <w:right w:val="single" w:sz="4" w:space="0" w:color="auto"/>
            </w:tcBorders>
            <w:shd w:val="clear" w:color="auto" w:fill="auto"/>
            <w:noWrap/>
            <w:vAlign w:val="center"/>
            <w:hideMark/>
          </w:tcPr>
          <w:p w:rsidR="00D23F20" w:rsidRPr="00AD4F7A" w:rsidRDefault="00D23F20" w:rsidP="00D23F20">
            <w:pPr>
              <w:jc w:val="right"/>
              <w:rPr>
                <w:rFonts w:ascii="Garamond" w:eastAsia="Times New Roman" w:hAnsi="Garamond"/>
                <w:sz w:val="20"/>
                <w:lang w:eastAsia="en-IN"/>
              </w:rPr>
            </w:pPr>
            <w:r w:rsidRPr="00AD4F7A">
              <w:rPr>
                <w:rFonts w:ascii="Garamond" w:eastAsia="Times New Roman" w:hAnsi="Garamond"/>
                <w:sz w:val="20"/>
                <w:lang w:eastAsia="en-IN"/>
              </w:rPr>
              <w:t>0</w:t>
            </w:r>
          </w:p>
        </w:tc>
        <w:tc>
          <w:tcPr>
            <w:tcW w:w="1574" w:type="dxa"/>
            <w:tcBorders>
              <w:top w:val="nil"/>
              <w:left w:val="nil"/>
              <w:bottom w:val="single" w:sz="4" w:space="0" w:color="auto"/>
              <w:right w:val="single" w:sz="4" w:space="0" w:color="auto"/>
            </w:tcBorders>
            <w:shd w:val="clear" w:color="auto" w:fill="auto"/>
            <w:noWrap/>
            <w:hideMark/>
          </w:tcPr>
          <w:p w:rsidR="00D23F20" w:rsidRPr="00AD4F7A" w:rsidRDefault="00D23F20" w:rsidP="00D23F20">
            <w:pPr>
              <w:jc w:val="right"/>
              <w:rPr>
                <w:rFonts w:ascii="Garamond" w:eastAsia="Times New Roman" w:hAnsi="Garamond"/>
                <w:color w:val="000000"/>
                <w:sz w:val="20"/>
                <w:lang w:eastAsia="en-IN"/>
              </w:rPr>
            </w:pPr>
            <w:r w:rsidRPr="00AD4F7A">
              <w:rPr>
                <w:rFonts w:ascii="Garamond" w:eastAsia="Times New Roman" w:hAnsi="Garamond"/>
                <w:color w:val="000000"/>
                <w:sz w:val="20"/>
                <w:lang w:eastAsia="en-IN"/>
              </w:rPr>
              <w:t>-</w:t>
            </w:r>
          </w:p>
        </w:tc>
      </w:tr>
      <w:tr w:rsidR="00D23F20" w:rsidRPr="00AD4F7A" w:rsidTr="00D23F20">
        <w:trPr>
          <w:trHeight w:val="208"/>
          <w:jc w:val="center"/>
        </w:trPr>
        <w:tc>
          <w:tcPr>
            <w:tcW w:w="2027" w:type="dxa"/>
            <w:tcBorders>
              <w:top w:val="nil"/>
              <w:left w:val="single" w:sz="4" w:space="0" w:color="auto"/>
              <w:bottom w:val="single" w:sz="4" w:space="0" w:color="auto"/>
              <w:right w:val="single" w:sz="4" w:space="0" w:color="auto"/>
            </w:tcBorders>
            <w:shd w:val="clear" w:color="C6D9F0" w:fill="C6D9F0"/>
            <w:noWrap/>
            <w:vAlign w:val="center"/>
            <w:hideMark/>
          </w:tcPr>
          <w:p w:rsidR="00D23F20" w:rsidRPr="00AD4F7A" w:rsidRDefault="00D23F20" w:rsidP="00D23F20">
            <w:pPr>
              <w:rPr>
                <w:rFonts w:ascii="Garamond" w:eastAsia="Times New Roman" w:hAnsi="Garamond"/>
                <w:b/>
                <w:bCs/>
                <w:sz w:val="20"/>
                <w:lang w:eastAsia="en-IN"/>
              </w:rPr>
            </w:pPr>
            <w:r w:rsidRPr="00AD4F7A">
              <w:rPr>
                <w:rFonts w:ascii="Garamond" w:eastAsia="Times New Roman" w:hAnsi="Garamond"/>
                <w:b/>
                <w:bCs/>
                <w:sz w:val="20"/>
                <w:lang w:eastAsia="en-IN"/>
              </w:rPr>
              <w:t xml:space="preserve">         Total</w:t>
            </w:r>
          </w:p>
        </w:tc>
        <w:tc>
          <w:tcPr>
            <w:tcW w:w="1417" w:type="dxa"/>
            <w:tcBorders>
              <w:top w:val="nil"/>
              <w:left w:val="nil"/>
              <w:bottom w:val="single" w:sz="4" w:space="0" w:color="auto"/>
              <w:right w:val="single" w:sz="4" w:space="0" w:color="auto"/>
            </w:tcBorders>
            <w:shd w:val="clear" w:color="C6D9F0" w:fill="C6D9F0"/>
            <w:noWrap/>
            <w:vAlign w:val="center"/>
            <w:hideMark/>
          </w:tcPr>
          <w:p w:rsidR="00D23F20" w:rsidRPr="00AD4F7A" w:rsidRDefault="00D23F20" w:rsidP="00D23F20">
            <w:pPr>
              <w:jc w:val="right"/>
              <w:rPr>
                <w:rFonts w:ascii="Garamond" w:eastAsia="Times New Roman" w:hAnsi="Garamond"/>
                <w:b/>
                <w:bCs/>
                <w:sz w:val="20"/>
                <w:lang w:eastAsia="en-IN"/>
              </w:rPr>
            </w:pPr>
            <w:r w:rsidRPr="00AD4F7A">
              <w:rPr>
                <w:rFonts w:ascii="Garamond" w:eastAsia="Times New Roman" w:hAnsi="Garamond"/>
                <w:b/>
                <w:bCs/>
                <w:sz w:val="20"/>
                <w:lang w:eastAsia="en-IN"/>
              </w:rPr>
              <w:t>68,47,024</w:t>
            </w:r>
          </w:p>
        </w:tc>
        <w:tc>
          <w:tcPr>
            <w:tcW w:w="1417" w:type="dxa"/>
            <w:tcBorders>
              <w:top w:val="nil"/>
              <w:left w:val="nil"/>
              <w:bottom w:val="single" w:sz="4" w:space="0" w:color="auto"/>
              <w:right w:val="single" w:sz="4" w:space="0" w:color="auto"/>
            </w:tcBorders>
            <w:shd w:val="clear" w:color="C6D9F0" w:fill="C6D9F0"/>
            <w:noWrap/>
            <w:vAlign w:val="center"/>
            <w:hideMark/>
          </w:tcPr>
          <w:p w:rsidR="00D23F20" w:rsidRPr="00AD4F7A" w:rsidRDefault="00D23F20" w:rsidP="00D23F20">
            <w:pPr>
              <w:jc w:val="right"/>
              <w:rPr>
                <w:rFonts w:ascii="Garamond" w:eastAsia="Calibri" w:hAnsi="Garamond" w:cs="Calibri"/>
                <w:b/>
                <w:bCs/>
                <w:color w:val="000000"/>
                <w:sz w:val="20"/>
              </w:rPr>
            </w:pPr>
            <w:r w:rsidRPr="00AD4F7A">
              <w:rPr>
                <w:rFonts w:ascii="Garamond" w:eastAsia="Calibri" w:hAnsi="Garamond" w:cs="Calibri"/>
                <w:b/>
                <w:bCs/>
                <w:color w:val="000000"/>
                <w:sz w:val="20"/>
              </w:rPr>
              <w:t>94,54,795</w:t>
            </w:r>
          </w:p>
        </w:tc>
        <w:tc>
          <w:tcPr>
            <w:tcW w:w="1371" w:type="dxa"/>
            <w:tcBorders>
              <w:top w:val="nil"/>
              <w:left w:val="nil"/>
              <w:bottom w:val="single" w:sz="4" w:space="0" w:color="auto"/>
              <w:right w:val="single" w:sz="4" w:space="0" w:color="auto"/>
            </w:tcBorders>
            <w:shd w:val="clear" w:color="C6D9F0" w:fill="C6D9F0"/>
            <w:noWrap/>
            <w:vAlign w:val="bottom"/>
            <w:hideMark/>
          </w:tcPr>
          <w:p w:rsidR="00D23F20" w:rsidRPr="00AD4F7A" w:rsidRDefault="00D23F20" w:rsidP="00D23F20">
            <w:pPr>
              <w:jc w:val="right"/>
              <w:rPr>
                <w:rFonts w:ascii="Garamond" w:eastAsia="Times New Roman" w:hAnsi="Garamond"/>
                <w:b/>
                <w:bCs/>
                <w:color w:val="000000"/>
                <w:sz w:val="20"/>
                <w:lang w:eastAsia="en-IN"/>
              </w:rPr>
            </w:pPr>
            <w:r w:rsidRPr="00AD4F7A">
              <w:rPr>
                <w:rFonts w:ascii="Garamond" w:eastAsia="Times New Roman" w:hAnsi="Garamond"/>
                <w:b/>
                <w:bCs/>
                <w:color w:val="000000"/>
                <w:sz w:val="20"/>
                <w:lang w:eastAsia="en-IN"/>
              </w:rPr>
              <w:t>38.1</w:t>
            </w:r>
          </w:p>
        </w:tc>
        <w:tc>
          <w:tcPr>
            <w:tcW w:w="1305" w:type="dxa"/>
            <w:tcBorders>
              <w:top w:val="nil"/>
              <w:left w:val="nil"/>
              <w:bottom w:val="single" w:sz="4" w:space="0" w:color="auto"/>
              <w:right w:val="single" w:sz="4" w:space="0" w:color="auto"/>
            </w:tcBorders>
            <w:shd w:val="clear" w:color="C6D9F0" w:fill="C6D9F0"/>
            <w:noWrap/>
            <w:vAlign w:val="center"/>
            <w:hideMark/>
          </w:tcPr>
          <w:p w:rsidR="00D23F20" w:rsidRPr="00AD4F7A" w:rsidRDefault="00D23F20" w:rsidP="00D23F20">
            <w:pPr>
              <w:jc w:val="right"/>
              <w:rPr>
                <w:rFonts w:ascii="Garamond" w:eastAsia="Times New Roman" w:hAnsi="Garamond"/>
                <w:b/>
                <w:bCs/>
                <w:sz w:val="20"/>
                <w:lang w:eastAsia="en-IN"/>
              </w:rPr>
            </w:pPr>
            <w:r w:rsidRPr="00AD4F7A">
              <w:rPr>
                <w:rFonts w:ascii="Garamond" w:eastAsia="Times New Roman" w:hAnsi="Garamond"/>
                <w:b/>
                <w:bCs/>
                <w:sz w:val="20"/>
                <w:lang w:eastAsia="en-IN"/>
              </w:rPr>
              <w:t>709</w:t>
            </w:r>
          </w:p>
        </w:tc>
        <w:tc>
          <w:tcPr>
            <w:tcW w:w="1280" w:type="dxa"/>
            <w:tcBorders>
              <w:top w:val="nil"/>
              <w:left w:val="nil"/>
              <w:bottom w:val="single" w:sz="4" w:space="0" w:color="auto"/>
              <w:right w:val="single" w:sz="4" w:space="0" w:color="auto"/>
            </w:tcBorders>
            <w:shd w:val="clear" w:color="C6D9F0" w:fill="C6D9F0"/>
            <w:noWrap/>
            <w:vAlign w:val="center"/>
            <w:hideMark/>
          </w:tcPr>
          <w:p w:rsidR="00D23F20" w:rsidRPr="00AD4F7A" w:rsidRDefault="00D23F20" w:rsidP="00D23F20">
            <w:pPr>
              <w:jc w:val="right"/>
              <w:rPr>
                <w:rFonts w:ascii="Garamond" w:eastAsia="Times New Roman" w:hAnsi="Garamond"/>
                <w:b/>
                <w:bCs/>
                <w:sz w:val="20"/>
                <w:lang w:eastAsia="en-IN"/>
              </w:rPr>
            </w:pPr>
            <w:r w:rsidRPr="00AD4F7A">
              <w:rPr>
                <w:rFonts w:ascii="Garamond" w:eastAsia="Times New Roman" w:hAnsi="Garamond"/>
                <w:b/>
                <w:bCs/>
                <w:sz w:val="20"/>
                <w:lang w:eastAsia="en-IN"/>
              </w:rPr>
              <w:t>851</w:t>
            </w:r>
          </w:p>
        </w:tc>
        <w:tc>
          <w:tcPr>
            <w:tcW w:w="1574" w:type="dxa"/>
            <w:tcBorders>
              <w:top w:val="nil"/>
              <w:left w:val="nil"/>
              <w:bottom w:val="single" w:sz="4" w:space="0" w:color="auto"/>
              <w:right w:val="single" w:sz="4" w:space="0" w:color="auto"/>
            </w:tcBorders>
            <w:shd w:val="clear" w:color="C6D9F0" w:fill="C6D9F0"/>
            <w:noWrap/>
            <w:hideMark/>
          </w:tcPr>
          <w:p w:rsidR="00D23F20" w:rsidRPr="00AD4F7A" w:rsidRDefault="00D23F20" w:rsidP="00D23F20">
            <w:pPr>
              <w:jc w:val="right"/>
              <w:rPr>
                <w:rFonts w:ascii="Garamond" w:eastAsia="Times New Roman" w:hAnsi="Garamond"/>
                <w:b/>
                <w:bCs/>
                <w:color w:val="000000"/>
                <w:sz w:val="20"/>
                <w:lang w:eastAsia="en-IN"/>
              </w:rPr>
            </w:pPr>
            <w:r w:rsidRPr="00AD4F7A">
              <w:rPr>
                <w:rFonts w:ascii="Garamond" w:eastAsia="Times New Roman" w:hAnsi="Garamond"/>
                <w:b/>
                <w:bCs/>
                <w:color w:val="000000"/>
                <w:sz w:val="20"/>
                <w:lang w:eastAsia="en-IN"/>
              </w:rPr>
              <w:t>20.0</w:t>
            </w:r>
          </w:p>
        </w:tc>
      </w:tr>
    </w:tbl>
    <w:p w:rsidR="006A6CB3" w:rsidRPr="00D87E25" w:rsidRDefault="006A6CB3" w:rsidP="006A6CB3">
      <w:pPr>
        <w:tabs>
          <w:tab w:val="left" w:pos="3135"/>
        </w:tabs>
        <w:spacing w:line="276" w:lineRule="auto"/>
        <w:rPr>
          <w:rFonts w:ascii="Garamond" w:eastAsia="Palatino Linotype" w:hAnsi="Garamond" w:cs="Palatino Linotype"/>
          <w:b/>
          <w:sz w:val="22"/>
          <w:szCs w:val="22"/>
        </w:rPr>
      </w:pPr>
      <w:r w:rsidRPr="00D87E25">
        <w:rPr>
          <w:rFonts w:ascii="Garamond" w:hAnsi="Garamond"/>
          <w:sz w:val="22"/>
          <w:szCs w:val="22"/>
        </w:rPr>
        <w:fldChar w:fldCharType="begin"/>
      </w:r>
      <w:r w:rsidRPr="00D87E25">
        <w:rPr>
          <w:rFonts w:ascii="Garamond" w:hAnsi="Garamond"/>
          <w:sz w:val="22"/>
          <w:szCs w:val="22"/>
        </w:rPr>
        <w:instrText xml:space="preserve"> LINK Excel.Sheet.12 "E:\\C DRIVE DATA BACKUP 19-12-2019\\Desktop\\Bulletin\\CMR Aug 2021.xlsx" E2!R2C15:R43C21 \a \f 4 \h  \* MERGEFORMAT </w:instrText>
      </w:r>
      <w:r w:rsidRPr="00D87E25">
        <w:rPr>
          <w:rFonts w:ascii="Garamond" w:hAnsi="Garamond"/>
          <w:sz w:val="22"/>
          <w:szCs w:val="22"/>
        </w:rPr>
        <w:fldChar w:fldCharType="separate"/>
      </w:r>
    </w:p>
    <w:p w:rsidR="006A6CB3" w:rsidRPr="004A1B8E" w:rsidRDefault="006A6CB3" w:rsidP="00D23F20">
      <w:pPr>
        <w:tabs>
          <w:tab w:val="left" w:pos="3135"/>
        </w:tabs>
        <w:spacing w:line="276" w:lineRule="auto"/>
        <w:rPr>
          <w:rFonts w:ascii="Garamond" w:eastAsia="Palatino Linotype" w:hAnsi="Garamond" w:cs="Palatino Linotype"/>
          <w:b/>
          <w:sz w:val="20"/>
          <w:szCs w:val="20"/>
        </w:rPr>
      </w:pPr>
      <w:r w:rsidRPr="00D87E25">
        <w:rPr>
          <w:rFonts w:ascii="Garamond" w:hAnsi="Garamond"/>
          <w:sz w:val="22"/>
          <w:szCs w:val="22"/>
        </w:rPr>
        <w:fldChar w:fldCharType="end"/>
      </w:r>
      <w:r w:rsidRPr="004A1B8E">
        <w:rPr>
          <w:rFonts w:ascii="Garamond" w:eastAsia="Palatino Linotype" w:hAnsi="Garamond" w:cs="Palatino Linotype"/>
          <w:b/>
          <w:sz w:val="20"/>
          <w:szCs w:val="20"/>
        </w:rPr>
        <w:t xml:space="preserve">Source: </w:t>
      </w:r>
      <w:r w:rsidR="00087232" w:rsidRPr="004A1B8E">
        <w:rPr>
          <w:rFonts w:ascii="Garamond" w:eastAsia="Palatino Linotype" w:hAnsi="Garamond" w:cs="Palatino Linotype"/>
          <w:bCs/>
          <w:sz w:val="20"/>
          <w:szCs w:val="20"/>
        </w:rPr>
        <w:t>B</w:t>
      </w:r>
      <w:r w:rsidRPr="004A1B8E">
        <w:rPr>
          <w:rFonts w:ascii="Garamond" w:eastAsia="Palatino Linotype" w:hAnsi="Garamond" w:cs="Palatino Linotype"/>
          <w:bCs/>
          <w:sz w:val="20"/>
          <w:szCs w:val="20"/>
        </w:rPr>
        <w:t xml:space="preserve">SE and </w:t>
      </w:r>
      <w:r w:rsidR="00087232" w:rsidRPr="004A1B8E">
        <w:rPr>
          <w:rFonts w:ascii="Garamond" w:eastAsia="Palatino Linotype" w:hAnsi="Garamond" w:cs="Palatino Linotype"/>
          <w:bCs/>
          <w:sz w:val="20"/>
          <w:szCs w:val="20"/>
        </w:rPr>
        <w:t>N</w:t>
      </w:r>
      <w:r w:rsidRPr="004A1B8E">
        <w:rPr>
          <w:rFonts w:ascii="Garamond" w:eastAsia="Palatino Linotype" w:hAnsi="Garamond" w:cs="Palatino Linotype"/>
          <w:bCs/>
          <w:sz w:val="20"/>
          <w:szCs w:val="20"/>
        </w:rPr>
        <w:t>SE</w:t>
      </w:r>
    </w:p>
    <w:p w:rsidR="006A6CB3" w:rsidRPr="006A6CB3" w:rsidRDefault="006A6CB3" w:rsidP="006A6CB3">
      <w:pPr>
        <w:pBdr>
          <w:top w:val="nil"/>
          <w:left w:val="nil"/>
          <w:bottom w:val="nil"/>
          <w:right w:val="nil"/>
          <w:between w:val="nil"/>
        </w:pBdr>
        <w:jc w:val="center"/>
        <w:rPr>
          <w:rFonts w:ascii="Garamond" w:eastAsia="Palatino Linotype" w:hAnsi="Garamond" w:cs="Palatino Linotype"/>
          <w:b/>
          <w:color w:val="000000" w:themeColor="text1"/>
        </w:rPr>
      </w:pPr>
    </w:p>
    <w:p w:rsidR="006A6CB3" w:rsidRPr="006A6CB3" w:rsidRDefault="006A6CB3" w:rsidP="006A6CB3">
      <w:pPr>
        <w:widowControl w:val="0"/>
        <w:numPr>
          <w:ilvl w:val="0"/>
          <w:numId w:val="3"/>
        </w:numPr>
        <w:spacing w:line="276" w:lineRule="auto"/>
        <w:ind w:left="567" w:hanging="567"/>
        <w:jc w:val="both"/>
        <w:rPr>
          <w:rFonts w:ascii="Garamond" w:eastAsia="Palatino Linotype" w:hAnsi="Garamond" w:cs="Palatino Linotype"/>
          <w:b/>
        </w:rPr>
      </w:pPr>
      <w:r w:rsidRPr="006A6CB3">
        <w:rPr>
          <w:rFonts w:ascii="Garamond" w:eastAsia="Palatino Linotype" w:hAnsi="Garamond" w:cs="Palatino Linotype"/>
          <w:b/>
        </w:rPr>
        <w:t xml:space="preserve">Currency Derivatives </w:t>
      </w:r>
    </w:p>
    <w:p w:rsidR="006A6CB3" w:rsidRPr="006A6CB3" w:rsidRDefault="00D23F20" w:rsidP="006A6CB3">
      <w:pPr>
        <w:pBdr>
          <w:top w:val="nil"/>
          <w:left w:val="nil"/>
          <w:bottom w:val="nil"/>
          <w:right w:val="nil"/>
          <w:between w:val="nil"/>
        </w:pBdr>
        <w:ind w:left="714"/>
        <w:jc w:val="both"/>
        <w:rPr>
          <w:rFonts w:ascii="Garamond" w:eastAsia="Palatino Linotype" w:hAnsi="Garamond" w:cs="Palatino Linotype"/>
        </w:rPr>
      </w:pPr>
      <w:r w:rsidRPr="00030DBC">
        <w:rPr>
          <w:rFonts w:ascii="Garamond" w:eastAsia="Palatino Linotype" w:hAnsi="Garamond" w:cs="Palatino Linotype"/>
          <w:szCs w:val="22"/>
        </w:rPr>
        <w:t xml:space="preserve">During October 2021, the monthly notional turnover of currency derivatives in India (NSE, BSE and MSEI together) stood at </w:t>
      </w:r>
      <w:r w:rsidRPr="00030DBC">
        <w:rPr>
          <w:rFonts w:ascii="Times New Roman" w:eastAsia="Palatino Linotype" w:hAnsi="Times New Roman"/>
          <w:szCs w:val="22"/>
        </w:rPr>
        <w:t>₹</w:t>
      </w:r>
      <w:r w:rsidRPr="00030DBC">
        <w:rPr>
          <w:rFonts w:ascii="Garamond" w:eastAsia="Palatino Linotype" w:hAnsi="Garamond"/>
          <w:szCs w:val="22"/>
        </w:rPr>
        <w:t xml:space="preserve"> </w:t>
      </w:r>
      <w:r w:rsidRPr="00030DBC">
        <w:rPr>
          <w:rFonts w:ascii="Garamond" w:eastAsia="Palatino Linotype" w:hAnsi="Garamond" w:cs="Palatino Linotype"/>
          <w:szCs w:val="22"/>
        </w:rPr>
        <w:t xml:space="preserve">22,57,444 crore as compared to </w:t>
      </w:r>
      <w:r w:rsidRPr="00030DBC">
        <w:rPr>
          <w:rFonts w:ascii="Times New Roman" w:eastAsia="Palatino Linotype" w:hAnsi="Times New Roman"/>
          <w:szCs w:val="22"/>
        </w:rPr>
        <w:t>₹</w:t>
      </w:r>
      <w:r w:rsidRPr="00030DBC">
        <w:rPr>
          <w:rFonts w:ascii="Garamond" w:eastAsia="Palatino Linotype" w:hAnsi="Garamond"/>
          <w:szCs w:val="22"/>
        </w:rPr>
        <w:t xml:space="preserve"> </w:t>
      </w:r>
      <w:r w:rsidRPr="00030DBC">
        <w:rPr>
          <w:rFonts w:ascii="Garamond" w:eastAsia="Palatino Linotype" w:hAnsi="Garamond" w:cs="Palatino Linotype"/>
          <w:szCs w:val="22"/>
        </w:rPr>
        <w:t xml:space="preserve">20,25,490 crore in </w:t>
      </w:r>
      <w:r w:rsidR="0078373D">
        <w:rPr>
          <w:rFonts w:ascii="Garamond" w:eastAsia="Palatino Linotype" w:hAnsi="Garamond" w:cs="Palatino Linotype"/>
          <w:szCs w:val="22"/>
        </w:rPr>
        <w:t>September</w:t>
      </w:r>
      <w:r w:rsidR="0078373D" w:rsidRPr="00030DBC">
        <w:rPr>
          <w:rFonts w:ascii="Garamond" w:eastAsia="Palatino Linotype" w:hAnsi="Garamond" w:cs="Palatino Linotype"/>
          <w:szCs w:val="22"/>
        </w:rPr>
        <w:t xml:space="preserve"> </w:t>
      </w:r>
      <w:r w:rsidRPr="00030DBC">
        <w:rPr>
          <w:rFonts w:ascii="Garamond" w:eastAsia="Palatino Linotype" w:hAnsi="Garamond" w:cs="Palatino Linotype"/>
          <w:szCs w:val="22"/>
        </w:rPr>
        <w:t>2021, registering an increase of 11.4 per cent.</w:t>
      </w:r>
    </w:p>
    <w:p w:rsidR="006A6CB3" w:rsidRPr="006A6CB3" w:rsidRDefault="006A6CB3" w:rsidP="006A6CB3">
      <w:pPr>
        <w:keepNext/>
        <w:pBdr>
          <w:top w:val="nil"/>
          <w:left w:val="nil"/>
          <w:bottom w:val="nil"/>
          <w:right w:val="nil"/>
          <w:between w:val="nil"/>
        </w:pBdr>
        <w:spacing w:line="276" w:lineRule="auto"/>
        <w:ind w:left="720" w:hanging="720"/>
        <w:jc w:val="center"/>
        <w:rPr>
          <w:rFonts w:ascii="Garamond" w:eastAsia="Palatino Linotype" w:hAnsi="Garamond" w:cs="Palatino Linotype"/>
          <w:b/>
        </w:rPr>
      </w:pPr>
      <w:r w:rsidRPr="006A6CB3">
        <w:rPr>
          <w:rFonts w:ascii="Garamond" w:eastAsia="Palatino Linotype" w:hAnsi="Garamond" w:cs="Palatino Linotype"/>
          <w:b/>
        </w:rPr>
        <w:lastRenderedPageBreak/>
        <w:t xml:space="preserve">Figure </w:t>
      </w:r>
      <w:r w:rsidR="003A028D">
        <w:rPr>
          <w:rFonts w:ascii="Garamond" w:eastAsia="Palatino Linotype" w:hAnsi="Garamond" w:cs="Palatino Linotype"/>
          <w:b/>
        </w:rPr>
        <w:t>7</w:t>
      </w:r>
      <w:r w:rsidRPr="006A6CB3">
        <w:rPr>
          <w:rFonts w:ascii="Garamond" w:eastAsia="Palatino Linotype" w:hAnsi="Garamond" w:cs="Palatino Linotype"/>
          <w:b/>
        </w:rPr>
        <w:t>: Trends of Currency Derivatives at NSE, MSEI and BSE (</w:t>
      </w:r>
      <w:r w:rsidRPr="006A6CB3">
        <w:rPr>
          <w:rFonts w:ascii="Times New Roman" w:eastAsia="Palatino Linotype" w:hAnsi="Times New Roman"/>
          <w:b/>
        </w:rPr>
        <w:t>₹</w:t>
      </w:r>
      <w:r w:rsidRPr="006A6CB3">
        <w:rPr>
          <w:rFonts w:ascii="Garamond" w:eastAsia="Palatino Linotype" w:hAnsi="Garamond" w:cs="Palatino Linotype"/>
          <w:b/>
        </w:rPr>
        <w:t xml:space="preserve"> crore)</w:t>
      </w:r>
    </w:p>
    <w:p w:rsidR="006A6CB3" w:rsidRPr="006A6CB3" w:rsidRDefault="00D23F20" w:rsidP="006A6CB3">
      <w:pPr>
        <w:keepNext/>
        <w:pBdr>
          <w:top w:val="nil"/>
          <w:left w:val="nil"/>
          <w:bottom w:val="nil"/>
          <w:right w:val="nil"/>
          <w:between w:val="nil"/>
        </w:pBdr>
        <w:spacing w:line="276" w:lineRule="auto"/>
        <w:ind w:left="720" w:hanging="720"/>
        <w:jc w:val="center"/>
        <w:rPr>
          <w:rFonts w:ascii="Garamond" w:eastAsia="Palatino Linotype" w:hAnsi="Garamond" w:cs="Palatino Linotype"/>
          <w:b/>
        </w:rPr>
      </w:pPr>
      <w:r w:rsidRPr="0075677A">
        <w:rPr>
          <w:noProof/>
          <w:lang w:val="en-IN" w:eastAsia="en-IN" w:bidi="hi-IN"/>
        </w:rPr>
        <w:drawing>
          <wp:inline distT="0" distB="0" distL="0" distR="0" wp14:anchorId="51F9083B" wp14:editId="59BDAD81">
            <wp:extent cx="5286375" cy="2352675"/>
            <wp:effectExtent l="0" t="0" r="9525" b="9525"/>
            <wp:docPr id="25" name="Chart 25">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A6CB3" w:rsidRPr="004A1B8E" w:rsidRDefault="006A6CB3" w:rsidP="00D23F20">
      <w:pPr>
        <w:spacing w:line="276" w:lineRule="auto"/>
        <w:ind w:left="720"/>
        <w:rPr>
          <w:rFonts w:ascii="Garamond" w:eastAsia="Palatino Linotype" w:hAnsi="Garamond" w:cs="Palatino Linotype"/>
          <w:bCs/>
          <w:sz w:val="20"/>
          <w:szCs w:val="20"/>
        </w:rPr>
      </w:pPr>
      <w:r w:rsidRPr="00D87E25">
        <w:rPr>
          <w:rFonts w:ascii="Garamond" w:eastAsia="Palatino Linotype" w:hAnsi="Garamond" w:cs="Palatino Linotype"/>
          <w:b/>
          <w:sz w:val="22"/>
          <w:szCs w:val="22"/>
        </w:rPr>
        <w:t xml:space="preserve">           </w:t>
      </w:r>
      <w:r w:rsidRPr="004A1B8E">
        <w:rPr>
          <w:rFonts w:ascii="Garamond" w:eastAsia="Palatino Linotype" w:hAnsi="Garamond" w:cs="Palatino Linotype"/>
          <w:b/>
          <w:sz w:val="20"/>
          <w:szCs w:val="20"/>
        </w:rPr>
        <w:t xml:space="preserve">Source: </w:t>
      </w:r>
      <w:r w:rsidR="00D23F20" w:rsidRPr="004A1B8E">
        <w:rPr>
          <w:rFonts w:ascii="Garamond" w:eastAsia="Palatino Linotype" w:hAnsi="Garamond" w:cs="Palatino Linotype"/>
          <w:bCs/>
          <w:sz w:val="20"/>
          <w:szCs w:val="20"/>
        </w:rPr>
        <w:t>BSE, NSE and MSEI</w:t>
      </w:r>
    </w:p>
    <w:p w:rsidR="006A6CB3" w:rsidRDefault="006A6CB3" w:rsidP="006A6CB3">
      <w:pPr>
        <w:spacing w:line="276" w:lineRule="auto"/>
        <w:rPr>
          <w:rFonts w:ascii="Garamond" w:eastAsia="Palatino Linotype" w:hAnsi="Garamond" w:cs="Palatino Linotype"/>
          <w:b/>
        </w:rPr>
      </w:pPr>
    </w:p>
    <w:p w:rsidR="00D87E25" w:rsidRPr="006A6CB3" w:rsidRDefault="00D87E25" w:rsidP="006A6CB3">
      <w:pPr>
        <w:spacing w:line="276" w:lineRule="auto"/>
        <w:rPr>
          <w:rFonts w:ascii="Garamond" w:eastAsia="Palatino Linotype" w:hAnsi="Garamond" w:cs="Palatino Linotype"/>
          <w:b/>
        </w:rPr>
      </w:pPr>
    </w:p>
    <w:p w:rsidR="006A6CB3" w:rsidRPr="006A6CB3" w:rsidRDefault="006A6CB3" w:rsidP="006A6CB3">
      <w:pPr>
        <w:widowControl w:val="0"/>
        <w:numPr>
          <w:ilvl w:val="0"/>
          <w:numId w:val="3"/>
        </w:numPr>
        <w:spacing w:line="276" w:lineRule="auto"/>
        <w:ind w:left="567" w:hanging="567"/>
        <w:jc w:val="both"/>
        <w:rPr>
          <w:rFonts w:ascii="Garamond" w:eastAsia="Palatino Linotype" w:hAnsi="Garamond" w:cs="Palatino Linotype"/>
          <w:b/>
        </w:rPr>
      </w:pPr>
      <w:r w:rsidRPr="006A6CB3">
        <w:rPr>
          <w:rFonts w:ascii="Garamond" w:eastAsia="Palatino Linotype" w:hAnsi="Garamond" w:cs="Palatino Linotype"/>
          <w:b/>
        </w:rPr>
        <w:t xml:space="preserve">Interest Rate Derivatives </w:t>
      </w:r>
    </w:p>
    <w:p w:rsidR="00D23F20" w:rsidRPr="00030DBC" w:rsidRDefault="00D23F20" w:rsidP="004A1B8E">
      <w:pPr>
        <w:pStyle w:val="ListParagraph"/>
        <w:spacing w:after="160" w:line="259" w:lineRule="auto"/>
        <w:rPr>
          <w:rFonts w:ascii="Garamond" w:eastAsia="Palatino Linotype" w:hAnsi="Garamond" w:cs="Palatino Linotype"/>
          <w:sz w:val="24"/>
          <w:szCs w:val="24"/>
          <w:lang w:val="en-GB"/>
        </w:rPr>
      </w:pPr>
      <w:r w:rsidRPr="00030DBC">
        <w:rPr>
          <w:rFonts w:ascii="Garamond" w:eastAsia="Palatino Linotype" w:hAnsi="Garamond" w:cs="Palatino Linotype"/>
          <w:sz w:val="24"/>
          <w:szCs w:val="24"/>
          <w:lang w:val="en-GB"/>
        </w:rPr>
        <w:t xml:space="preserve">During October 2021, the monthly notional turnover of interest rate derivatives at NSE increased by 15.7 per cent to </w:t>
      </w:r>
      <w:r w:rsidRPr="00030DBC">
        <w:rPr>
          <w:rFonts w:ascii="Times New Roman" w:eastAsia="Palatino Linotype" w:hAnsi="Times New Roman"/>
          <w:sz w:val="24"/>
          <w:szCs w:val="24"/>
          <w:lang w:val="en-GB"/>
        </w:rPr>
        <w:t>₹</w:t>
      </w:r>
      <w:r w:rsidRPr="00030DBC">
        <w:rPr>
          <w:rFonts w:ascii="Garamond" w:eastAsia="Palatino Linotype" w:hAnsi="Garamond" w:cs="Palatino Linotype"/>
          <w:sz w:val="24"/>
          <w:szCs w:val="24"/>
          <w:lang w:val="en-GB"/>
        </w:rPr>
        <w:t xml:space="preserve"> 2,280 crore, while that at BSE decreased by 22.</w:t>
      </w:r>
      <w:r w:rsidR="00E70588">
        <w:rPr>
          <w:rFonts w:ascii="Garamond" w:eastAsia="Palatino Linotype" w:hAnsi="Garamond" w:cs="Palatino Linotype"/>
          <w:sz w:val="24"/>
          <w:szCs w:val="24"/>
          <w:lang w:val="en-GB"/>
        </w:rPr>
        <w:t>5</w:t>
      </w:r>
      <w:r w:rsidR="00E70588" w:rsidRPr="00030DBC">
        <w:rPr>
          <w:rFonts w:ascii="Garamond" w:eastAsia="Palatino Linotype" w:hAnsi="Garamond" w:cs="Palatino Linotype"/>
          <w:sz w:val="24"/>
          <w:szCs w:val="24"/>
          <w:lang w:val="en-GB"/>
        </w:rPr>
        <w:t xml:space="preserve"> </w:t>
      </w:r>
      <w:r w:rsidRPr="00030DBC">
        <w:rPr>
          <w:rFonts w:ascii="Garamond" w:eastAsia="Palatino Linotype" w:hAnsi="Garamond" w:cs="Palatino Linotype"/>
          <w:sz w:val="24"/>
          <w:szCs w:val="24"/>
          <w:lang w:val="en-GB"/>
        </w:rPr>
        <w:t xml:space="preserve">per cent to </w:t>
      </w:r>
      <w:r w:rsidRPr="00030DBC">
        <w:rPr>
          <w:rFonts w:ascii="Times New Roman" w:eastAsia="Palatino Linotype" w:hAnsi="Times New Roman"/>
          <w:sz w:val="24"/>
          <w:szCs w:val="24"/>
          <w:lang w:val="en-GB"/>
        </w:rPr>
        <w:t>₹</w:t>
      </w:r>
      <w:r w:rsidRPr="00030DBC">
        <w:rPr>
          <w:rFonts w:ascii="Garamond" w:eastAsia="Palatino Linotype" w:hAnsi="Garamond" w:cs="Palatino Linotype"/>
          <w:sz w:val="24"/>
          <w:szCs w:val="24"/>
          <w:lang w:val="en-GB"/>
        </w:rPr>
        <w:t xml:space="preserve"> 3,297 crore.</w:t>
      </w:r>
    </w:p>
    <w:p w:rsidR="00087232" w:rsidRPr="006A6CB3" w:rsidRDefault="00087232" w:rsidP="00087232">
      <w:pPr>
        <w:pBdr>
          <w:top w:val="nil"/>
          <w:left w:val="nil"/>
          <w:bottom w:val="nil"/>
          <w:right w:val="nil"/>
          <w:between w:val="nil"/>
        </w:pBdr>
        <w:spacing w:line="276" w:lineRule="auto"/>
        <w:ind w:left="720"/>
        <w:jc w:val="both"/>
        <w:rPr>
          <w:rFonts w:ascii="Garamond" w:eastAsia="Palatino Linotype" w:hAnsi="Garamond" w:cs="Palatino Linotype"/>
        </w:rPr>
      </w:pPr>
    </w:p>
    <w:p w:rsidR="006A6CB3" w:rsidRPr="006A6CB3" w:rsidRDefault="006A6CB3" w:rsidP="00D87E25">
      <w:pPr>
        <w:pBdr>
          <w:top w:val="nil"/>
          <w:left w:val="nil"/>
          <w:bottom w:val="nil"/>
          <w:right w:val="nil"/>
          <w:between w:val="nil"/>
        </w:pBdr>
        <w:spacing w:line="276" w:lineRule="auto"/>
        <w:ind w:left="720" w:hanging="720"/>
        <w:jc w:val="center"/>
        <w:rPr>
          <w:rFonts w:ascii="Garamond" w:eastAsia="Palatino Linotype" w:hAnsi="Garamond" w:cs="Palatino Linotype"/>
          <w:b/>
        </w:rPr>
      </w:pPr>
      <w:r w:rsidRPr="006A6CB3">
        <w:rPr>
          <w:rFonts w:ascii="Garamond" w:eastAsia="Palatino Linotype" w:hAnsi="Garamond" w:cs="Palatino Linotype"/>
          <w:b/>
        </w:rPr>
        <w:t xml:space="preserve">Figure </w:t>
      </w:r>
      <w:r w:rsidR="003A028D">
        <w:rPr>
          <w:rFonts w:ascii="Garamond" w:eastAsia="Palatino Linotype" w:hAnsi="Garamond" w:cs="Palatino Linotype"/>
          <w:b/>
        </w:rPr>
        <w:t>8</w:t>
      </w:r>
      <w:r w:rsidRPr="006A6CB3">
        <w:rPr>
          <w:rFonts w:ascii="Garamond" w:eastAsia="Palatino Linotype" w:hAnsi="Garamond" w:cs="Palatino Linotype"/>
          <w:b/>
        </w:rPr>
        <w:t>: Trends of Interest Rate Derivatives at NSE and BSE</w:t>
      </w:r>
      <w:r w:rsidR="00D87E25">
        <w:rPr>
          <w:rFonts w:ascii="Garamond" w:eastAsia="Palatino Linotype" w:hAnsi="Garamond" w:cs="Palatino Linotype"/>
          <w:b/>
        </w:rPr>
        <w:t xml:space="preserve"> </w:t>
      </w:r>
      <w:r w:rsidR="00D87E25" w:rsidRPr="006A6CB3">
        <w:rPr>
          <w:rFonts w:ascii="Garamond" w:eastAsia="Palatino Linotype" w:hAnsi="Garamond" w:cs="Palatino Linotype"/>
          <w:b/>
        </w:rPr>
        <w:t>(</w:t>
      </w:r>
      <w:r w:rsidR="00D87E25" w:rsidRPr="006A6CB3">
        <w:rPr>
          <w:rFonts w:ascii="Times New Roman" w:eastAsia="Palatino Linotype" w:hAnsi="Times New Roman"/>
          <w:b/>
        </w:rPr>
        <w:t>₹</w:t>
      </w:r>
      <w:r w:rsidR="00D87E25">
        <w:rPr>
          <w:rFonts w:ascii="Garamond" w:eastAsia="Palatino Linotype" w:hAnsi="Garamond" w:cs="Palatino Linotype"/>
          <w:b/>
        </w:rPr>
        <w:t xml:space="preserve"> crore)</w:t>
      </w:r>
    </w:p>
    <w:p w:rsidR="006A6CB3" w:rsidRPr="006A6CB3" w:rsidRDefault="00D23F20" w:rsidP="006A6CB3">
      <w:pPr>
        <w:pBdr>
          <w:top w:val="nil"/>
          <w:left w:val="nil"/>
          <w:bottom w:val="nil"/>
          <w:right w:val="nil"/>
          <w:between w:val="nil"/>
        </w:pBdr>
        <w:spacing w:line="276" w:lineRule="auto"/>
        <w:jc w:val="center"/>
        <w:rPr>
          <w:rFonts w:ascii="Garamond" w:eastAsia="Palatino Linotype" w:hAnsi="Garamond" w:cs="Palatino Linotype"/>
          <w:b/>
        </w:rPr>
      </w:pPr>
      <w:r w:rsidRPr="005A7D54">
        <w:rPr>
          <w:noProof/>
          <w:lang w:val="en-IN" w:eastAsia="en-IN" w:bidi="hi-IN"/>
        </w:rPr>
        <w:drawing>
          <wp:inline distT="0" distB="0" distL="0" distR="0" wp14:anchorId="4CEE76BB" wp14:editId="734DCE1B">
            <wp:extent cx="5200650" cy="1943100"/>
            <wp:effectExtent l="0" t="0" r="0" b="0"/>
            <wp:docPr id="23" name="Chart 23">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6A6CB3" w:rsidRPr="006A6CB3">
        <w:rPr>
          <w:rFonts w:ascii="Garamond" w:eastAsia="Palatino Linotype" w:hAnsi="Garamond" w:cs="Palatino Linotype"/>
          <w:b/>
        </w:rPr>
        <w:t xml:space="preserve">   </w:t>
      </w:r>
    </w:p>
    <w:p w:rsidR="006A6CB3" w:rsidRPr="004A1B8E" w:rsidRDefault="006A6CB3" w:rsidP="006A6CB3">
      <w:pPr>
        <w:ind w:left="720"/>
        <w:rPr>
          <w:rFonts w:ascii="Garamond" w:eastAsia="Palatino Linotype" w:hAnsi="Garamond" w:cs="Palatino Linotype"/>
          <w:b/>
          <w:sz w:val="20"/>
          <w:szCs w:val="20"/>
        </w:rPr>
      </w:pPr>
      <w:r w:rsidRPr="006A6CB3">
        <w:rPr>
          <w:rFonts w:ascii="Garamond" w:eastAsia="Palatino Linotype" w:hAnsi="Garamond" w:cs="Palatino Linotype"/>
          <w:b/>
        </w:rPr>
        <w:t xml:space="preserve">     </w:t>
      </w:r>
      <w:r w:rsidRPr="004A1B8E">
        <w:rPr>
          <w:rFonts w:ascii="Garamond" w:eastAsia="Palatino Linotype" w:hAnsi="Garamond" w:cs="Palatino Linotype"/>
          <w:b/>
          <w:sz w:val="20"/>
          <w:szCs w:val="20"/>
        </w:rPr>
        <w:t xml:space="preserve">Source: </w:t>
      </w:r>
      <w:r w:rsidRPr="004A1B8E">
        <w:rPr>
          <w:rFonts w:ascii="Garamond" w:eastAsia="Palatino Linotype" w:hAnsi="Garamond" w:cs="Palatino Linotype"/>
          <w:bCs/>
          <w:sz w:val="20"/>
          <w:szCs w:val="20"/>
        </w:rPr>
        <w:t>BSE and NSE</w:t>
      </w:r>
      <w:r w:rsidRPr="004A1B8E">
        <w:rPr>
          <w:rFonts w:ascii="Garamond" w:eastAsia="Palatino Linotype" w:hAnsi="Garamond" w:cs="Palatino Linotype"/>
          <w:b/>
          <w:sz w:val="20"/>
          <w:szCs w:val="20"/>
        </w:rPr>
        <w:t xml:space="preserve"> </w:t>
      </w:r>
    </w:p>
    <w:p w:rsidR="006A6CB3" w:rsidRPr="006A6CB3" w:rsidRDefault="006A6CB3" w:rsidP="006A6CB3">
      <w:pPr>
        <w:rPr>
          <w:rFonts w:ascii="Garamond" w:eastAsia="Palatino Linotype" w:hAnsi="Garamond" w:cs="Palatino Linotype"/>
          <w:b/>
        </w:rPr>
      </w:pPr>
    </w:p>
    <w:p w:rsidR="006A6CB3" w:rsidRPr="006A6CB3" w:rsidRDefault="006A6CB3" w:rsidP="006A6CB3">
      <w:pPr>
        <w:widowControl w:val="0"/>
        <w:numPr>
          <w:ilvl w:val="0"/>
          <w:numId w:val="2"/>
        </w:numPr>
        <w:spacing w:line="276" w:lineRule="auto"/>
        <w:ind w:left="454" w:hanging="454"/>
        <w:rPr>
          <w:rFonts w:ascii="Garamond" w:eastAsia="Palatino Linotype" w:hAnsi="Garamond" w:cs="Palatino Linotype"/>
          <w:b/>
        </w:rPr>
      </w:pPr>
      <w:r w:rsidRPr="006A6CB3">
        <w:rPr>
          <w:rFonts w:ascii="Garamond" w:eastAsia="Palatino Linotype" w:hAnsi="Garamond" w:cs="Palatino Linotype"/>
          <w:b/>
        </w:rPr>
        <w:t>Trading in Corporate Debt Market</w:t>
      </w:r>
    </w:p>
    <w:p w:rsidR="00D23F20" w:rsidRPr="00D23F20" w:rsidRDefault="00D23F20" w:rsidP="00456F4D">
      <w:pPr>
        <w:pStyle w:val="ListParagraph"/>
        <w:numPr>
          <w:ilvl w:val="0"/>
          <w:numId w:val="15"/>
        </w:numPr>
        <w:pBdr>
          <w:between w:val="nil"/>
        </w:pBdr>
        <w:jc w:val="both"/>
        <w:rPr>
          <w:rFonts w:ascii="Garamond" w:eastAsia="Palatino Linotype" w:hAnsi="Garamond" w:cs="Palatino Linotype"/>
          <w:sz w:val="24"/>
          <w:szCs w:val="24"/>
        </w:rPr>
      </w:pPr>
      <w:r w:rsidRPr="00D23F20">
        <w:rPr>
          <w:rFonts w:ascii="Garamond" w:eastAsia="Palatino Linotype" w:hAnsi="Garamond" w:cs="Palatino Linotype"/>
          <w:sz w:val="24"/>
          <w:szCs w:val="24"/>
        </w:rPr>
        <w:t xml:space="preserve">During October 2021, BSE registered 7,224 trades of corporate debt with traded value of </w:t>
      </w:r>
      <w:r w:rsidRPr="00D23F20">
        <w:rPr>
          <w:rFonts w:ascii="Times New Roman" w:eastAsia="Palatino Linotype" w:hAnsi="Times New Roman"/>
          <w:sz w:val="24"/>
          <w:szCs w:val="24"/>
        </w:rPr>
        <w:t>₹</w:t>
      </w:r>
      <w:r w:rsidRPr="00D23F20">
        <w:rPr>
          <w:rFonts w:ascii="Garamond" w:eastAsia="Palatino Linotype" w:hAnsi="Garamond" w:cs="Palatino Linotype"/>
          <w:sz w:val="24"/>
          <w:szCs w:val="24"/>
        </w:rPr>
        <w:t>49,075 crore, registering a decline of 23</w:t>
      </w:r>
      <w:r w:rsidR="00E70588">
        <w:rPr>
          <w:rFonts w:ascii="Garamond" w:eastAsia="Palatino Linotype" w:hAnsi="Garamond" w:cs="Palatino Linotype"/>
          <w:sz w:val="24"/>
          <w:szCs w:val="24"/>
        </w:rPr>
        <w:t>.0</w:t>
      </w:r>
      <w:r w:rsidRPr="00D23F20">
        <w:rPr>
          <w:rFonts w:ascii="Garamond" w:eastAsia="Palatino Linotype" w:hAnsi="Garamond" w:cs="Palatino Linotype"/>
          <w:sz w:val="24"/>
          <w:szCs w:val="24"/>
        </w:rPr>
        <w:t xml:space="preserve"> per cent in traded value as compared to September 2021. </w:t>
      </w:r>
    </w:p>
    <w:p w:rsidR="00D23F20" w:rsidRPr="00D23F20" w:rsidRDefault="00D23F20" w:rsidP="00456F4D">
      <w:pPr>
        <w:pStyle w:val="ListParagraph"/>
        <w:numPr>
          <w:ilvl w:val="0"/>
          <w:numId w:val="15"/>
        </w:numPr>
        <w:pBdr>
          <w:between w:val="nil"/>
        </w:pBdr>
        <w:jc w:val="both"/>
        <w:rPr>
          <w:rFonts w:ascii="Garamond" w:eastAsia="Palatino Linotype" w:hAnsi="Garamond" w:cs="Palatino Linotype"/>
          <w:sz w:val="22"/>
          <w:szCs w:val="22"/>
        </w:rPr>
      </w:pPr>
      <w:r w:rsidRPr="00D23F20">
        <w:rPr>
          <w:rFonts w:ascii="Garamond" w:eastAsia="Palatino Linotype" w:hAnsi="Garamond" w:cs="Palatino Linotype"/>
          <w:sz w:val="24"/>
          <w:szCs w:val="24"/>
          <w:lang w:val="en-GB"/>
        </w:rPr>
        <w:t xml:space="preserve">At NSE, 5,423 trades were recorded with a traded value of </w:t>
      </w:r>
      <w:r w:rsidRPr="00D23F20">
        <w:rPr>
          <w:rFonts w:ascii="Times New Roman" w:eastAsia="Palatino Linotype" w:hAnsi="Times New Roman"/>
          <w:sz w:val="24"/>
          <w:szCs w:val="24"/>
          <w:lang w:val="en-GB"/>
        </w:rPr>
        <w:t>₹</w:t>
      </w:r>
      <w:r w:rsidRPr="00D23F20">
        <w:rPr>
          <w:rFonts w:ascii="Garamond" w:eastAsia="Palatino Linotype" w:hAnsi="Garamond" w:cs="Palatino Linotype"/>
          <w:sz w:val="24"/>
          <w:szCs w:val="24"/>
          <w:lang w:val="en-GB"/>
        </w:rPr>
        <w:t>97,201 crore in October</w:t>
      </w:r>
      <w:r w:rsidR="00E70588">
        <w:rPr>
          <w:rFonts w:ascii="Garamond" w:eastAsia="Palatino Linotype" w:hAnsi="Garamond" w:cs="Palatino Linotype"/>
          <w:sz w:val="24"/>
          <w:szCs w:val="24"/>
          <w:lang w:val="en-GB"/>
        </w:rPr>
        <w:t xml:space="preserve"> </w:t>
      </w:r>
      <w:r w:rsidRPr="00D23F20">
        <w:rPr>
          <w:rFonts w:ascii="Garamond" w:eastAsia="Palatino Linotype" w:hAnsi="Garamond" w:cs="Palatino Linotype"/>
          <w:sz w:val="24"/>
          <w:szCs w:val="24"/>
          <w:lang w:val="en-GB"/>
        </w:rPr>
        <w:t xml:space="preserve">2021 which is 23.4 per cent lower compared to September 2021. </w:t>
      </w:r>
    </w:p>
    <w:p w:rsidR="006A6CB3" w:rsidRPr="006A6CB3" w:rsidRDefault="006A6CB3" w:rsidP="006A6CB3">
      <w:pPr>
        <w:pBdr>
          <w:top w:val="nil"/>
          <w:left w:val="nil"/>
          <w:bottom w:val="nil"/>
          <w:right w:val="nil"/>
          <w:between w:val="nil"/>
        </w:pBdr>
        <w:spacing w:line="276" w:lineRule="auto"/>
        <w:ind w:left="720"/>
        <w:jc w:val="both"/>
        <w:rPr>
          <w:rFonts w:ascii="Garamond" w:eastAsia="Palatino Linotype" w:hAnsi="Garamond" w:cs="Palatino Linotype"/>
          <w:b/>
          <w:color w:val="2E74B5"/>
        </w:rPr>
      </w:pPr>
    </w:p>
    <w:p w:rsidR="00436B07" w:rsidRDefault="00436B07" w:rsidP="006A6CB3">
      <w:pPr>
        <w:pBdr>
          <w:top w:val="nil"/>
          <w:left w:val="nil"/>
          <w:bottom w:val="nil"/>
          <w:right w:val="nil"/>
          <w:between w:val="nil"/>
        </w:pBdr>
        <w:spacing w:line="276" w:lineRule="auto"/>
        <w:ind w:left="720" w:hanging="720"/>
        <w:jc w:val="center"/>
        <w:rPr>
          <w:rFonts w:ascii="Garamond" w:eastAsia="Palatino Linotype" w:hAnsi="Garamond" w:cs="Palatino Linotype"/>
          <w:b/>
        </w:rPr>
      </w:pPr>
    </w:p>
    <w:p w:rsidR="00436B07" w:rsidRDefault="00436B07" w:rsidP="006A6CB3">
      <w:pPr>
        <w:pBdr>
          <w:top w:val="nil"/>
          <w:left w:val="nil"/>
          <w:bottom w:val="nil"/>
          <w:right w:val="nil"/>
          <w:between w:val="nil"/>
        </w:pBdr>
        <w:spacing w:line="276" w:lineRule="auto"/>
        <w:ind w:left="720" w:hanging="720"/>
        <w:jc w:val="center"/>
        <w:rPr>
          <w:rFonts w:ascii="Garamond" w:eastAsia="Palatino Linotype" w:hAnsi="Garamond" w:cs="Palatino Linotype"/>
          <w:b/>
        </w:rPr>
      </w:pPr>
    </w:p>
    <w:p w:rsidR="00436B07" w:rsidRDefault="00436B07" w:rsidP="006A6CB3">
      <w:pPr>
        <w:pBdr>
          <w:top w:val="nil"/>
          <w:left w:val="nil"/>
          <w:bottom w:val="nil"/>
          <w:right w:val="nil"/>
          <w:between w:val="nil"/>
        </w:pBdr>
        <w:spacing w:line="276" w:lineRule="auto"/>
        <w:ind w:left="720" w:hanging="720"/>
        <w:jc w:val="center"/>
        <w:rPr>
          <w:rFonts w:ascii="Garamond" w:eastAsia="Palatino Linotype" w:hAnsi="Garamond" w:cs="Palatino Linotype"/>
          <w:b/>
        </w:rPr>
      </w:pPr>
    </w:p>
    <w:p w:rsidR="006A6CB3" w:rsidRPr="006A6CB3" w:rsidRDefault="006A6CB3" w:rsidP="006A6CB3">
      <w:pPr>
        <w:pBdr>
          <w:top w:val="nil"/>
          <w:left w:val="nil"/>
          <w:bottom w:val="nil"/>
          <w:right w:val="nil"/>
          <w:between w:val="nil"/>
        </w:pBdr>
        <w:spacing w:line="276" w:lineRule="auto"/>
        <w:ind w:left="720" w:hanging="720"/>
        <w:jc w:val="center"/>
        <w:rPr>
          <w:rFonts w:ascii="Garamond" w:eastAsia="Palatino Linotype" w:hAnsi="Garamond" w:cs="Palatino Linotype"/>
          <w:b/>
        </w:rPr>
      </w:pPr>
      <w:r w:rsidRPr="006A6CB3">
        <w:rPr>
          <w:rFonts w:ascii="Garamond" w:eastAsia="Palatino Linotype" w:hAnsi="Garamond" w:cs="Palatino Linotype"/>
          <w:b/>
        </w:rPr>
        <w:lastRenderedPageBreak/>
        <w:t xml:space="preserve">Figure </w:t>
      </w:r>
      <w:r w:rsidR="003A028D">
        <w:rPr>
          <w:rFonts w:ascii="Garamond" w:eastAsia="Palatino Linotype" w:hAnsi="Garamond" w:cs="Palatino Linotype"/>
          <w:b/>
        </w:rPr>
        <w:t>9</w:t>
      </w:r>
      <w:r w:rsidRPr="006A6CB3">
        <w:rPr>
          <w:rFonts w:ascii="Garamond" w:eastAsia="Palatino Linotype" w:hAnsi="Garamond" w:cs="Palatino Linotype"/>
          <w:b/>
        </w:rPr>
        <w:t>: Trends in Reported Turnover of Corporate Bonds (</w:t>
      </w:r>
      <w:r w:rsidRPr="006A6CB3">
        <w:rPr>
          <w:rFonts w:ascii="Times New Roman" w:eastAsia="Palatino Linotype" w:hAnsi="Times New Roman"/>
          <w:b/>
        </w:rPr>
        <w:t>₹</w:t>
      </w:r>
      <w:r w:rsidRPr="006A6CB3">
        <w:rPr>
          <w:rFonts w:ascii="Garamond" w:eastAsia="Palatino Linotype" w:hAnsi="Garamond" w:cs="Palatino Linotype"/>
          <w:b/>
        </w:rPr>
        <w:t xml:space="preserve"> crore)</w:t>
      </w:r>
    </w:p>
    <w:p w:rsidR="006A6CB3" w:rsidRPr="006A6CB3" w:rsidRDefault="00D23F20" w:rsidP="006A6CB3">
      <w:pPr>
        <w:pBdr>
          <w:top w:val="nil"/>
          <w:left w:val="nil"/>
          <w:bottom w:val="nil"/>
          <w:right w:val="nil"/>
          <w:between w:val="nil"/>
        </w:pBdr>
        <w:spacing w:line="276" w:lineRule="auto"/>
        <w:ind w:left="720" w:hanging="720"/>
        <w:jc w:val="center"/>
        <w:rPr>
          <w:rFonts w:ascii="Garamond" w:eastAsia="Palatino Linotype" w:hAnsi="Garamond" w:cs="Palatino Linotype"/>
          <w:b/>
        </w:rPr>
      </w:pPr>
      <w:r>
        <w:rPr>
          <w:noProof/>
          <w:lang w:val="en-IN" w:eastAsia="en-IN" w:bidi="hi-IN"/>
        </w:rPr>
        <w:drawing>
          <wp:inline distT="0" distB="0" distL="0" distR="0" wp14:anchorId="2699F156" wp14:editId="7ACC4522">
            <wp:extent cx="5257800" cy="2714625"/>
            <wp:effectExtent l="0" t="0" r="0" b="9525"/>
            <wp:docPr id="26" name="Chart 26">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A6CB3" w:rsidRPr="004A1B8E" w:rsidRDefault="006A6CB3" w:rsidP="006A6CB3">
      <w:pPr>
        <w:rPr>
          <w:rFonts w:ascii="Garamond" w:eastAsia="Palatino Linotype" w:hAnsi="Garamond" w:cs="Palatino Linotype"/>
          <w:bCs/>
          <w:sz w:val="20"/>
          <w:szCs w:val="20"/>
        </w:rPr>
      </w:pPr>
      <w:r w:rsidRPr="006A6CB3">
        <w:rPr>
          <w:rFonts w:ascii="Garamond" w:eastAsia="Palatino Linotype" w:hAnsi="Garamond" w:cs="Palatino Linotype"/>
          <w:b/>
        </w:rPr>
        <w:t xml:space="preserve">                     </w:t>
      </w:r>
      <w:r w:rsidRPr="004A1B8E">
        <w:rPr>
          <w:rFonts w:ascii="Garamond" w:eastAsia="Palatino Linotype" w:hAnsi="Garamond" w:cs="Palatino Linotype"/>
          <w:b/>
          <w:sz w:val="20"/>
          <w:szCs w:val="20"/>
        </w:rPr>
        <w:t xml:space="preserve">Source: </w:t>
      </w:r>
      <w:r w:rsidRPr="004A1B8E">
        <w:rPr>
          <w:rFonts w:ascii="Garamond" w:eastAsia="Palatino Linotype" w:hAnsi="Garamond" w:cs="Palatino Linotype"/>
          <w:bCs/>
          <w:sz w:val="20"/>
          <w:szCs w:val="20"/>
        </w:rPr>
        <w:t>BSE and NSE</w:t>
      </w:r>
    </w:p>
    <w:p w:rsidR="006A6CB3" w:rsidRDefault="006A6CB3" w:rsidP="006A6CB3">
      <w:pPr>
        <w:rPr>
          <w:rFonts w:ascii="Garamond" w:eastAsia="Palatino Linotype" w:hAnsi="Garamond" w:cs="Palatino Linotype"/>
          <w:b/>
        </w:rPr>
      </w:pPr>
    </w:p>
    <w:p w:rsidR="00D87E25" w:rsidRPr="006A6CB3" w:rsidRDefault="00D87E25" w:rsidP="006A6CB3">
      <w:pPr>
        <w:rPr>
          <w:rFonts w:ascii="Garamond" w:eastAsia="Palatino Linotype" w:hAnsi="Garamond" w:cs="Palatino Linotype"/>
          <w:b/>
        </w:rPr>
      </w:pPr>
    </w:p>
    <w:p w:rsidR="006A6CB3" w:rsidRPr="006A6CB3" w:rsidRDefault="006A6CB3" w:rsidP="006A6CB3">
      <w:pPr>
        <w:widowControl w:val="0"/>
        <w:numPr>
          <w:ilvl w:val="0"/>
          <w:numId w:val="2"/>
        </w:numPr>
        <w:spacing w:line="276" w:lineRule="auto"/>
        <w:ind w:left="567" w:hanging="567"/>
        <w:rPr>
          <w:rFonts w:ascii="Garamond" w:eastAsia="Palatino Linotype" w:hAnsi="Garamond" w:cs="Palatino Linotype"/>
          <w:b/>
        </w:rPr>
      </w:pPr>
      <w:r w:rsidRPr="006A6CB3">
        <w:rPr>
          <w:rFonts w:ascii="Garamond" w:eastAsia="Palatino Linotype" w:hAnsi="Garamond" w:cs="Palatino Linotype"/>
          <w:b/>
        </w:rPr>
        <w:t>Trends in Institutional Investments</w:t>
      </w:r>
    </w:p>
    <w:p w:rsidR="006A6CB3" w:rsidRPr="006A6CB3" w:rsidRDefault="006A6CB3" w:rsidP="006A6CB3">
      <w:pPr>
        <w:widowControl w:val="0"/>
        <w:spacing w:line="276" w:lineRule="auto"/>
        <w:ind w:left="567"/>
        <w:rPr>
          <w:rFonts w:ascii="Garamond" w:eastAsia="Palatino Linotype" w:hAnsi="Garamond" w:cs="Palatino Linotype"/>
          <w:b/>
        </w:rPr>
      </w:pPr>
    </w:p>
    <w:p w:rsidR="006A6CB3" w:rsidRPr="006A6CB3" w:rsidRDefault="006A6CB3" w:rsidP="006A6CB3">
      <w:pPr>
        <w:widowControl w:val="0"/>
        <w:numPr>
          <w:ilvl w:val="0"/>
          <w:numId w:val="4"/>
        </w:numPr>
        <w:tabs>
          <w:tab w:val="left" w:pos="0"/>
        </w:tabs>
        <w:spacing w:line="276" w:lineRule="auto"/>
        <w:ind w:left="567" w:hanging="567"/>
        <w:jc w:val="both"/>
        <w:rPr>
          <w:rFonts w:ascii="Garamond" w:eastAsia="Palatino Linotype" w:hAnsi="Garamond" w:cs="Palatino Linotype"/>
          <w:b/>
        </w:rPr>
      </w:pPr>
      <w:r w:rsidRPr="006A6CB3">
        <w:rPr>
          <w:rFonts w:ascii="Garamond" w:eastAsia="Palatino Linotype" w:hAnsi="Garamond" w:cs="Palatino Linotype"/>
          <w:b/>
        </w:rPr>
        <w:t>Trends in Fund Mobilisation/Transactions by Mutual Funds</w:t>
      </w:r>
    </w:p>
    <w:p w:rsidR="00D23F20" w:rsidRPr="00891713" w:rsidRDefault="006A6CB3" w:rsidP="00D23F20">
      <w:pPr>
        <w:numPr>
          <w:ilvl w:val="0"/>
          <w:numId w:val="1"/>
        </w:numPr>
        <w:pBdr>
          <w:between w:val="nil"/>
        </w:pBdr>
        <w:spacing w:line="276" w:lineRule="auto"/>
        <w:jc w:val="both"/>
        <w:rPr>
          <w:rFonts w:ascii="Garamond" w:eastAsia="Palatino Linotype" w:hAnsi="Garamond" w:cs="Palatino Linotype"/>
        </w:rPr>
      </w:pPr>
      <w:r w:rsidRPr="006A6CB3">
        <w:rPr>
          <w:rFonts w:ascii="Garamond" w:eastAsia="Times New Roman" w:hAnsi="Garamond" w:cs="Tahoma"/>
          <w:color w:val="000000" w:themeColor="text1"/>
          <w:lang w:val="en-IN" w:eastAsia="en-IN"/>
        </w:rPr>
        <w:t> </w:t>
      </w:r>
      <w:r w:rsidR="00D23F20" w:rsidRPr="00891713">
        <w:rPr>
          <w:rFonts w:ascii="Garamond" w:eastAsia="Times New Roman" w:hAnsi="Garamond" w:cs="Tahoma"/>
          <w:color w:val="000000"/>
          <w:lang w:eastAsia="en-IN"/>
        </w:rPr>
        <w:t xml:space="preserve">As at </w:t>
      </w:r>
      <w:r w:rsidR="00D23F20" w:rsidRPr="00891713">
        <w:rPr>
          <w:rFonts w:ascii="Garamond" w:eastAsia="Palatino Linotype" w:hAnsi="Garamond" w:cs="Palatino Linotype"/>
          <w:color w:val="000000"/>
        </w:rPr>
        <w:t xml:space="preserve">end of </w:t>
      </w:r>
      <w:r w:rsidR="00D23F20">
        <w:rPr>
          <w:rFonts w:ascii="Garamond" w:eastAsia="Palatino Linotype" w:hAnsi="Garamond" w:cs="Palatino Linotype"/>
          <w:color w:val="000000"/>
        </w:rPr>
        <w:t>October</w:t>
      </w:r>
      <w:r w:rsidR="00D23F20" w:rsidRPr="00891713">
        <w:rPr>
          <w:rFonts w:ascii="Garamond" w:eastAsia="Palatino Linotype" w:hAnsi="Garamond" w:cs="Palatino Linotype"/>
          <w:color w:val="000000"/>
        </w:rPr>
        <w:t xml:space="preserve"> 2</w:t>
      </w:r>
      <w:r w:rsidR="00D23F20">
        <w:rPr>
          <w:rFonts w:ascii="Garamond" w:eastAsia="Palatino Linotype" w:hAnsi="Garamond" w:cs="Palatino Linotype"/>
          <w:color w:val="000000"/>
        </w:rPr>
        <w:t>021, there were a total of 1,456</w:t>
      </w:r>
      <w:r w:rsidR="00D23F20" w:rsidRPr="00891713">
        <w:rPr>
          <w:rFonts w:ascii="Garamond" w:eastAsia="Palatino Linotype" w:hAnsi="Garamond" w:cs="Palatino Linotype"/>
          <w:color w:val="000000"/>
        </w:rPr>
        <w:t xml:space="preserve"> mutual fund sche</w:t>
      </w:r>
      <w:r w:rsidR="00D23F20">
        <w:rPr>
          <w:rFonts w:ascii="Garamond" w:eastAsia="Palatino Linotype" w:hAnsi="Garamond" w:cs="Palatino Linotype"/>
          <w:color w:val="000000"/>
        </w:rPr>
        <w:t>mes in the market, of which 1,072 were open-ended schemes, 363</w:t>
      </w:r>
      <w:r w:rsidR="00D23F20" w:rsidRPr="00891713">
        <w:rPr>
          <w:rFonts w:ascii="Garamond" w:eastAsia="Palatino Linotype" w:hAnsi="Garamond" w:cs="Palatino Linotype"/>
          <w:color w:val="000000"/>
        </w:rPr>
        <w:t xml:space="preserve"> were close-ended schemes and 21 were interval schemes</w:t>
      </w:r>
      <w:r w:rsidR="00D23F20" w:rsidRPr="00891713">
        <w:rPr>
          <w:rFonts w:ascii="Garamond" w:eastAsia="Palatino Linotype" w:hAnsi="Garamond" w:cs="Palatino Linotype"/>
        </w:rPr>
        <w:t xml:space="preserve">. </w:t>
      </w:r>
    </w:p>
    <w:p w:rsidR="00D23F20" w:rsidRPr="00891713" w:rsidRDefault="00E70588" w:rsidP="00D23F20">
      <w:pPr>
        <w:numPr>
          <w:ilvl w:val="0"/>
          <w:numId w:val="1"/>
        </w:numPr>
        <w:pBdr>
          <w:between w:val="nil"/>
        </w:pBdr>
        <w:spacing w:line="276" w:lineRule="auto"/>
        <w:jc w:val="both"/>
        <w:rPr>
          <w:rFonts w:ascii="Garamond" w:eastAsia="Palatino Linotype" w:hAnsi="Garamond" w:cs="Palatino Linotype"/>
          <w:color w:val="000000"/>
        </w:rPr>
      </w:pPr>
      <w:r>
        <w:rPr>
          <w:rFonts w:ascii="Garamond" w:eastAsia="Palatino Linotype" w:hAnsi="Garamond" w:cs="Palatino Linotype"/>
        </w:rPr>
        <w:t xml:space="preserve">Net mobilisation by mutual funds </w:t>
      </w:r>
      <w:r w:rsidR="00461811">
        <w:rPr>
          <w:rFonts w:ascii="Garamond" w:eastAsia="Palatino Linotype" w:hAnsi="Garamond" w:cs="Palatino Linotype"/>
        </w:rPr>
        <w:t>was</w:t>
      </w:r>
      <w:r w:rsidR="00461811" w:rsidRPr="00891713">
        <w:rPr>
          <w:rFonts w:ascii="Garamond" w:eastAsia="Palatino Linotype" w:hAnsi="Garamond" w:cs="Palatino Linotype"/>
        </w:rPr>
        <w:t xml:space="preserve"> </w:t>
      </w:r>
      <w:r w:rsidR="00461811" w:rsidRPr="00891713">
        <w:rPr>
          <w:rFonts w:ascii="Times New Roman" w:eastAsia="Palatino Linotype" w:hAnsi="Times New Roman"/>
        </w:rPr>
        <w:t>₹</w:t>
      </w:r>
      <w:r w:rsidR="00D23F20">
        <w:rPr>
          <w:rFonts w:ascii="Garamond" w:eastAsia="Palatino Linotype" w:hAnsi="Garamond"/>
        </w:rPr>
        <w:t xml:space="preserve"> 38,275</w:t>
      </w:r>
      <w:r w:rsidR="00D23F20" w:rsidRPr="00891713">
        <w:rPr>
          <w:rFonts w:ascii="Garamond" w:eastAsia="Palatino Linotype" w:hAnsi="Garamond"/>
        </w:rPr>
        <w:t xml:space="preserve"> crore during </w:t>
      </w:r>
      <w:r w:rsidR="00D23F20">
        <w:rPr>
          <w:rFonts w:ascii="Garamond" w:eastAsia="Palatino Linotype" w:hAnsi="Garamond"/>
        </w:rPr>
        <w:t>October</w:t>
      </w:r>
      <w:r w:rsidR="00D23F20" w:rsidRPr="00891713">
        <w:rPr>
          <w:rFonts w:ascii="Garamond" w:eastAsia="Palatino Linotype" w:hAnsi="Garamond"/>
        </w:rPr>
        <w:t xml:space="preserve"> 2021 as against </w:t>
      </w:r>
      <w:r w:rsidR="00461811">
        <w:rPr>
          <w:rFonts w:ascii="Garamond" w:eastAsia="Palatino Linotype" w:hAnsi="Garamond"/>
        </w:rPr>
        <w:t xml:space="preserve">net redemption </w:t>
      </w:r>
      <w:r w:rsidR="00D23F20" w:rsidRPr="00891713">
        <w:rPr>
          <w:rFonts w:ascii="Garamond" w:eastAsia="Palatino Linotype" w:hAnsi="Garamond"/>
        </w:rPr>
        <w:t xml:space="preserve"> of </w:t>
      </w:r>
      <w:r w:rsidR="00D23F20" w:rsidRPr="00891713">
        <w:rPr>
          <w:rFonts w:ascii="Times New Roman" w:eastAsia="Palatino Linotype" w:hAnsi="Times New Roman"/>
        </w:rPr>
        <w:t>₹</w:t>
      </w:r>
      <w:r w:rsidR="00D23F20">
        <w:rPr>
          <w:rFonts w:ascii="Garamond" w:eastAsia="Palatino Linotype" w:hAnsi="Garamond" w:cs="Palatino Linotype"/>
        </w:rPr>
        <w:t>47,257</w:t>
      </w:r>
      <w:r w:rsidR="00D23F20" w:rsidRPr="00891713">
        <w:rPr>
          <w:rFonts w:ascii="Garamond" w:eastAsia="Palatino Linotype" w:hAnsi="Garamond" w:cs="Palatino Linotype"/>
        </w:rPr>
        <w:t xml:space="preserve"> crore during </w:t>
      </w:r>
      <w:r w:rsidR="00D23F20">
        <w:rPr>
          <w:rFonts w:ascii="Garamond" w:eastAsia="Palatino Linotype" w:hAnsi="Garamond" w:cs="Palatino Linotype"/>
        </w:rPr>
        <w:t xml:space="preserve">September </w:t>
      </w:r>
      <w:r w:rsidR="00D23F20" w:rsidRPr="00891713">
        <w:rPr>
          <w:rFonts w:ascii="Garamond" w:eastAsia="Palatino Linotype" w:hAnsi="Garamond" w:cs="Palatino Linotype"/>
        </w:rPr>
        <w:t>2021.</w:t>
      </w:r>
    </w:p>
    <w:p w:rsidR="00D23F20" w:rsidRPr="00891713" w:rsidRDefault="00461811" w:rsidP="00D23F20">
      <w:pPr>
        <w:numPr>
          <w:ilvl w:val="0"/>
          <w:numId w:val="1"/>
        </w:numPr>
        <w:pBdr>
          <w:between w:val="nil"/>
        </w:pBdr>
        <w:spacing w:line="276" w:lineRule="auto"/>
        <w:jc w:val="both"/>
        <w:rPr>
          <w:rFonts w:ascii="Garamond" w:eastAsia="Palatino Linotype" w:hAnsi="Garamond" w:cs="Palatino Linotype"/>
          <w:color w:val="000000"/>
        </w:rPr>
      </w:pPr>
      <w:r>
        <w:rPr>
          <w:rFonts w:ascii="Garamond" w:eastAsia="Palatino Linotype" w:hAnsi="Garamond" w:cs="Palatino Linotype"/>
          <w:color w:val="000000"/>
        </w:rPr>
        <w:t>O</w:t>
      </w:r>
      <w:r w:rsidR="00D23F20" w:rsidRPr="00891713">
        <w:rPr>
          <w:rFonts w:ascii="Garamond" w:eastAsia="Palatino Linotype" w:hAnsi="Garamond" w:cs="Palatino Linotype"/>
          <w:color w:val="000000"/>
        </w:rPr>
        <w:t xml:space="preserve">pen-ended schemes </w:t>
      </w:r>
      <w:r>
        <w:rPr>
          <w:rFonts w:ascii="Garamond" w:eastAsia="Palatino Linotype" w:hAnsi="Garamond" w:cs="Palatino Linotype"/>
          <w:color w:val="000000"/>
        </w:rPr>
        <w:t xml:space="preserve">mobilised </w:t>
      </w:r>
      <w:r w:rsidRPr="00891713">
        <w:rPr>
          <w:rFonts w:ascii="Times New Roman" w:eastAsia="Palatino Linotype" w:hAnsi="Times New Roman"/>
          <w:color w:val="000000"/>
        </w:rPr>
        <w:t>₹</w:t>
      </w:r>
      <w:r w:rsidR="00D23F20">
        <w:rPr>
          <w:rFonts w:ascii="Garamond" w:eastAsia="Palatino Linotype" w:hAnsi="Garamond"/>
        </w:rPr>
        <w:t>7,50,783</w:t>
      </w:r>
      <w:r w:rsidR="00D23F20" w:rsidRPr="00891713">
        <w:rPr>
          <w:rFonts w:ascii="Garamond" w:eastAsia="Palatino Linotype" w:hAnsi="Garamond"/>
        </w:rPr>
        <w:t xml:space="preserve"> crore </w:t>
      </w:r>
      <w:r>
        <w:rPr>
          <w:rFonts w:ascii="Garamond" w:eastAsia="Palatino Linotype" w:hAnsi="Garamond"/>
        </w:rPr>
        <w:t xml:space="preserve">in October 20201 </w:t>
      </w:r>
      <w:r w:rsidR="00D23F20" w:rsidRPr="00891713">
        <w:rPr>
          <w:rFonts w:ascii="Garamond" w:eastAsia="Palatino Linotype" w:hAnsi="Garamond"/>
        </w:rPr>
        <w:t>as against</w:t>
      </w:r>
      <w:r w:rsidR="00D23F20" w:rsidRPr="00891713">
        <w:rPr>
          <w:rFonts w:ascii="Garamond" w:eastAsia="Palatino Linotype" w:hAnsi="Garamond" w:cs="Palatino Linotype"/>
          <w:color w:val="000000"/>
        </w:rPr>
        <w:t xml:space="preserve"> redemption/repurchase of </w:t>
      </w:r>
      <w:r w:rsidR="00D23F20" w:rsidRPr="00891713">
        <w:rPr>
          <w:rFonts w:ascii="Times New Roman" w:eastAsia="Palatino Linotype" w:hAnsi="Times New Roman"/>
          <w:color w:val="000000"/>
        </w:rPr>
        <w:t>₹</w:t>
      </w:r>
      <w:r w:rsidR="00D23F20">
        <w:rPr>
          <w:rFonts w:ascii="Garamond" w:eastAsia="Palatino Linotype" w:hAnsi="Garamond"/>
          <w:color w:val="000000"/>
        </w:rPr>
        <w:t>7,11,289</w:t>
      </w:r>
      <w:r w:rsidR="00D23F20" w:rsidRPr="00891713">
        <w:rPr>
          <w:rFonts w:ascii="Garamond" w:eastAsia="Palatino Linotype" w:hAnsi="Garamond"/>
          <w:color w:val="000000"/>
        </w:rPr>
        <w:t xml:space="preserve"> </w:t>
      </w:r>
      <w:r w:rsidR="00D23F20">
        <w:rPr>
          <w:rFonts w:ascii="Garamond" w:eastAsia="Palatino Linotype" w:hAnsi="Garamond" w:cs="Palatino Linotype"/>
          <w:color w:val="000000"/>
        </w:rPr>
        <w:t>crore, resulting in a net in</w:t>
      </w:r>
      <w:r w:rsidR="00D23F20" w:rsidRPr="00891713">
        <w:rPr>
          <w:rFonts w:ascii="Garamond" w:eastAsia="Palatino Linotype" w:hAnsi="Garamond" w:cs="Palatino Linotype"/>
          <w:color w:val="000000"/>
        </w:rPr>
        <w:t xml:space="preserve">flow of </w:t>
      </w:r>
      <w:r w:rsidR="00D23F20" w:rsidRPr="00891713">
        <w:rPr>
          <w:rFonts w:ascii="Times New Roman" w:eastAsia="Palatino Linotype" w:hAnsi="Times New Roman"/>
          <w:color w:val="000000"/>
        </w:rPr>
        <w:t>₹</w:t>
      </w:r>
      <w:r w:rsidR="00D23F20">
        <w:rPr>
          <w:rFonts w:ascii="Garamond" w:eastAsia="Palatino Linotype" w:hAnsi="Garamond"/>
          <w:color w:val="000000"/>
        </w:rPr>
        <w:t>39,494</w:t>
      </w:r>
      <w:r w:rsidR="00D23F20" w:rsidRPr="00891713">
        <w:rPr>
          <w:rFonts w:ascii="Garamond" w:eastAsia="Palatino Linotype" w:hAnsi="Garamond" w:cs="Palatino Linotype"/>
          <w:color w:val="000000"/>
        </w:rPr>
        <w:t xml:space="preserve"> crore </w:t>
      </w:r>
      <w:r>
        <w:rPr>
          <w:rFonts w:ascii="Garamond" w:eastAsia="Palatino Linotype" w:hAnsi="Garamond" w:cs="Palatino Linotype"/>
          <w:color w:val="000000"/>
        </w:rPr>
        <w:t>into</w:t>
      </w:r>
      <w:r w:rsidRPr="00891713">
        <w:rPr>
          <w:rFonts w:ascii="Garamond" w:eastAsia="Palatino Linotype" w:hAnsi="Garamond" w:cs="Palatino Linotype"/>
          <w:color w:val="000000"/>
        </w:rPr>
        <w:t xml:space="preserve"> </w:t>
      </w:r>
      <w:r w:rsidR="00D23F20" w:rsidRPr="00891713">
        <w:rPr>
          <w:rFonts w:ascii="Garamond" w:eastAsia="Palatino Linotype" w:hAnsi="Garamond" w:cs="Palatino Linotype"/>
          <w:color w:val="000000"/>
        </w:rPr>
        <w:t xml:space="preserve">open-ended schemes. Of </w:t>
      </w:r>
      <w:r>
        <w:rPr>
          <w:rFonts w:ascii="Garamond" w:eastAsia="Palatino Linotype" w:hAnsi="Garamond" w:cs="Palatino Linotype"/>
          <w:color w:val="000000"/>
        </w:rPr>
        <w:t>gross mobilsiation</w:t>
      </w:r>
      <w:r w:rsidR="00D23F20" w:rsidRPr="00891713">
        <w:rPr>
          <w:rFonts w:ascii="Garamond" w:eastAsia="Palatino Linotype" w:hAnsi="Garamond" w:cs="Palatino Linotype"/>
          <w:color w:val="000000"/>
        </w:rPr>
        <w:t xml:space="preserve">, </w:t>
      </w:r>
      <w:r w:rsidR="00D23F20" w:rsidRPr="00891713">
        <w:rPr>
          <w:rFonts w:ascii="Times New Roman" w:eastAsia="Palatino Linotype" w:hAnsi="Times New Roman"/>
          <w:color w:val="000000"/>
        </w:rPr>
        <w:t>₹</w:t>
      </w:r>
      <w:r w:rsidR="00D23F20">
        <w:rPr>
          <w:rFonts w:ascii="Garamond" w:eastAsia="Palatino Linotype" w:hAnsi="Garamond" w:cs="Palatino Linotype"/>
          <w:color w:val="000000"/>
        </w:rPr>
        <w:t>6,78,203</w:t>
      </w:r>
      <w:r w:rsidR="00D23F20" w:rsidRPr="00891713">
        <w:rPr>
          <w:rFonts w:ascii="Garamond" w:eastAsia="Palatino Linotype" w:hAnsi="Garamond" w:cs="Palatino Linotype"/>
          <w:color w:val="000000"/>
        </w:rPr>
        <w:t xml:space="preserve"> crore was mobilised through income/debt oriented schemes, </w:t>
      </w:r>
      <w:r w:rsidR="00D23F20" w:rsidRPr="00891713">
        <w:rPr>
          <w:rFonts w:ascii="Times New Roman" w:eastAsia="Palatino Linotype" w:hAnsi="Times New Roman"/>
          <w:color w:val="000000"/>
        </w:rPr>
        <w:t>₹</w:t>
      </w:r>
      <w:r w:rsidR="00D23F20">
        <w:rPr>
          <w:rFonts w:ascii="Garamond" w:eastAsia="Palatino Linotype" w:hAnsi="Garamond" w:cs="Palatino Linotype"/>
          <w:color w:val="000000"/>
        </w:rPr>
        <w:t>28,671</w:t>
      </w:r>
      <w:r w:rsidR="00D23F20" w:rsidRPr="00891713">
        <w:rPr>
          <w:rFonts w:ascii="Garamond" w:eastAsia="Palatino Linotype" w:hAnsi="Garamond" w:cs="Palatino Linotype"/>
          <w:color w:val="000000"/>
        </w:rPr>
        <w:t xml:space="preserve"> crore through growth/equity oriented schemes, </w:t>
      </w:r>
      <w:r w:rsidR="00D23F20" w:rsidRPr="00891713">
        <w:rPr>
          <w:rFonts w:ascii="Times New Roman" w:eastAsia="Palatino Linotype" w:hAnsi="Times New Roman"/>
          <w:color w:val="000000"/>
        </w:rPr>
        <w:t>₹</w:t>
      </w:r>
      <w:r w:rsidR="00D23F20">
        <w:rPr>
          <w:rFonts w:ascii="Garamond" w:eastAsia="Palatino Linotype" w:hAnsi="Garamond" w:cs="Palatino Linotype"/>
          <w:color w:val="000000"/>
        </w:rPr>
        <w:t>26,698</w:t>
      </w:r>
      <w:r w:rsidR="00D23F20" w:rsidRPr="00891713">
        <w:rPr>
          <w:rFonts w:ascii="Garamond" w:eastAsia="Palatino Linotype" w:hAnsi="Garamond" w:cs="Palatino Linotype"/>
          <w:color w:val="000000"/>
        </w:rPr>
        <w:t xml:space="preserve"> crore through hybrid schemes, </w:t>
      </w:r>
      <w:r w:rsidR="00D23F20" w:rsidRPr="00891713">
        <w:rPr>
          <w:rFonts w:ascii="Times New Roman" w:eastAsia="Palatino Linotype" w:hAnsi="Times New Roman"/>
          <w:color w:val="000000"/>
        </w:rPr>
        <w:t>₹</w:t>
      </w:r>
      <w:r w:rsidR="00D23F20">
        <w:rPr>
          <w:rFonts w:ascii="Garamond" w:eastAsia="Palatino Linotype" w:hAnsi="Garamond" w:cs="Palatino Linotype"/>
          <w:color w:val="000000"/>
        </w:rPr>
        <w:t>297</w:t>
      </w:r>
      <w:r w:rsidR="00D23F20" w:rsidRPr="00891713">
        <w:rPr>
          <w:rFonts w:ascii="Garamond" w:eastAsia="Palatino Linotype" w:hAnsi="Garamond" w:cs="Palatino Linotype"/>
          <w:color w:val="000000"/>
        </w:rPr>
        <w:t xml:space="preserve"> crore through solution oriented schemes and </w:t>
      </w:r>
      <w:r w:rsidR="00D23F20" w:rsidRPr="00891713">
        <w:rPr>
          <w:rFonts w:ascii="Times New Roman" w:eastAsia="Palatino Linotype" w:hAnsi="Times New Roman"/>
          <w:color w:val="000000"/>
        </w:rPr>
        <w:t>₹</w:t>
      </w:r>
      <w:r w:rsidR="00D23F20">
        <w:rPr>
          <w:rFonts w:ascii="Garamond" w:eastAsia="Palatino Linotype" w:hAnsi="Garamond" w:cs="Palatino Linotype"/>
          <w:color w:val="000000"/>
        </w:rPr>
        <w:t>16,914</w:t>
      </w:r>
      <w:r w:rsidR="00D23F20" w:rsidRPr="00891713">
        <w:rPr>
          <w:rFonts w:ascii="Garamond" w:eastAsia="Palatino Linotype" w:hAnsi="Garamond" w:cs="Palatino Linotype"/>
          <w:color w:val="000000"/>
        </w:rPr>
        <w:t xml:space="preserve"> crore through other schemes. </w:t>
      </w:r>
    </w:p>
    <w:p w:rsidR="00D23F20" w:rsidRPr="00891713" w:rsidRDefault="00D23F20" w:rsidP="00D23F20">
      <w:pPr>
        <w:numPr>
          <w:ilvl w:val="0"/>
          <w:numId w:val="1"/>
        </w:numPr>
        <w:pBdr>
          <w:between w:val="nil"/>
        </w:pBdr>
        <w:spacing w:line="276" w:lineRule="auto"/>
        <w:jc w:val="both"/>
        <w:rPr>
          <w:rFonts w:ascii="Garamond" w:eastAsia="Palatino Linotype" w:hAnsi="Garamond" w:cs="Palatino Linotype"/>
          <w:color w:val="000000"/>
        </w:rPr>
      </w:pPr>
      <w:r>
        <w:rPr>
          <w:rFonts w:ascii="Garamond" w:eastAsia="Palatino Linotype" w:hAnsi="Garamond" w:cs="Palatino Linotype"/>
          <w:color w:val="000000"/>
        </w:rPr>
        <w:t>During October</w:t>
      </w:r>
      <w:r w:rsidRPr="00891713">
        <w:rPr>
          <w:rFonts w:ascii="Garamond" w:eastAsia="Palatino Linotype" w:hAnsi="Garamond" w:cs="Palatino Linotype"/>
          <w:color w:val="000000"/>
        </w:rPr>
        <w:t xml:space="preserve"> 2021, </w:t>
      </w:r>
      <w:r w:rsidRPr="00891713">
        <w:rPr>
          <w:rFonts w:ascii="Times New Roman" w:eastAsia="Palatino Linotype" w:hAnsi="Times New Roman"/>
          <w:color w:val="000000"/>
        </w:rPr>
        <w:t>₹</w:t>
      </w:r>
      <w:r>
        <w:rPr>
          <w:rFonts w:ascii="Garamond" w:eastAsia="Palatino Linotype" w:hAnsi="Garamond" w:cs="Palatino Linotype"/>
          <w:color w:val="000000"/>
        </w:rPr>
        <w:t>1,333</w:t>
      </w:r>
      <w:r w:rsidRPr="00891713">
        <w:rPr>
          <w:rFonts w:ascii="Garamond" w:eastAsia="Palatino Linotype" w:hAnsi="Garamond" w:cs="Palatino Linotype"/>
          <w:color w:val="000000"/>
        </w:rPr>
        <w:t xml:space="preserve"> crore were matured/ repurchased</w:t>
      </w:r>
      <w:r w:rsidRPr="00891713">
        <w:rPr>
          <w:rFonts w:ascii="Garamond" w:eastAsia="Palatino Linotype" w:hAnsi="Garamond" w:cs="Palatino Linotype"/>
          <w:color w:val="000000"/>
          <w:vertAlign w:val="superscript"/>
        </w:rPr>
        <w:footnoteReference w:id="78"/>
      </w:r>
      <w:r>
        <w:rPr>
          <w:rFonts w:ascii="Garamond" w:eastAsia="Palatino Linotype" w:hAnsi="Garamond" w:cs="Palatino Linotype"/>
          <w:color w:val="000000"/>
        </w:rPr>
        <w:t xml:space="preserve"> by close-ended schemes while i</w:t>
      </w:r>
      <w:r w:rsidRPr="00891713">
        <w:rPr>
          <w:rFonts w:ascii="Garamond" w:eastAsia="Palatino Linotype" w:hAnsi="Garamond" w:cs="Palatino Linotype"/>
          <w:color w:val="000000"/>
        </w:rPr>
        <w:t xml:space="preserve">n the interval schemes, </w:t>
      </w:r>
      <w:r w:rsidRPr="00891713">
        <w:rPr>
          <w:rFonts w:ascii="Times New Roman" w:eastAsia="Palatino Linotype" w:hAnsi="Times New Roman"/>
          <w:color w:val="000000"/>
        </w:rPr>
        <w:t>₹</w:t>
      </w:r>
      <w:r>
        <w:rPr>
          <w:rFonts w:ascii="Garamond" w:eastAsia="Palatino Linotype" w:hAnsi="Garamond" w:cs="Tahoma"/>
          <w:color w:val="000000"/>
        </w:rPr>
        <w:t>0.96</w:t>
      </w:r>
      <w:r w:rsidRPr="00891713">
        <w:rPr>
          <w:rFonts w:ascii="Garamond" w:eastAsia="Palatino Linotype" w:hAnsi="Garamond" w:cs="Palatino Linotype"/>
          <w:color w:val="000000"/>
        </w:rPr>
        <w:t xml:space="preserve"> crore were matured/redeemed.  </w:t>
      </w:r>
    </w:p>
    <w:p w:rsidR="00D23F20" w:rsidRPr="00891713" w:rsidRDefault="00D23F20" w:rsidP="00D23F20">
      <w:pPr>
        <w:numPr>
          <w:ilvl w:val="0"/>
          <w:numId w:val="1"/>
        </w:numPr>
        <w:pBdr>
          <w:between w:val="nil"/>
        </w:pBdr>
        <w:spacing w:line="276" w:lineRule="auto"/>
        <w:jc w:val="both"/>
        <w:rPr>
          <w:rFonts w:ascii="Garamond" w:eastAsia="Palatino Linotype" w:hAnsi="Garamond" w:cs="Palatino Linotype"/>
          <w:color w:val="000000"/>
        </w:rPr>
      </w:pPr>
      <w:r w:rsidRPr="00891713">
        <w:rPr>
          <w:rFonts w:ascii="Garamond" w:eastAsia="Palatino Linotype" w:hAnsi="Garamond" w:cs="Palatino Linotype"/>
          <w:color w:val="000000"/>
        </w:rPr>
        <w:t>The cumulative net assets under management of mutual funds incr</w:t>
      </w:r>
      <w:r>
        <w:rPr>
          <w:rFonts w:ascii="Garamond" w:eastAsia="Palatino Linotype" w:hAnsi="Garamond" w:cs="Palatino Linotype"/>
          <w:color w:val="000000"/>
        </w:rPr>
        <w:t>eased by 1.6</w:t>
      </w:r>
      <w:r w:rsidRPr="00891713">
        <w:rPr>
          <w:rFonts w:ascii="Garamond" w:eastAsia="Palatino Linotype" w:hAnsi="Garamond" w:cs="Palatino Linotype"/>
          <w:color w:val="000000"/>
        </w:rPr>
        <w:t xml:space="preserve"> per cent to  </w:t>
      </w:r>
      <w:r w:rsidRPr="00891713">
        <w:rPr>
          <w:rFonts w:ascii="Times New Roman" w:eastAsia="Palatino Linotype" w:hAnsi="Times New Roman"/>
          <w:color w:val="000000"/>
        </w:rPr>
        <w:t>₹</w:t>
      </w:r>
      <w:r>
        <w:rPr>
          <w:rFonts w:ascii="Garamond" w:eastAsia="Palatino Linotype" w:hAnsi="Garamond" w:cs="Palatino Linotype"/>
          <w:color w:val="000000"/>
        </w:rPr>
        <w:t>37.33</w:t>
      </w:r>
      <w:r w:rsidRPr="00891713">
        <w:rPr>
          <w:rFonts w:ascii="Garamond" w:eastAsia="Palatino Linotype" w:hAnsi="Garamond" w:cs="Palatino Linotype"/>
          <w:color w:val="000000"/>
        </w:rPr>
        <w:t xml:space="preserve"> la</w:t>
      </w:r>
      <w:r>
        <w:rPr>
          <w:rFonts w:ascii="Garamond" w:eastAsia="Palatino Linotype" w:hAnsi="Garamond" w:cs="Palatino Linotype"/>
          <w:color w:val="000000"/>
        </w:rPr>
        <w:t>kh crore as at the end of Octo</w:t>
      </w:r>
      <w:r w:rsidRPr="00891713">
        <w:rPr>
          <w:rFonts w:ascii="Garamond" w:eastAsia="Palatino Linotype" w:hAnsi="Garamond" w:cs="Palatino Linotype"/>
          <w:color w:val="000000"/>
        </w:rPr>
        <w:t xml:space="preserve">ber 2021. </w:t>
      </w:r>
    </w:p>
    <w:p w:rsidR="00D23F20" w:rsidRPr="00891713" w:rsidRDefault="00D23F20" w:rsidP="00D23F20">
      <w:pPr>
        <w:numPr>
          <w:ilvl w:val="0"/>
          <w:numId w:val="1"/>
        </w:numPr>
        <w:pBdr>
          <w:between w:val="nil"/>
        </w:pBdr>
        <w:spacing w:line="276" w:lineRule="auto"/>
        <w:jc w:val="both"/>
        <w:rPr>
          <w:rFonts w:ascii="Garamond" w:eastAsia="Palatino Linotype" w:hAnsi="Garamond" w:cs="Palatino Linotype"/>
        </w:rPr>
      </w:pPr>
      <w:r w:rsidRPr="00891713">
        <w:rPr>
          <w:rFonts w:ascii="Garamond" w:eastAsia="Palatino Linotype" w:hAnsi="Garamond" w:cs="Palatino Linotype"/>
        </w:rPr>
        <w:t xml:space="preserve">In the secondary market transactions, during </w:t>
      </w:r>
      <w:r>
        <w:rPr>
          <w:rFonts w:ascii="Garamond" w:eastAsia="Palatino Linotype" w:hAnsi="Garamond" w:cs="Palatino Linotype"/>
        </w:rPr>
        <w:t>October</w:t>
      </w:r>
      <w:r w:rsidRPr="00891713">
        <w:rPr>
          <w:rFonts w:ascii="Garamond" w:eastAsia="Palatino Linotype" w:hAnsi="Garamond" w:cs="Palatino Linotype"/>
        </w:rPr>
        <w:t xml:space="preserve"> 2021, mutual funds deployed </w:t>
      </w:r>
      <w:r w:rsidRPr="00891713">
        <w:rPr>
          <w:rFonts w:ascii="Times New Roman" w:eastAsia="Palatino Linotype" w:hAnsi="Times New Roman"/>
        </w:rPr>
        <w:t>₹</w:t>
      </w:r>
      <w:r>
        <w:rPr>
          <w:rFonts w:ascii="Garamond" w:eastAsia="Palatino Linotype" w:hAnsi="Garamond"/>
        </w:rPr>
        <w:t>5,866</w:t>
      </w:r>
      <w:r w:rsidRPr="00891713">
        <w:rPr>
          <w:rFonts w:ascii="Garamond" w:eastAsia="Palatino Linotype" w:hAnsi="Garamond" w:cs="Palatino Linotype"/>
        </w:rPr>
        <w:t xml:space="preserve"> crore in equity schemes and </w:t>
      </w:r>
      <w:r w:rsidRPr="00891713">
        <w:rPr>
          <w:rFonts w:ascii="Times New Roman" w:eastAsia="Palatino Linotype" w:hAnsi="Times New Roman"/>
        </w:rPr>
        <w:t>₹</w:t>
      </w:r>
      <w:r>
        <w:rPr>
          <w:rFonts w:ascii="Garamond" w:eastAsia="Palatino Linotype" w:hAnsi="Garamond" w:cs="Palatino Linotype"/>
        </w:rPr>
        <w:t>1,865</w:t>
      </w:r>
      <w:r w:rsidRPr="00891713">
        <w:rPr>
          <w:rFonts w:ascii="Garamond" w:eastAsia="Palatino Linotype" w:hAnsi="Garamond" w:cs="Palatino Linotype"/>
        </w:rPr>
        <w:t xml:space="preserve"> crore in debt schemes. </w:t>
      </w:r>
    </w:p>
    <w:p w:rsidR="006A6CB3" w:rsidRPr="006A6CB3" w:rsidRDefault="006A6CB3" w:rsidP="00436B07">
      <w:pPr>
        <w:pBdr>
          <w:top w:val="nil"/>
          <w:left w:val="nil"/>
          <w:bottom w:val="nil"/>
          <w:right w:val="nil"/>
          <w:between w:val="nil"/>
        </w:pBdr>
        <w:spacing w:line="276" w:lineRule="auto"/>
        <w:ind w:left="720"/>
        <w:jc w:val="both"/>
        <w:rPr>
          <w:rFonts w:ascii="Garamond" w:eastAsia="Palatino Linotype" w:hAnsi="Garamond" w:cs="Palatino Linotype"/>
          <w:b/>
          <w:color w:val="2E74B5"/>
        </w:rPr>
      </w:pPr>
    </w:p>
    <w:p w:rsidR="00436B07" w:rsidRDefault="00436B07" w:rsidP="006A6CB3">
      <w:pPr>
        <w:pBdr>
          <w:top w:val="nil"/>
          <w:left w:val="nil"/>
          <w:bottom w:val="nil"/>
          <w:right w:val="nil"/>
          <w:between w:val="nil"/>
        </w:pBdr>
        <w:spacing w:line="276" w:lineRule="auto"/>
        <w:ind w:left="720" w:hanging="720"/>
        <w:jc w:val="center"/>
        <w:rPr>
          <w:rFonts w:ascii="Garamond" w:eastAsia="Palatino Linotype" w:hAnsi="Garamond" w:cs="Palatino Linotype"/>
          <w:b/>
        </w:rPr>
      </w:pPr>
    </w:p>
    <w:p w:rsidR="00436B07" w:rsidRDefault="00436B07" w:rsidP="006A6CB3">
      <w:pPr>
        <w:pBdr>
          <w:top w:val="nil"/>
          <w:left w:val="nil"/>
          <w:bottom w:val="nil"/>
          <w:right w:val="nil"/>
          <w:between w:val="nil"/>
        </w:pBdr>
        <w:spacing w:line="276" w:lineRule="auto"/>
        <w:ind w:left="720" w:hanging="720"/>
        <w:jc w:val="center"/>
        <w:rPr>
          <w:rFonts w:ascii="Garamond" w:eastAsia="Palatino Linotype" w:hAnsi="Garamond" w:cs="Palatino Linotype"/>
          <w:b/>
        </w:rPr>
      </w:pPr>
    </w:p>
    <w:p w:rsidR="00436B07" w:rsidRDefault="00436B07" w:rsidP="006A6CB3">
      <w:pPr>
        <w:pBdr>
          <w:top w:val="nil"/>
          <w:left w:val="nil"/>
          <w:bottom w:val="nil"/>
          <w:right w:val="nil"/>
          <w:between w:val="nil"/>
        </w:pBdr>
        <w:spacing w:line="276" w:lineRule="auto"/>
        <w:ind w:left="720" w:hanging="720"/>
        <w:jc w:val="center"/>
        <w:rPr>
          <w:rFonts w:ascii="Garamond" w:eastAsia="Palatino Linotype" w:hAnsi="Garamond" w:cs="Palatino Linotype"/>
          <w:b/>
        </w:rPr>
      </w:pPr>
    </w:p>
    <w:p w:rsidR="006A6CB3" w:rsidRPr="006A6CB3" w:rsidRDefault="006A6CB3" w:rsidP="006A6CB3">
      <w:pPr>
        <w:pBdr>
          <w:top w:val="nil"/>
          <w:left w:val="nil"/>
          <w:bottom w:val="nil"/>
          <w:right w:val="nil"/>
          <w:between w:val="nil"/>
        </w:pBdr>
        <w:spacing w:line="276" w:lineRule="auto"/>
        <w:ind w:left="720" w:hanging="720"/>
        <w:jc w:val="center"/>
        <w:rPr>
          <w:rFonts w:ascii="Garamond" w:eastAsia="Palatino Linotype" w:hAnsi="Garamond" w:cs="Palatino Linotype"/>
          <w:b/>
        </w:rPr>
      </w:pPr>
      <w:r w:rsidRPr="006A6CB3">
        <w:rPr>
          <w:rFonts w:ascii="Garamond" w:eastAsia="Palatino Linotype" w:hAnsi="Garamond" w:cs="Palatino Linotype"/>
          <w:b/>
        </w:rPr>
        <w:lastRenderedPageBreak/>
        <w:t>Figure 1</w:t>
      </w:r>
      <w:r w:rsidR="003A028D">
        <w:rPr>
          <w:rFonts w:ascii="Garamond" w:eastAsia="Palatino Linotype" w:hAnsi="Garamond" w:cs="Palatino Linotype"/>
          <w:b/>
        </w:rPr>
        <w:t>0</w:t>
      </w:r>
      <w:r w:rsidRPr="006A6CB3">
        <w:rPr>
          <w:rFonts w:ascii="Garamond" w:eastAsia="Palatino Linotype" w:hAnsi="Garamond" w:cs="Palatino Linotype"/>
          <w:b/>
        </w:rPr>
        <w:t>: Trends in Mutual Funds Transactions in Secondary Market (</w:t>
      </w:r>
      <w:r w:rsidRPr="006A6CB3">
        <w:rPr>
          <w:rFonts w:ascii="Times New Roman" w:eastAsia="Palatino Linotype" w:hAnsi="Times New Roman"/>
          <w:b/>
        </w:rPr>
        <w:t>₹</w:t>
      </w:r>
      <w:r w:rsidRPr="006A6CB3">
        <w:rPr>
          <w:rFonts w:ascii="Garamond" w:eastAsia="Palatino Linotype" w:hAnsi="Garamond" w:cs="Palatino Linotype"/>
          <w:b/>
        </w:rPr>
        <w:t xml:space="preserve"> crore)</w:t>
      </w:r>
    </w:p>
    <w:p w:rsidR="006A6CB3" w:rsidRPr="006A6CB3" w:rsidRDefault="00D23F20" w:rsidP="006A6CB3">
      <w:pPr>
        <w:pBdr>
          <w:top w:val="nil"/>
          <w:left w:val="nil"/>
          <w:bottom w:val="nil"/>
          <w:right w:val="nil"/>
          <w:between w:val="nil"/>
        </w:pBdr>
        <w:spacing w:line="276" w:lineRule="auto"/>
        <w:ind w:left="720" w:hanging="720"/>
        <w:jc w:val="center"/>
        <w:rPr>
          <w:rFonts w:ascii="Garamond" w:eastAsia="Palatino Linotype" w:hAnsi="Garamond" w:cs="Palatino Linotype"/>
          <w:b/>
        </w:rPr>
      </w:pPr>
      <w:r>
        <w:rPr>
          <w:noProof/>
          <w:lang w:val="en-IN" w:eastAsia="en-IN" w:bidi="hi-IN"/>
        </w:rPr>
        <w:drawing>
          <wp:inline distT="0" distB="0" distL="0" distR="0" wp14:anchorId="620D92B0" wp14:editId="3DC162F3">
            <wp:extent cx="5410200" cy="3038475"/>
            <wp:effectExtent l="0" t="0" r="0" b="9525"/>
            <wp:docPr id="14" name="Chart 14">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A6CB3" w:rsidRPr="006A6CB3" w:rsidRDefault="006A6CB3" w:rsidP="004A1B8E">
      <w:pPr>
        <w:pBdr>
          <w:top w:val="nil"/>
          <w:left w:val="nil"/>
          <w:bottom w:val="nil"/>
          <w:right w:val="nil"/>
          <w:between w:val="nil"/>
        </w:pBdr>
        <w:spacing w:line="276" w:lineRule="auto"/>
        <w:rPr>
          <w:rFonts w:ascii="Garamond" w:eastAsia="Palatino Linotype" w:hAnsi="Garamond" w:cs="Palatino Linotype"/>
          <w:b/>
        </w:rPr>
      </w:pPr>
    </w:p>
    <w:p w:rsidR="006A6CB3" w:rsidRPr="006A6CB3" w:rsidRDefault="006A6CB3" w:rsidP="006A6CB3">
      <w:pPr>
        <w:widowControl w:val="0"/>
        <w:numPr>
          <w:ilvl w:val="0"/>
          <w:numId w:val="4"/>
        </w:numPr>
        <w:tabs>
          <w:tab w:val="left" w:pos="0"/>
        </w:tabs>
        <w:spacing w:line="276" w:lineRule="auto"/>
        <w:ind w:left="567" w:hanging="567"/>
        <w:jc w:val="both"/>
        <w:rPr>
          <w:rFonts w:ascii="Garamond" w:eastAsia="Palatino Linotype" w:hAnsi="Garamond" w:cs="Palatino Linotype"/>
          <w:b/>
        </w:rPr>
      </w:pPr>
      <w:r w:rsidRPr="006A6CB3">
        <w:rPr>
          <w:rFonts w:ascii="Garamond" w:eastAsia="Palatino Linotype" w:hAnsi="Garamond" w:cs="Palatino Linotype"/>
          <w:b/>
        </w:rPr>
        <w:t>Trends in Investments by the Foreign Portfolio Investors (FPIs)</w:t>
      </w:r>
    </w:p>
    <w:p w:rsidR="006A6CB3" w:rsidRPr="006A6CB3" w:rsidRDefault="006A6CB3" w:rsidP="006A6CB3">
      <w:pPr>
        <w:widowControl w:val="0"/>
        <w:tabs>
          <w:tab w:val="left" w:pos="0"/>
        </w:tabs>
        <w:spacing w:line="276" w:lineRule="auto"/>
        <w:ind w:left="360"/>
        <w:jc w:val="both"/>
        <w:rPr>
          <w:rFonts w:ascii="Garamond" w:eastAsia="Palatino Linotype" w:hAnsi="Garamond" w:cs="Palatino Linotype"/>
          <w:b/>
        </w:rPr>
      </w:pPr>
    </w:p>
    <w:p w:rsidR="00D23F20" w:rsidRDefault="00D23F20" w:rsidP="00D23F20">
      <w:pPr>
        <w:numPr>
          <w:ilvl w:val="0"/>
          <w:numId w:val="1"/>
        </w:numPr>
        <w:pBdr>
          <w:between w:val="nil"/>
        </w:pBdr>
        <w:ind w:left="714" w:hanging="357"/>
        <w:jc w:val="both"/>
        <w:rPr>
          <w:rFonts w:ascii="Garamond" w:eastAsia="Palatino Linotype" w:hAnsi="Garamond" w:cs="Palatino Linotype"/>
        </w:rPr>
      </w:pPr>
      <w:r w:rsidRPr="00891713">
        <w:rPr>
          <w:rFonts w:ascii="Garamond" w:eastAsia="Palatino Linotype" w:hAnsi="Garamond" w:cs="Palatino Linotype"/>
        </w:rPr>
        <w:t xml:space="preserve">During </w:t>
      </w:r>
      <w:r>
        <w:rPr>
          <w:rFonts w:ascii="Garamond" w:eastAsia="Palatino Linotype" w:hAnsi="Garamond" w:cs="Palatino Linotype"/>
        </w:rPr>
        <w:t>October</w:t>
      </w:r>
      <w:r w:rsidRPr="00891713">
        <w:rPr>
          <w:rFonts w:ascii="Garamond" w:eastAsia="Palatino Linotype" w:hAnsi="Garamond" w:cs="Palatino Linotype"/>
        </w:rPr>
        <w:t xml:space="preserve"> 2021, FPIs </w:t>
      </w:r>
      <w:r>
        <w:rPr>
          <w:rFonts w:ascii="Garamond" w:eastAsia="Palatino Linotype" w:hAnsi="Garamond" w:cs="Palatino Linotype"/>
        </w:rPr>
        <w:t>withdrew</w:t>
      </w:r>
      <w:r w:rsidRPr="00891713">
        <w:rPr>
          <w:rFonts w:ascii="Garamond" w:eastAsia="Palatino Linotype" w:hAnsi="Garamond" w:cs="Palatino Linotype"/>
        </w:rPr>
        <w:t xml:space="preserve"> </w:t>
      </w:r>
      <w:r w:rsidRPr="00891713">
        <w:rPr>
          <w:rFonts w:ascii="Times New Roman" w:eastAsia="Palatino Linotype" w:hAnsi="Times New Roman"/>
        </w:rPr>
        <w:t>₹</w:t>
      </w:r>
      <w:r>
        <w:rPr>
          <w:rFonts w:ascii="Garamond" w:eastAsia="Palatino Linotype" w:hAnsi="Garamond" w:cs="Palatino Linotype"/>
        </w:rPr>
        <w:t xml:space="preserve">12,437 crore from </w:t>
      </w:r>
      <w:r w:rsidRPr="00891713">
        <w:rPr>
          <w:rFonts w:ascii="Garamond" w:eastAsia="Palatino Linotype" w:hAnsi="Garamond" w:cs="Palatino Linotype"/>
        </w:rPr>
        <w:t>the Indian securities market, highest for</w:t>
      </w:r>
      <w:r w:rsidR="00EC47E2">
        <w:rPr>
          <w:rFonts w:ascii="Garamond" w:eastAsia="Palatino Linotype" w:hAnsi="Garamond" w:cs="Palatino Linotype"/>
        </w:rPr>
        <w:t xml:space="preserve"> a month</w:t>
      </w:r>
      <w:r w:rsidRPr="00891713">
        <w:rPr>
          <w:rFonts w:ascii="Garamond" w:eastAsia="Palatino Linotype" w:hAnsi="Garamond" w:cs="Palatino Linotype"/>
        </w:rPr>
        <w:t xml:space="preserve"> </w:t>
      </w:r>
      <w:r w:rsidR="00EC47E2">
        <w:rPr>
          <w:rFonts w:ascii="Garamond" w:eastAsia="Palatino Linotype" w:hAnsi="Garamond" w:cs="Palatino Linotype"/>
        </w:rPr>
        <w:t xml:space="preserve">in </w:t>
      </w:r>
      <w:r w:rsidRPr="00891713">
        <w:rPr>
          <w:rFonts w:ascii="Garamond" w:eastAsia="Palatino Linotype" w:hAnsi="Garamond" w:cs="Palatino Linotype"/>
        </w:rPr>
        <w:t xml:space="preserve">this financial year so far </w:t>
      </w:r>
      <w:r>
        <w:rPr>
          <w:rFonts w:ascii="Garamond" w:eastAsia="Palatino Linotype" w:hAnsi="Garamond" w:cs="Palatino Linotype"/>
        </w:rPr>
        <w:t>(April-October</w:t>
      </w:r>
      <w:r w:rsidRPr="00891713">
        <w:rPr>
          <w:rFonts w:ascii="Garamond" w:eastAsia="Palatino Linotype" w:hAnsi="Garamond" w:cs="Palatino Linotype"/>
        </w:rPr>
        <w:t xml:space="preserve"> 2021), </w:t>
      </w:r>
      <w:r>
        <w:rPr>
          <w:rFonts w:ascii="Garamond" w:eastAsia="Palatino Linotype" w:hAnsi="Garamond" w:cs="Palatino Linotype"/>
        </w:rPr>
        <w:t xml:space="preserve">despite being preceded by strong </w:t>
      </w:r>
      <w:r w:rsidRPr="00891713">
        <w:rPr>
          <w:rFonts w:ascii="Garamond" w:eastAsia="Palatino Linotype" w:hAnsi="Garamond" w:cs="Palatino Linotype"/>
        </w:rPr>
        <w:t>inflow</w:t>
      </w:r>
      <w:r>
        <w:rPr>
          <w:rFonts w:ascii="Garamond" w:eastAsia="Palatino Linotype" w:hAnsi="Garamond" w:cs="Palatino Linotype"/>
        </w:rPr>
        <w:t xml:space="preserve"> of </w:t>
      </w:r>
      <w:r w:rsidRPr="00891713">
        <w:rPr>
          <w:rFonts w:ascii="Times New Roman" w:eastAsia="Palatino Linotype" w:hAnsi="Times New Roman"/>
        </w:rPr>
        <w:t>₹</w:t>
      </w:r>
      <w:r w:rsidRPr="00891713">
        <w:rPr>
          <w:rFonts w:ascii="Garamond" w:eastAsia="Palatino Linotype" w:hAnsi="Garamond"/>
        </w:rPr>
        <w:t xml:space="preserve"> </w:t>
      </w:r>
      <w:r>
        <w:rPr>
          <w:rFonts w:ascii="Garamond" w:eastAsia="Palatino Linotype" w:hAnsi="Garamond"/>
        </w:rPr>
        <w:t>27,756 crore</w:t>
      </w:r>
      <w:r w:rsidRPr="00891713">
        <w:rPr>
          <w:rFonts w:ascii="Garamond" w:eastAsia="Palatino Linotype" w:hAnsi="Garamond" w:cs="Palatino Linotype"/>
        </w:rPr>
        <w:t xml:space="preserve"> in the month of Sept</w:t>
      </w:r>
      <w:r w:rsidR="00EC47E2">
        <w:rPr>
          <w:rFonts w:ascii="Garamond" w:eastAsia="Palatino Linotype" w:hAnsi="Garamond" w:cs="Palatino Linotype"/>
        </w:rPr>
        <w:t xml:space="preserve">ember </w:t>
      </w:r>
      <w:r w:rsidRPr="00891713">
        <w:rPr>
          <w:rFonts w:ascii="Garamond" w:eastAsia="Palatino Linotype" w:hAnsi="Garamond" w:cs="Palatino Linotype"/>
        </w:rPr>
        <w:t>2021</w:t>
      </w:r>
      <w:r>
        <w:rPr>
          <w:rFonts w:ascii="Garamond" w:eastAsia="Palatino Linotype" w:hAnsi="Garamond" w:cs="Palatino Linotype"/>
        </w:rPr>
        <w:t>.</w:t>
      </w:r>
      <w:r w:rsidRPr="00891713">
        <w:rPr>
          <w:rFonts w:ascii="Garamond" w:eastAsia="Palatino Linotype" w:hAnsi="Garamond" w:cs="Palatino Linotype"/>
        </w:rPr>
        <w:t xml:space="preserve"> </w:t>
      </w:r>
    </w:p>
    <w:p w:rsidR="00D23F20" w:rsidRPr="00184B8F" w:rsidRDefault="00D23F20" w:rsidP="00D23F20">
      <w:pPr>
        <w:numPr>
          <w:ilvl w:val="0"/>
          <w:numId w:val="1"/>
        </w:numPr>
        <w:pBdr>
          <w:between w:val="nil"/>
        </w:pBdr>
        <w:ind w:left="714" w:hanging="357"/>
        <w:jc w:val="both"/>
        <w:rPr>
          <w:rFonts w:ascii="Garamond" w:eastAsia="Palatino Linotype" w:hAnsi="Garamond" w:cs="Palatino Linotype"/>
        </w:rPr>
      </w:pPr>
      <w:r w:rsidRPr="00184B8F">
        <w:rPr>
          <w:rFonts w:ascii="Garamond" w:eastAsia="Palatino Linotype" w:hAnsi="Garamond" w:cs="Palatino Linotype"/>
        </w:rPr>
        <w:t xml:space="preserve">Of the total net outflows in October 2021, outflow of </w:t>
      </w:r>
      <w:r w:rsidRPr="00184B8F">
        <w:rPr>
          <w:rFonts w:ascii="Times New Roman" w:eastAsia="Palatino Linotype" w:hAnsi="Times New Roman"/>
        </w:rPr>
        <w:t>₹</w:t>
      </w:r>
      <w:r w:rsidRPr="00184B8F">
        <w:rPr>
          <w:rFonts w:ascii="Garamond" w:eastAsia="Palatino Linotype" w:hAnsi="Garamond" w:cs="Palatino Linotype"/>
        </w:rPr>
        <w:t xml:space="preserve">13,550 crore was recorded in equity </w:t>
      </w:r>
      <w:r w:rsidR="00EC47E2">
        <w:rPr>
          <w:rFonts w:ascii="Garamond" w:eastAsia="Palatino Linotype" w:hAnsi="Garamond" w:cs="Palatino Linotype"/>
        </w:rPr>
        <w:t>segment ,</w:t>
      </w:r>
      <w:r w:rsidR="00EC47E2" w:rsidRPr="00184B8F">
        <w:rPr>
          <w:rFonts w:ascii="Garamond" w:eastAsia="Palatino Linotype" w:hAnsi="Garamond" w:cs="Palatino Linotype"/>
        </w:rPr>
        <w:t xml:space="preserve"> </w:t>
      </w:r>
      <w:r w:rsidRPr="00184B8F">
        <w:rPr>
          <w:rFonts w:ascii="Times New Roman" w:eastAsia="Palatino Linotype" w:hAnsi="Times New Roman"/>
        </w:rPr>
        <w:t>₹</w:t>
      </w:r>
      <w:r w:rsidRPr="00184B8F">
        <w:rPr>
          <w:rFonts w:ascii="Garamond" w:eastAsia="Palatino Linotype" w:hAnsi="Garamond"/>
        </w:rPr>
        <w:t xml:space="preserve"> 1,558 </w:t>
      </w:r>
      <w:r w:rsidRPr="00184B8F">
        <w:rPr>
          <w:rFonts w:ascii="Garamond" w:eastAsia="Palatino Linotype" w:hAnsi="Garamond" w:cs="Palatino Linotype"/>
        </w:rPr>
        <w:t xml:space="preserve">crore in debt securities </w:t>
      </w:r>
      <w:r w:rsidR="00EC47E2">
        <w:rPr>
          <w:rFonts w:ascii="Garamond" w:eastAsia="Palatino Linotype" w:hAnsi="Garamond" w:cs="Palatino Linotype"/>
        </w:rPr>
        <w:t xml:space="preserve">and </w:t>
      </w:r>
      <w:r w:rsidRPr="00184B8F">
        <w:rPr>
          <w:rFonts w:ascii="Garamond" w:eastAsia="Palatino Linotype" w:hAnsi="Garamond" w:cs="Palatino Linotype"/>
        </w:rPr>
        <w:t xml:space="preserve"> </w:t>
      </w:r>
      <w:r w:rsidRPr="00184B8F">
        <w:rPr>
          <w:rFonts w:ascii="Times New Roman" w:eastAsia="Palatino Linotype" w:hAnsi="Times New Roman"/>
        </w:rPr>
        <w:t>₹</w:t>
      </w:r>
      <w:r w:rsidRPr="00184B8F">
        <w:rPr>
          <w:rFonts w:ascii="Garamond" w:eastAsia="Palatino Linotype" w:hAnsi="Garamond"/>
        </w:rPr>
        <w:t xml:space="preserve"> 159 crore in hybrid securities </w:t>
      </w:r>
      <w:r w:rsidR="00EC47E2">
        <w:rPr>
          <w:rFonts w:ascii="Garamond" w:eastAsia="Palatino Linotype" w:hAnsi="Garamond"/>
        </w:rPr>
        <w:t xml:space="preserve">. </w:t>
      </w:r>
      <w:r w:rsidR="00EC47E2" w:rsidRPr="00184B8F">
        <w:rPr>
          <w:rFonts w:ascii="Garamond" w:eastAsia="Palatino Linotype" w:hAnsi="Garamond"/>
        </w:rPr>
        <w:t xml:space="preserve"> </w:t>
      </w:r>
      <w:r w:rsidR="00EC47E2">
        <w:rPr>
          <w:rFonts w:ascii="Garamond" w:eastAsia="Palatino Linotype" w:hAnsi="Garamond"/>
        </w:rPr>
        <w:t>N</w:t>
      </w:r>
      <w:r w:rsidR="00EC47E2" w:rsidRPr="00184B8F">
        <w:rPr>
          <w:rFonts w:ascii="Garamond" w:eastAsia="Palatino Linotype" w:hAnsi="Garamond"/>
        </w:rPr>
        <w:t xml:space="preserve">et </w:t>
      </w:r>
      <w:r w:rsidR="00EC47E2">
        <w:rPr>
          <w:rFonts w:ascii="Garamond" w:eastAsia="Palatino Linotype" w:hAnsi="Garamond"/>
        </w:rPr>
        <w:t xml:space="preserve">FPI </w:t>
      </w:r>
      <w:r w:rsidRPr="00184B8F">
        <w:rPr>
          <w:rFonts w:ascii="Garamond" w:eastAsia="Palatino Linotype" w:hAnsi="Garamond" w:cs="Palatino Linotype"/>
        </w:rPr>
        <w:t xml:space="preserve">inflow of </w:t>
      </w:r>
      <w:r w:rsidRPr="00184B8F">
        <w:rPr>
          <w:rFonts w:ascii="Times New Roman" w:eastAsia="Palatino Linotype" w:hAnsi="Times New Roman"/>
        </w:rPr>
        <w:t>₹</w:t>
      </w:r>
      <w:r w:rsidRPr="00184B8F">
        <w:rPr>
          <w:rFonts w:ascii="Garamond" w:eastAsia="Palatino Linotype" w:hAnsi="Garamond" w:cs="Palatino Linotype"/>
        </w:rPr>
        <w:t xml:space="preserve"> 2,830 crore </w:t>
      </w:r>
      <w:r w:rsidR="00EC47E2">
        <w:rPr>
          <w:rFonts w:ascii="Garamond" w:eastAsia="Palatino Linotype" w:hAnsi="Garamond" w:cs="Palatino Linotype"/>
        </w:rPr>
        <w:t xml:space="preserve">was recorded </w:t>
      </w:r>
      <w:r w:rsidRPr="00184B8F">
        <w:rPr>
          <w:rFonts w:ascii="Garamond" w:eastAsia="Palatino Linotype" w:hAnsi="Garamond" w:cs="Palatino Linotype"/>
        </w:rPr>
        <w:t>via debt-voluntary retention route.</w:t>
      </w:r>
    </w:p>
    <w:p w:rsidR="00D23F20" w:rsidRPr="00AD4F7A" w:rsidRDefault="00D23F20" w:rsidP="00D23F20">
      <w:pPr>
        <w:numPr>
          <w:ilvl w:val="0"/>
          <w:numId w:val="1"/>
        </w:numPr>
        <w:pBdr>
          <w:between w:val="nil"/>
        </w:pBdr>
        <w:ind w:left="714" w:hanging="357"/>
        <w:jc w:val="both"/>
        <w:rPr>
          <w:rFonts w:ascii="Garamond" w:eastAsia="Palatino Linotype" w:hAnsi="Garamond" w:cs="Palatino Linotype"/>
        </w:rPr>
      </w:pPr>
      <w:r w:rsidRPr="00184B8F">
        <w:rPr>
          <w:rFonts w:ascii="Garamond" w:eastAsia="Palatino Linotype" w:hAnsi="Garamond" w:cs="Palatino Linotype"/>
        </w:rPr>
        <w:t xml:space="preserve">The </w:t>
      </w:r>
      <w:r w:rsidRPr="00184B8F">
        <w:rPr>
          <w:rFonts w:ascii="Garamond" w:eastAsia="Palatino Linotype" w:hAnsi="Garamond" w:cs="Palatino Linotype"/>
          <w:color w:val="000000"/>
        </w:rPr>
        <w:t xml:space="preserve">assets of FPIs in India, as at the end of </w:t>
      </w:r>
      <w:r>
        <w:rPr>
          <w:rFonts w:ascii="Garamond" w:eastAsia="Palatino Linotype" w:hAnsi="Garamond" w:cs="Palatino Linotype"/>
          <w:color w:val="000000"/>
        </w:rPr>
        <w:t>October</w:t>
      </w:r>
      <w:r w:rsidRPr="00184B8F">
        <w:rPr>
          <w:rFonts w:ascii="Garamond" w:eastAsia="Palatino Linotype" w:hAnsi="Garamond" w:cs="Palatino Linotype"/>
          <w:color w:val="000000"/>
        </w:rPr>
        <w:t xml:space="preserve"> 2021 was </w:t>
      </w:r>
      <w:r w:rsidRPr="00184B8F">
        <w:rPr>
          <w:rFonts w:ascii="Times New Roman" w:eastAsia="Palatino Linotype" w:hAnsi="Times New Roman"/>
          <w:color w:val="000000"/>
        </w:rPr>
        <w:t>₹</w:t>
      </w:r>
      <w:r>
        <w:rPr>
          <w:rFonts w:ascii="Garamond" w:eastAsia="Palatino Linotype" w:hAnsi="Garamond" w:cs="Palatino Linotype"/>
          <w:color w:val="000000"/>
        </w:rPr>
        <w:t>53,60,300</w:t>
      </w:r>
      <w:r w:rsidRPr="00184B8F">
        <w:rPr>
          <w:rFonts w:ascii="Garamond" w:eastAsia="Palatino Linotype" w:hAnsi="Garamond" w:cs="Palatino Linotype"/>
          <w:color w:val="000000"/>
        </w:rPr>
        <w:t xml:space="preserve"> crore, out of which the notional value of offshore derivative instruments (ODIs) (including ODIs on derivatives) was </w:t>
      </w:r>
      <w:r w:rsidRPr="00184B8F">
        <w:rPr>
          <w:rFonts w:ascii="Times New Roman" w:eastAsia="Palatino Linotype" w:hAnsi="Times New Roman"/>
          <w:color w:val="000000"/>
        </w:rPr>
        <w:t>₹</w:t>
      </w:r>
      <w:r w:rsidRPr="00184B8F">
        <w:rPr>
          <w:rFonts w:ascii="Garamond" w:eastAsia="Palatino Linotype" w:hAnsi="Garamond"/>
          <w:color w:val="000000"/>
        </w:rPr>
        <w:t xml:space="preserve"> </w:t>
      </w:r>
      <w:r>
        <w:rPr>
          <w:rFonts w:ascii="Garamond" w:eastAsia="Palatino Linotype" w:hAnsi="Garamond" w:cs="Palatino Linotype"/>
        </w:rPr>
        <w:t>1,02,553</w:t>
      </w:r>
      <w:r w:rsidRPr="00184B8F">
        <w:rPr>
          <w:rFonts w:ascii="Garamond" w:eastAsia="Palatino Linotype" w:hAnsi="Garamond" w:cs="Palatino Linotype"/>
        </w:rPr>
        <w:t xml:space="preserve"> </w:t>
      </w:r>
      <w:r>
        <w:rPr>
          <w:rFonts w:ascii="Garamond" w:eastAsia="Palatino Linotype" w:hAnsi="Garamond" w:cs="Palatino Linotype"/>
          <w:color w:val="000000"/>
        </w:rPr>
        <w:t>crore which constitutes 1.91</w:t>
      </w:r>
      <w:r w:rsidRPr="00184B8F">
        <w:rPr>
          <w:rFonts w:ascii="Garamond" w:eastAsia="Palatino Linotype" w:hAnsi="Garamond" w:cs="Palatino Linotype"/>
          <w:color w:val="000000"/>
        </w:rPr>
        <w:t xml:space="preserve"> per cent of total assets under custody of FPIs.  </w:t>
      </w:r>
    </w:p>
    <w:p w:rsidR="006A6CB3" w:rsidRPr="006A6CB3" w:rsidRDefault="006A6CB3" w:rsidP="006A6CB3">
      <w:pPr>
        <w:pBdr>
          <w:top w:val="nil"/>
          <w:left w:val="nil"/>
          <w:bottom w:val="nil"/>
          <w:right w:val="nil"/>
          <w:between w:val="nil"/>
        </w:pBdr>
        <w:spacing w:line="276" w:lineRule="auto"/>
        <w:ind w:left="720"/>
        <w:rPr>
          <w:rFonts w:ascii="Garamond" w:eastAsia="Palatino Linotype" w:hAnsi="Garamond" w:cs="Palatino Linotype"/>
          <w:b/>
        </w:rPr>
      </w:pPr>
    </w:p>
    <w:p w:rsidR="006A6CB3" w:rsidRPr="006A6CB3" w:rsidRDefault="006A6CB3" w:rsidP="006A6CB3">
      <w:pPr>
        <w:pBdr>
          <w:top w:val="nil"/>
          <w:left w:val="nil"/>
          <w:bottom w:val="nil"/>
          <w:right w:val="nil"/>
          <w:between w:val="nil"/>
        </w:pBdr>
        <w:spacing w:line="276" w:lineRule="auto"/>
        <w:ind w:left="720"/>
        <w:rPr>
          <w:rFonts w:ascii="Garamond" w:eastAsia="Palatino Linotype" w:hAnsi="Garamond" w:cs="Palatino Linotype"/>
          <w:b/>
        </w:rPr>
      </w:pPr>
      <w:r w:rsidRPr="006A6CB3">
        <w:rPr>
          <w:rFonts w:ascii="Garamond" w:eastAsia="Palatino Linotype" w:hAnsi="Garamond" w:cs="Palatino Linotype"/>
          <w:b/>
        </w:rPr>
        <w:t>Figure 1</w:t>
      </w:r>
      <w:r w:rsidR="003A028D">
        <w:rPr>
          <w:rFonts w:ascii="Garamond" w:eastAsia="Palatino Linotype" w:hAnsi="Garamond" w:cs="Palatino Linotype"/>
          <w:b/>
        </w:rPr>
        <w:t>1</w:t>
      </w:r>
      <w:r w:rsidRPr="006A6CB3">
        <w:rPr>
          <w:rFonts w:ascii="Garamond" w:eastAsia="Palatino Linotype" w:hAnsi="Garamond" w:cs="Palatino Linotype"/>
          <w:b/>
        </w:rPr>
        <w:t>: Trends in FPIs’ Investments</w:t>
      </w:r>
    </w:p>
    <w:p w:rsidR="006A6CB3" w:rsidRPr="006A6CB3" w:rsidRDefault="00D23F20" w:rsidP="006A6CB3">
      <w:pPr>
        <w:pBdr>
          <w:top w:val="nil"/>
          <w:left w:val="nil"/>
          <w:bottom w:val="nil"/>
          <w:right w:val="nil"/>
          <w:between w:val="nil"/>
        </w:pBdr>
        <w:spacing w:line="276" w:lineRule="auto"/>
        <w:jc w:val="center"/>
        <w:rPr>
          <w:rFonts w:ascii="Garamond" w:eastAsia="Palatino Linotype" w:hAnsi="Garamond" w:cs="Palatino Linotype"/>
          <w:b/>
        </w:rPr>
      </w:pPr>
      <w:r>
        <w:rPr>
          <w:noProof/>
          <w:lang w:val="en-IN" w:eastAsia="en-IN" w:bidi="hi-IN"/>
        </w:rPr>
        <w:drawing>
          <wp:inline distT="0" distB="0" distL="0" distR="0" wp14:anchorId="636F4160" wp14:editId="3E2BE315">
            <wp:extent cx="5419725" cy="2438400"/>
            <wp:effectExtent l="0" t="0" r="9525" b="0"/>
            <wp:docPr id="15" name="Chart 15">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36B07" w:rsidRPr="000C6BCB" w:rsidRDefault="006A6CB3" w:rsidP="000C6BCB">
      <w:pPr>
        <w:ind w:left="567"/>
        <w:rPr>
          <w:rFonts w:ascii="Garamond" w:eastAsia="Palatino Linotype" w:hAnsi="Garamond" w:cs="Palatino Linotype"/>
          <w:b/>
          <w:sz w:val="22"/>
          <w:szCs w:val="22"/>
        </w:rPr>
      </w:pPr>
      <w:r w:rsidRPr="00D87E25">
        <w:rPr>
          <w:rFonts w:ascii="Garamond" w:eastAsia="Palatino Linotype" w:hAnsi="Garamond" w:cs="Palatino Linotype"/>
          <w:b/>
          <w:sz w:val="22"/>
          <w:szCs w:val="22"/>
        </w:rPr>
        <w:t xml:space="preserve">Source: </w:t>
      </w:r>
      <w:r w:rsidR="000C6BCB">
        <w:rPr>
          <w:rFonts w:ascii="Garamond" w:eastAsia="Palatino Linotype" w:hAnsi="Garamond" w:cs="Palatino Linotype"/>
          <w:bCs/>
          <w:sz w:val="22"/>
          <w:szCs w:val="22"/>
        </w:rPr>
        <w:t>NSDL</w:t>
      </w:r>
    </w:p>
    <w:p w:rsidR="00436B07" w:rsidRPr="006A6CB3" w:rsidRDefault="00436B07" w:rsidP="006A6CB3">
      <w:pPr>
        <w:pBdr>
          <w:top w:val="nil"/>
          <w:left w:val="nil"/>
          <w:bottom w:val="nil"/>
          <w:right w:val="nil"/>
          <w:between w:val="nil"/>
        </w:pBdr>
        <w:spacing w:line="276" w:lineRule="auto"/>
        <w:jc w:val="center"/>
        <w:rPr>
          <w:rFonts w:ascii="Garamond" w:eastAsia="Palatino Linotype" w:hAnsi="Garamond" w:cs="Palatino Linotype"/>
          <w:b/>
          <w:color w:val="2E74B5"/>
        </w:rPr>
      </w:pPr>
    </w:p>
    <w:p w:rsidR="006A6CB3" w:rsidRPr="006A6CB3" w:rsidRDefault="006A6CB3" w:rsidP="006A6CB3">
      <w:pPr>
        <w:widowControl w:val="0"/>
        <w:numPr>
          <w:ilvl w:val="0"/>
          <w:numId w:val="2"/>
        </w:numPr>
        <w:spacing w:line="276" w:lineRule="auto"/>
        <w:ind w:left="567" w:hanging="567"/>
        <w:jc w:val="both"/>
        <w:rPr>
          <w:rFonts w:ascii="Garamond" w:eastAsia="Palatino Linotype" w:hAnsi="Garamond" w:cs="Palatino Linotype"/>
          <w:b/>
          <w:color w:val="222A35"/>
        </w:rPr>
      </w:pPr>
      <w:bookmarkStart w:id="74" w:name="_30j0zll" w:colFirst="0" w:colLast="0"/>
      <w:bookmarkEnd w:id="74"/>
      <w:r w:rsidRPr="006A6CB3">
        <w:rPr>
          <w:rFonts w:ascii="Garamond" w:eastAsia="Palatino Linotype" w:hAnsi="Garamond" w:cs="Palatino Linotype"/>
          <w:b/>
          <w:color w:val="222A35"/>
        </w:rPr>
        <w:t xml:space="preserve">Trends in Portfolio Management Services </w:t>
      </w:r>
    </w:p>
    <w:p w:rsidR="006A6CB3" w:rsidRPr="006A6CB3" w:rsidRDefault="006A6CB3" w:rsidP="006A6CB3">
      <w:pPr>
        <w:pBdr>
          <w:top w:val="nil"/>
          <w:left w:val="nil"/>
          <w:bottom w:val="nil"/>
          <w:right w:val="nil"/>
          <w:between w:val="nil"/>
        </w:pBdr>
        <w:spacing w:line="276" w:lineRule="auto"/>
        <w:ind w:left="720"/>
        <w:jc w:val="both"/>
        <w:rPr>
          <w:rFonts w:ascii="Garamond" w:eastAsia="Palatino Linotype" w:hAnsi="Garamond" w:cs="Palatino Linotype"/>
          <w:color w:val="000000" w:themeColor="text1"/>
        </w:rPr>
      </w:pPr>
    </w:p>
    <w:p w:rsidR="00D23F20" w:rsidRPr="00D23F20" w:rsidRDefault="00D23F20" w:rsidP="00D23F20">
      <w:pPr>
        <w:numPr>
          <w:ilvl w:val="0"/>
          <w:numId w:val="1"/>
        </w:numPr>
        <w:pBdr>
          <w:between w:val="nil"/>
        </w:pBdr>
        <w:ind w:left="714" w:hanging="357"/>
        <w:jc w:val="both"/>
        <w:rPr>
          <w:rFonts w:ascii="Garamond" w:eastAsia="Palatino Linotype" w:hAnsi="Garamond" w:cs="Palatino Linotype"/>
        </w:rPr>
      </w:pPr>
      <w:r w:rsidRPr="00D23F20">
        <w:rPr>
          <w:rFonts w:ascii="Garamond" w:eastAsia="Palatino Linotype" w:hAnsi="Garamond" w:cs="Palatino Linotype"/>
        </w:rPr>
        <w:t xml:space="preserve">As at end of October 2021, AUM of the portfolio management industry stood at </w:t>
      </w:r>
      <w:r w:rsidRPr="00D23F20">
        <w:rPr>
          <w:rFonts w:ascii="Times New Roman" w:eastAsia="Palatino Linotype" w:hAnsi="Times New Roman"/>
        </w:rPr>
        <w:t>₹</w:t>
      </w:r>
      <w:r w:rsidRPr="00D23F20">
        <w:rPr>
          <w:rFonts w:ascii="Garamond" w:eastAsia="Palatino Linotype" w:hAnsi="Garamond" w:cs="Palatino Linotype"/>
        </w:rPr>
        <w:t xml:space="preserve"> 22.74 lakh crore as compared to </w:t>
      </w:r>
      <w:r w:rsidRPr="00D23F20">
        <w:rPr>
          <w:rFonts w:ascii="Times New Roman" w:eastAsia="Palatino Linotype" w:hAnsi="Times New Roman"/>
        </w:rPr>
        <w:t>₹</w:t>
      </w:r>
      <w:r w:rsidRPr="00D23F20">
        <w:rPr>
          <w:rFonts w:ascii="Garamond" w:eastAsia="Palatino Linotype" w:hAnsi="Garamond" w:cs="Palatino Linotype"/>
        </w:rPr>
        <w:t>22.48 lakh crore at the end of September 2021. On a year</w:t>
      </w:r>
      <w:r w:rsidR="006B52CA">
        <w:rPr>
          <w:rFonts w:ascii="Garamond" w:eastAsia="Palatino Linotype" w:hAnsi="Garamond" w:cs="Palatino Linotype"/>
        </w:rPr>
        <w:t>-</w:t>
      </w:r>
      <w:r w:rsidRPr="00D23F20">
        <w:rPr>
          <w:rFonts w:ascii="Garamond" w:eastAsia="Palatino Linotype" w:hAnsi="Garamond" w:cs="Palatino Linotype"/>
        </w:rPr>
        <w:t>on</w:t>
      </w:r>
      <w:r w:rsidR="006B52CA">
        <w:rPr>
          <w:rFonts w:ascii="Garamond" w:eastAsia="Palatino Linotype" w:hAnsi="Garamond" w:cs="Palatino Linotype"/>
        </w:rPr>
        <w:t>-</w:t>
      </w:r>
      <w:r w:rsidRPr="00D23F20">
        <w:rPr>
          <w:rFonts w:ascii="Garamond" w:eastAsia="Palatino Linotype" w:hAnsi="Garamond" w:cs="Palatino Linotype"/>
        </w:rPr>
        <w:t>year basis the total AUM of portfolio management services witnessed a growth of 18</w:t>
      </w:r>
      <w:r w:rsidR="006B52CA">
        <w:rPr>
          <w:rFonts w:ascii="Garamond" w:eastAsia="Palatino Linotype" w:hAnsi="Garamond" w:cs="Palatino Linotype"/>
        </w:rPr>
        <w:t>.3</w:t>
      </w:r>
      <w:r w:rsidRPr="00D23F20">
        <w:rPr>
          <w:rFonts w:ascii="Garamond" w:eastAsia="Palatino Linotype" w:hAnsi="Garamond" w:cs="Palatino Linotype"/>
        </w:rPr>
        <w:t xml:space="preserve"> per cent. </w:t>
      </w:r>
    </w:p>
    <w:p w:rsidR="00D23F20" w:rsidRDefault="00D23F20" w:rsidP="00D23F20">
      <w:pPr>
        <w:numPr>
          <w:ilvl w:val="0"/>
          <w:numId w:val="1"/>
        </w:numPr>
        <w:pBdr>
          <w:between w:val="nil"/>
        </w:pBdr>
        <w:ind w:left="714" w:hanging="357"/>
        <w:jc w:val="both"/>
        <w:rPr>
          <w:rFonts w:ascii="Garamond" w:eastAsia="Palatino Linotype" w:hAnsi="Garamond" w:cs="Palatino Linotype"/>
        </w:rPr>
      </w:pPr>
      <w:r w:rsidRPr="00D23F20">
        <w:rPr>
          <w:rFonts w:ascii="Garamond" w:eastAsia="Palatino Linotype" w:hAnsi="Garamond" w:cs="Palatino Linotype"/>
        </w:rPr>
        <w:t>There were 1,29,728 clients in portfolio management industry as at the end of October 2021, of which 1,20,249 clients were of discretionary services category, 7,946 clients in non-discretionary services category and 1,553 clients availed advisory services of portfolio managers.</w:t>
      </w:r>
    </w:p>
    <w:p w:rsidR="00D23F20" w:rsidRPr="00D23F20" w:rsidRDefault="00D23F20" w:rsidP="00D23F20">
      <w:pPr>
        <w:pBdr>
          <w:between w:val="nil"/>
        </w:pBdr>
        <w:ind w:left="714"/>
        <w:jc w:val="both"/>
        <w:rPr>
          <w:rFonts w:ascii="Garamond" w:eastAsia="Palatino Linotype" w:hAnsi="Garamond" w:cs="Palatino Linotype"/>
        </w:rPr>
      </w:pPr>
    </w:p>
    <w:p w:rsidR="006A6CB3" w:rsidRPr="006A6CB3" w:rsidRDefault="006A6CB3" w:rsidP="006A6CB3">
      <w:pPr>
        <w:widowControl w:val="0"/>
        <w:numPr>
          <w:ilvl w:val="0"/>
          <w:numId w:val="2"/>
        </w:numPr>
        <w:spacing w:line="276" w:lineRule="auto"/>
        <w:rPr>
          <w:rFonts w:ascii="Garamond" w:eastAsia="Palatino Linotype" w:hAnsi="Garamond" w:cs="Palatino Linotype"/>
          <w:b/>
          <w:color w:val="222A35"/>
        </w:rPr>
      </w:pPr>
      <w:r w:rsidRPr="006A6CB3">
        <w:rPr>
          <w:rFonts w:ascii="Garamond" w:eastAsia="Palatino Linotype" w:hAnsi="Garamond" w:cs="Palatino Linotype"/>
          <w:b/>
          <w:color w:val="222A35"/>
        </w:rPr>
        <w:t>Trends in Substantial Acquisition of Shares and Takeovers</w:t>
      </w:r>
    </w:p>
    <w:p w:rsidR="00D23F20" w:rsidRPr="00D23F20" w:rsidRDefault="00D23F20" w:rsidP="00D23F20">
      <w:pPr>
        <w:pStyle w:val="ListParagraph"/>
        <w:spacing w:after="0" w:line="240" w:lineRule="auto"/>
        <w:jc w:val="both"/>
        <w:rPr>
          <w:rFonts w:ascii="Garamond" w:eastAsia="Palatino Linotype" w:hAnsi="Garamond" w:cs="Palatino Linotype"/>
          <w:sz w:val="24"/>
          <w:szCs w:val="24"/>
          <w:lang w:val="en-GB"/>
        </w:rPr>
      </w:pPr>
      <w:r w:rsidRPr="00D23F20">
        <w:rPr>
          <w:rFonts w:ascii="Garamond" w:eastAsia="Palatino Linotype" w:hAnsi="Garamond" w:cs="Palatino Linotype"/>
          <w:sz w:val="24"/>
          <w:szCs w:val="24"/>
          <w:lang w:val="en-GB"/>
        </w:rPr>
        <w:t>During October 2021, seven open offers</w:t>
      </w:r>
      <w:r w:rsidR="006B52CA" w:rsidRPr="006B52CA">
        <w:rPr>
          <w:rFonts w:ascii="Garamond" w:eastAsia="Palatino Linotype" w:hAnsi="Garamond" w:cs="Palatino Linotype"/>
          <w:sz w:val="24"/>
          <w:szCs w:val="24"/>
          <w:lang w:val="en-GB"/>
        </w:rPr>
        <w:t xml:space="preserve"> </w:t>
      </w:r>
      <w:r w:rsidR="006B52CA" w:rsidRPr="00D23F20">
        <w:rPr>
          <w:rFonts w:ascii="Garamond" w:eastAsia="Palatino Linotype" w:hAnsi="Garamond" w:cs="Palatino Linotype"/>
          <w:sz w:val="24"/>
          <w:szCs w:val="24"/>
          <w:lang w:val="en-GB"/>
        </w:rPr>
        <w:t>were closed</w:t>
      </w:r>
      <w:r w:rsidRPr="00D23F20">
        <w:rPr>
          <w:rFonts w:ascii="Garamond" w:eastAsia="Palatino Linotype" w:hAnsi="Garamond" w:cs="Palatino Linotype"/>
          <w:sz w:val="24"/>
          <w:szCs w:val="24"/>
          <w:lang w:val="en-GB"/>
        </w:rPr>
        <w:t xml:space="preserve"> with offer value of </w:t>
      </w:r>
      <w:r w:rsidRPr="00D23F20">
        <w:rPr>
          <w:rFonts w:ascii="Times New Roman" w:eastAsia="Palatino Linotype" w:hAnsi="Times New Roman"/>
          <w:sz w:val="24"/>
          <w:szCs w:val="24"/>
          <w:lang w:val="en-GB"/>
        </w:rPr>
        <w:t>₹</w:t>
      </w:r>
      <w:r w:rsidRPr="00D23F20">
        <w:rPr>
          <w:rFonts w:ascii="Garamond" w:eastAsia="Palatino Linotype" w:hAnsi="Garamond" w:cs="Palatino Linotype"/>
          <w:sz w:val="24"/>
          <w:szCs w:val="24"/>
          <w:lang w:val="en-GB"/>
        </w:rPr>
        <w:t xml:space="preserve">3,316 crore under SEBI (Substantial Acquisition of Shares and Takeover) Regulations, 2011 as against three open offers with offer value of </w:t>
      </w:r>
      <w:r w:rsidRPr="00D23F20">
        <w:rPr>
          <w:rFonts w:ascii="Times New Roman" w:eastAsia="Palatino Linotype" w:hAnsi="Times New Roman"/>
          <w:sz w:val="24"/>
          <w:szCs w:val="24"/>
          <w:lang w:val="en-GB"/>
        </w:rPr>
        <w:t>₹</w:t>
      </w:r>
      <w:r w:rsidRPr="00D23F20">
        <w:rPr>
          <w:rFonts w:ascii="Garamond" w:eastAsia="Palatino Linotype" w:hAnsi="Garamond" w:cs="Palatino Linotype"/>
          <w:sz w:val="24"/>
          <w:szCs w:val="24"/>
          <w:lang w:val="en-GB"/>
        </w:rPr>
        <w:t xml:space="preserve">6 crore closed in September 2021. </w:t>
      </w:r>
    </w:p>
    <w:p w:rsidR="006A6CB3" w:rsidRDefault="006A6CB3" w:rsidP="006A6CB3">
      <w:pPr>
        <w:jc w:val="both"/>
        <w:rPr>
          <w:rFonts w:ascii="Garamond" w:eastAsia="Times New Roman" w:hAnsi="Garamond" w:cs="Garamond"/>
        </w:rPr>
      </w:pPr>
    </w:p>
    <w:p w:rsidR="00D23F20" w:rsidRPr="006A6CB3" w:rsidRDefault="00D23F20" w:rsidP="006A6CB3">
      <w:pPr>
        <w:jc w:val="both"/>
        <w:rPr>
          <w:rFonts w:ascii="Garamond" w:eastAsia="Times New Roman" w:hAnsi="Garamond" w:cs="Garamond"/>
        </w:rPr>
      </w:pPr>
    </w:p>
    <w:p w:rsidR="006A6CB3" w:rsidRPr="006A6CB3" w:rsidRDefault="006A6CB3" w:rsidP="006A6CB3">
      <w:pPr>
        <w:jc w:val="center"/>
        <w:rPr>
          <w:rFonts w:ascii="Garamond" w:eastAsia="Palatino Linotype" w:hAnsi="Garamond" w:cs="Palatino Linotype"/>
          <w:b/>
          <w:color w:val="222A35"/>
        </w:rPr>
      </w:pPr>
      <w:r w:rsidRPr="006A6CB3">
        <w:rPr>
          <w:rFonts w:ascii="Garamond" w:eastAsia="Palatino Linotype" w:hAnsi="Garamond" w:cs="Palatino Linotype"/>
          <w:b/>
          <w:color w:val="222A35"/>
        </w:rPr>
        <w:t>Figure 1</w:t>
      </w:r>
      <w:r w:rsidR="003A028D">
        <w:rPr>
          <w:rFonts w:ascii="Garamond" w:eastAsia="Palatino Linotype" w:hAnsi="Garamond" w:cs="Palatino Linotype"/>
          <w:b/>
          <w:color w:val="222A35"/>
        </w:rPr>
        <w:t>2</w:t>
      </w:r>
      <w:r w:rsidRPr="006A6CB3">
        <w:rPr>
          <w:rFonts w:ascii="Garamond" w:eastAsia="Palatino Linotype" w:hAnsi="Garamond" w:cs="Palatino Linotype"/>
          <w:b/>
          <w:color w:val="222A35"/>
        </w:rPr>
        <w:t>: Details of Open Offers Closed under the SEBI (SAST) Regulations</w:t>
      </w:r>
    </w:p>
    <w:p w:rsidR="006A6CB3" w:rsidRPr="006A6CB3" w:rsidRDefault="00545C71" w:rsidP="006A6CB3">
      <w:pPr>
        <w:spacing w:line="276" w:lineRule="auto"/>
        <w:jc w:val="center"/>
        <w:rPr>
          <w:rFonts w:ascii="Garamond" w:eastAsia="Palatino Linotype" w:hAnsi="Garamond" w:cs="Palatino Linotype"/>
          <w:b/>
          <w:color w:val="222A35"/>
        </w:rPr>
      </w:pPr>
      <w:r>
        <w:rPr>
          <w:noProof/>
          <w:lang w:val="en-IN" w:eastAsia="en-IN" w:bidi="hi-IN"/>
        </w:rPr>
        <w:drawing>
          <wp:inline distT="0" distB="0" distL="0" distR="0" wp14:anchorId="1A5C76D0" wp14:editId="6846CBDF">
            <wp:extent cx="5391150" cy="2057400"/>
            <wp:effectExtent l="0" t="0" r="0" b="0"/>
            <wp:docPr id="16" name="Chart 16">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A6CB3" w:rsidRPr="006A6CB3" w:rsidRDefault="006A6CB3" w:rsidP="006A6CB3">
      <w:pPr>
        <w:widowControl w:val="0"/>
        <w:ind w:left="-284"/>
        <w:jc w:val="both"/>
        <w:rPr>
          <w:rFonts w:ascii="Garamond" w:hAnsi="Garamond"/>
          <w:b/>
          <w:color w:val="0F0684"/>
        </w:rPr>
      </w:pPr>
    </w:p>
    <w:p w:rsidR="006A6CB3" w:rsidRPr="006A6CB3" w:rsidRDefault="006A6CB3" w:rsidP="006A6CB3">
      <w:pPr>
        <w:widowControl w:val="0"/>
        <w:ind w:left="-284"/>
        <w:jc w:val="both"/>
        <w:rPr>
          <w:rFonts w:ascii="Garamond" w:eastAsia="Times New Roman" w:hAnsi="Garamond"/>
          <w:b/>
          <w:color w:val="0F0684"/>
        </w:rPr>
      </w:pPr>
      <w:r w:rsidRPr="006A6CB3">
        <w:rPr>
          <w:rFonts w:ascii="Garamond" w:hAnsi="Garamond"/>
          <w:b/>
          <w:color w:val="0F0684"/>
        </w:rPr>
        <w:t>IX.     Commodity Derivatives Markets</w:t>
      </w:r>
    </w:p>
    <w:p w:rsidR="006A6CB3" w:rsidRPr="006A6CB3" w:rsidRDefault="006A6CB3" w:rsidP="006A6CB3">
      <w:pPr>
        <w:pStyle w:val="ListParagraph"/>
        <w:spacing w:after="0" w:line="240" w:lineRule="auto"/>
        <w:jc w:val="both"/>
        <w:rPr>
          <w:rFonts w:ascii="Garamond" w:eastAsia="Times New Roman" w:hAnsi="Garamond"/>
          <w:b/>
          <w:color w:val="000000"/>
          <w:sz w:val="24"/>
          <w:szCs w:val="24"/>
        </w:rPr>
      </w:pPr>
    </w:p>
    <w:p w:rsidR="006A6CB3" w:rsidRPr="006A6CB3" w:rsidRDefault="006A6CB3" w:rsidP="00DC22FE">
      <w:pPr>
        <w:pStyle w:val="ListParagraph"/>
        <w:numPr>
          <w:ilvl w:val="0"/>
          <w:numId w:val="5"/>
        </w:numPr>
        <w:tabs>
          <w:tab w:val="left" w:pos="567"/>
        </w:tabs>
        <w:spacing w:after="0" w:line="240" w:lineRule="auto"/>
        <w:ind w:left="0" w:firstLine="0"/>
        <w:jc w:val="both"/>
        <w:rPr>
          <w:rFonts w:ascii="Garamond" w:eastAsia="Times New Roman" w:hAnsi="Garamond"/>
          <w:b/>
          <w:color w:val="000000"/>
          <w:sz w:val="24"/>
          <w:szCs w:val="24"/>
        </w:rPr>
      </w:pPr>
      <w:r w:rsidRPr="006A6CB3">
        <w:rPr>
          <w:rFonts w:ascii="Garamond" w:eastAsia="Times New Roman" w:hAnsi="Garamond"/>
          <w:b/>
          <w:color w:val="000000"/>
          <w:sz w:val="24"/>
          <w:szCs w:val="24"/>
        </w:rPr>
        <w:t>Market Trends</w:t>
      </w:r>
    </w:p>
    <w:p w:rsidR="006A6CB3" w:rsidRPr="006A6CB3" w:rsidRDefault="006A6CB3" w:rsidP="006A6CB3">
      <w:pPr>
        <w:pStyle w:val="ListParagraph"/>
        <w:spacing w:after="0" w:line="240" w:lineRule="auto"/>
        <w:ind w:left="567"/>
        <w:jc w:val="both"/>
        <w:rPr>
          <w:rFonts w:ascii="Garamond" w:hAnsi="Garamond"/>
          <w:sz w:val="24"/>
          <w:szCs w:val="24"/>
        </w:rPr>
      </w:pPr>
    </w:p>
    <w:p w:rsidR="00545C71" w:rsidRPr="00482AEA" w:rsidRDefault="00545C71" w:rsidP="00545C71">
      <w:pPr>
        <w:numPr>
          <w:ilvl w:val="0"/>
          <w:numId w:val="6"/>
        </w:numPr>
        <w:spacing w:line="276" w:lineRule="auto"/>
        <w:jc w:val="both"/>
        <w:rPr>
          <w:rFonts w:ascii="Garamond" w:eastAsia="Calibri" w:hAnsi="Garamond"/>
          <w:lang w:val="en-US"/>
        </w:rPr>
      </w:pPr>
      <w:r w:rsidRPr="00482AEA">
        <w:rPr>
          <w:rFonts w:ascii="Garamond" w:eastAsia="Calibri" w:hAnsi="Garamond"/>
          <w:lang w:val="en-US"/>
        </w:rPr>
        <w:t xml:space="preserve">At the end of October 2021, MCX iCOMDEX composite index increased by 6.3 per cent (M-o-M).  This increase was mainly driven by upward in futures prices of crude oil, zinc, nickel and copper. </w:t>
      </w:r>
    </w:p>
    <w:p w:rsidR="00545C71" w:rsidRPr="00482AEA" w:rsidRDefault="00545C71" w:rsidP="00545C71">
      <w:pPr>
        <w:numPr>
          <w:ilvl w:val="0"/>
          <w:numId w:val="6"/>
        </w:numPr>
        <w:spacing w:line="276" w:lineRule="auto"/>
        <w:jc w:val="both"/>
        <w:rPr>
          <w:rFonts w:ascii="Garamond" w:eastAsia="Calibri" w:hAnsi="Garamond"/>
          <w:lang w:val="en-US"/>
        </w:rPr>
      </w:pPr>
      <w:r w:rsidRPr="00482AEA">
        <w:rPr>
          <w:rFonts w:ascii="Garamond" w:eastAsia="Calibri" w:hAnsi="Garamond"/>
          <w:lang w:val="en-US"/>
        </w:rPr>
        <w:t>Amongst sectorial indices, MCX iCOMDEX Energy Index increased most by 8.6 per</w:t>
      </w:r>
      <w:r>
        <w:rPr>
          <w:rFonts w:ascii="Garamond" w:eastAsia="Calibri" w:hAnsi="Garamond"/>
          <w:lang w:val="en-US"/>
        </w:rPr>
        <w:t xml:space="preserve"> </w:t>
      </w:r>
      <w:r w:rsidRPr="00482AEA">
        <w:rPr>
          <w:rFonts w:ascii="Garamond" w:eastAsia="Calibri" w:hAnsi="Garamond"/>
          <w:lang w:val="en-US"/>
        </w:rPr>
        <w:t>cent, followed by MCX iCOMDEX Base Metal (8.4 per cent) and MCX iCOMDEX Bullion index (3.9 per cent).</w:t>
      </w:r>
    </w:p>
    <w:p w:rsidR="00545C71" w:rsidRPr="00482AEA" w:rsidRDefault="00545C71" w:rsidP="00545C71">
      <w:pPr>
        <w:numPr>
          <w:ilvl w:val="0"/>
          <w:numId w:val="6"/>
        </w:numPr>
        <w:spacing w:line="276" w:lineRule="auto"/>
        <w:jc w:val="both"/>
        <w:rPr>
          <w:rFonts w:ascii="Garamond" w:eastAsia="Calibri" w:hAnsi="Garamond"/>
          <w:lang w:val="en-US"/>
        </w:rPr>
      </w:pPr>
      <w:r w:rsidRPr="00482AEA">
        <w:rPr>
          <w:rFonts w:ascii="Garamond" w:eastAsia="Calibri" w:hAnsi="Garamond"/>
          <w:lang w:val="en-US"/>
        </w:rPr>
        <w:t>NCDEX NKrishi index increased by 2.5 per cent (M-o-M). Among constituents of NKrishi, the prices of Guarseed increased most by 19.3 per cent, followed by Castorseed (7.6 per cent) and wheat (4.8 per</w:t>
      </w:r>
      <w:r>
        <w:rPr>
          <w:rFonts w:ascii="Garamond" w:eastAsia="Calibri" w:hAnsi="Garamond"/>
          <w:lang w:val="en-US"/>
        </w:rPr>
        <w:t xml:space="preserve"> </w:t>
      </w:r>
      <w:r w:rsidRPr="00482AEA">
        <w:rPr>
          <w:rFonts w:ascii="Garamond" w:eastAsia="Calibri" w:hAnsi="Garamond"/>
          <w:lang w:val="en-US"/>
        </w:rPr>
        <w:t xml:space="preserve">cent). A decrease was recorded in the prices of Refined Soy Oil (5.1 per cent), RM seed (2.1 per cent), Jeera (1.3 per cent) and Gur (0.7 per cent). </w:t>
      </w:r>
    </w:p>
    <w:p w:rsidR="00545C71" w:rsidRPr="00482AEA" w:rsidRDefault="00545C71" w:rsidP="00545C71">
      <w:pPr>
        <w:numPr>
          <w:ilvl w:val="0"/>
          <w:numId w:val="6"/>
        </w:numPr>
        <w:spacing w:line="276" w:lineRule="auto"/>
        <w:jc w:val="both"/>
        <w:rPr>
          <w:rFonts w:ascii="Garamond" w:eastAsia="Calibri" w:hAnsi="Garamond"/>
          <w:lang w:val="en-US"/>
        </w:rPr>
      </w:pPr>
      <w:r w:rsidRPr="00482AEA">
        <w:rPr>
          <w:rFonts w:ascii="Garamond" w:eastAsia="Calibri" w:hAnsi="Garamond"/>
          <w:lang w:val="en-US"/>
        </w:rPr>
        <w:t>Movement in MCX iCOMDEX composite Index and NKrishi Index during October 2021 is given in Figure 1</w:t>
      </w:r>
      <w:r w:rsidR="00777D27">
        <w:rPr>
          <w:rFonts w:ascii="Garamond" w:eastAsia="Calibri" w:hAnsi="Garamond"/>
          <w:lang w:val="en-US"/>
        </w:rPr>
        <w:t>3</w:t>
      </w:r>
      <w:r w:rsidRPr="00482AEA">
        <w:rPr>
          <w:rFonts w:ascii="Garamond" w:eastAsia="Calibri" w:hAnsi="Garamond"/>
          <w:lang w:val="en-US"/>
        </w:rPr>
        <w:t xml:space="preserve"> and the monthly data of these indices is provided in Table 64. </w:t>
      </w:r>
    </w:p>
    <w:p w:rsidR="00545C71" w:rsidRDefault="00545C71" w:rsidP="00545C71">
      <w:pPr>
        <w:contextualSpacing/>
        <w:rPr>
          <w:rFonts w:ascii="Garamond" w:eastAsia="Times New Roman" w:hAnsi="Garamond"/>
          <w:b/>
          <w:lang w:val="en-US"/>
        </w:rPr>
      </w:pPr>
    </w:p>
    <w:p w:rsidR="00545C71" w:rsidRPr="00891713" w:rsidRDefault="00545C71" w:rsidP="00545C71">
      <w:pPr>
        <w:contextualSpacing/>
        <w:rPr>
          <w:rFonts w:ascii="Garamond" w:eastAsia="Times New Roman" w:hAnsi="Garamond"/>
          <w:b/>
          <w:lang w:val="en-US"/>
        </w:rPr>
      </w:pPr>
      <w:r w:rsidRPr="00891713">
        <w:rPr>
          <w:rFonts w:ascii="Garamond" w:eastAsia="Times New Roman" w:hAnsi="Garamond"/>
          <w:b/>
          <w:lang w:val="en-US"/>
        </w:rPr>
        <w:lastRenderedPageBreak/>
        <w:t>Figure 1</w:t>
      </w:r>
      <w:r w:rsidR="003A028D">
        <w:rPr>
          <w:rFonts w:ascii="Garamond" w:eastAsia="Times New Roman" w:hAnsi="Garamond"/>
          <w:b/>
          <w:lang w:val="en-US"/>
        </w:rPr>
        <w:t>3</w:t>
      </w:r>
      <w:r w:rsidRPr="00891713">
        <w:rPr>
          <w:rFonts w:ascii="Garamond" w:eastAsia="Times New Roman" w:hAnsi="Garamond"/>
          <w:b/>
          <w:lang w:val="en-US"/>
        </w:rPr>
        <w:t xml:space="preserve">: Movement of Commodity Derivatives Market Indices </w:t>
      </w:r>
      <w:r w:rsidRPr="00583796">
        <w:rPr>
          <w:noProof/>
          <w:lang w:val="en-IN" w:eastAsia="en-IN" w:bidi="hi-IN"/>
        </w:rPr>
        <w:drawing>
          <wp:inline distT="0" distB="0" distL="0" distR="0" wp14:anchorId="6358A9E3" wp14:editId="5B7A665E">
            <wp:extent cx="5753100" cy="1990725"/>
            <wp:effectExtent l="0" t="0" r="0" b="9525"/>
            <wp:docPr id="1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45C71" w:rsidRPr="00891713" w:rsidRDefault="00545C71" w:rsidP="00545C71">
      <w:pPr>
        <w:ind w:left="142" w:hanging="142"/>
        <w:contextualSpacing/>
        <w:jc w:val="center"/>
        <w:rPr>
          <w:rFonts w:ascii="Garamond" w:eastAsia="Times New Roman" w:hAnsi="Garamond"/>
          <w:b/>
          <w:color w:val="2E74B5"/>
          <w:lang w:val="en-US"/>
        </w:rPr>
      </w:pPr>
    </w:p>
    <w:p w:rsidR="00545C71" w:rsidRPr="00436B07" w:rsidRDefault="00545C71" w:rsidP="00436B07">
      <w:pPr>
        <w:spacing w:line="480" w:lineRule="auto"/>
        <w:ind w:left="720"/>
        <w:contextualSpacing/>
        <w:rPr>
          <w:rFonts w:ascii="Garamond" w:eastAsia="Calibri" w:hAnsi="Garamond" w:cs="Arial"/>
          <w:sz w:val="20"/>
          <w:szCs w:val="20"/>
          <w:lang w:val="en-US"/>
        </w:rPr>
      </w:pPr>
      <w:r w:rsidRPr="004A1B8E">
        <w:rPr>
          <w:rFonts w:ascii="Garamond" w:eastAsia="Calibri" w:hAnsi="Garamond" w:cs="Arial"/>
          <w:b/>
          <w:bCs/>
          <w:sz w:val="20"/>
          <w:szCs w:val="20"/>
          <w:lang w:val="en-US"/>
        </w:rPr>
        <w:t xml:space="preserve">Source: </w:t>
      </w:r>
      <w:r w:rsidR="00436B07">
        <w:rPr>
          <w:rFonts w:ascii="Garamond" w:eastAsia="Calibri" w:hAnsi="Garamond" w:cs="Arial"/>
          <w:sz w:val="20"/>
          <w:szCs w:val="20"/>
          <w:lang w:val="en-US"/>
        </w:rPr>
        <w:t>MCX and NCDEX</w:t>
      </w:r>
    </w:p>
    <w:p w:rsidR="00545C71" w:rsidRDefault="00545C71" w:rsidP="00545C71">
      <w:pPr>
        <w:jc w:val="both"/>
        <w:rPr>
          <w:rFonts w:ascii="Garamond" w:eastAsia="Calibri" w:hAnsi="Garamond" w:cs="Arial"/>
          <w:b/>
          <w:bCs/>
        </w:rPr>
      </w:pPr>
      <w:r>
        <w:rPr>
          <w:rFonts w:ascii="Garamond" w:eastAsia="Calibri" w:hAnsi="Garamond" w:cs="Arial"/>
          <w:b/>
          <w:bCs/>
        </w:rPr>
        <w:t xml:space="preserve">           </w:t>
      </w:r>
      <w:r w:rsidRPr="00891713">
        <w:rPr>
          <w:rFonts w:ascii="Garamond" w:eastAsia="Calibri" w:hAnsi="Garamond" w:cs="Arial"/>
          <w:b/>
          <w:bCs/>
        </w:rPr>
        <w:t>Table 4: Snapshot of Indian Commodity Derivatives Markets</w:t>
      </w:r>
    </w:p>
    <w:tbl>
      <w:tblPr>
        <w:tblW w:w="4555" w:type="pct"/>
        <w:jc w:val="center"/>
        <w:tblLook w:val="04A0" w:firstRow="1" w:lastRow="0" w:firstColumn="1" w:lastColumn="0" w:noHBand="0" w:noVBand="1"/>
      </w:tblPr>
      <w:tblGrid>
        <w:gridCol w:w="4069"/>
        <w:gridCol w:w="1617"/>
        <w:gridCol w:w="1616"/>
        <w:gridCol w:w="1697"/>
      </w:tblGrid>
      <w:tr w:rsidR="00545C71" w:rsidRPr="00545C71" w:rsidTr="00DC34EF">
        <w:trPr>
          <w:trHeight w:val="845"/>
          <w:jc w:val="center"/>
        </w:trPr>
        <w:tc>
          <w:tcPr>
            <w:tcW w:w="2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45C71" w:rsidRPr="00545C71" w:rsidRDefault="00545C71" w:rsidP="00DC34EF">
            <w:pPr>
              <w:jc w:val="center"/>
              <w:rPr>
                <w:rFonts w:ascii="Palatino Linotype" w:eastAsia="Times New Roman" w:hAnsi="Palatino Linotype" w:cs="Calibri"/>
                <w:b/>
                <w:bCs/>
                <w:color w:val="000000"/>
                <w:sz w:val="20"/>
                <w:szCs w:val="20"/>
                <w:lang w:eastAsia="en-IN"/>
              </w:rPr>
            </w:pPr>
            <w:r w:rsidRPr="00545C71">
              <w:rPr>
                <w:rFonts w:ascii="Palatino Linotype" w:eastAsia="Times New Roman" w:hAnsi="Palatino Linotype" w:cs="Calibri"/>
                <w:b/>
                <w:bCs/>
                <w:color w:val="000000"/>
                <w:sz w:val="20"/>
                <w:szCs w:val="20"/>
                <w:lang w:eastAsia="en-IN"/>
              </w:rPr>
              <w:t>Items</w:t>
            </w:r>
          </w:p>
        </w:tc>
        <w:tc>
          <w:tcPr>
            <w:tcW w:w="898" w:type="pct"/>
            <w:tcBorders>
              <w:top w:val="single" w:sz="4" w:space="0" w:color="auto"/>
              <w:left w:val="nil"/>
              <w:bottom w:val="single" w:sz="4" w:space="0" w:color="auto"/>
              <w:right w:val="single" w:sz="4" w:space="0" w:color="auto"/>
            </w:tcBorders>
            <w:shd w:val="clear" w:color="auto" w:fill="auto"/>
            <w:noWrap/>
            <w:vAlign w:val="center"/>
            <w:hideMark/>
          </w:tcPr>
          <w:p w:rsidR="00545C71" w:rsidRPr="00545C71" w:rsidRDefault="00545C71" w:rsidP="00DC34EF">
            <w:pPr>
              <w:jc w:val="center"/>
              <w:rPr>
                <w:rFonts w:ascii="Palatino Linotype" w:eastAsia="Times New Roman" w:hAnsi="Palatino Linotype" w:cs="Calibri"/>
                <w:b/>
                <w:bCs/>
                <w:sz w:val="20"/>
                <w:szCs w:val="20"/>
                <w:lang w:eastAsia="en-IN"/>
              </w:rPr>
            </w:pPr>
            <w:r w:rsidRPr="00545C71">
              <w:rPr>
                <w:rFonts w:ascii="Palatino Linotype" w:eastAsia="Times New Roman" w:hAnsi="Palatino Linotype" w:cs="Calibri"/>
                <w:b/>
                <w:bCs/>
                <w:sz w:val="20"/>
                <w:szCs w:val="20"/>
                <w:lang w:eastAsia="en-IN"/>
              </w:rPr>
              <w:t>Sep-21</w:t>
            </w:r>
          </w:p>
        </w:tc>
        <w:tc>
          <w:tcPr>
            <w:tcW w:w="898" w:type="pct"/>
            <w:tcBorders>
              <w:top w:val="single" w:sz="4" w:space="0" w:color="auto"/>
              <w:left w:val="nil"/>
              <w:bottom w:val="single" w:sz="4" w:space="0" w:color="auto"/>
              <w:right w:val="single" w:sz="4" w:space="0" w:color="auto"/>
            </w:tcBorders>
            <w:shd w:val="clear" w:color="auto" w:fill="auto"/>
            <w:noWrap/>
            <w:vAlign w:val="center"/>
            <w:hideMark/>
          </w:tcPr>
          <w:p w:rsidR="00545C71" w:rsidRPr="00545C71" w:rsidRDefault="00545C71" w:rsidP="00DC34EF">
            <w:pPr>
              <w:jc w:val="center"/>
              <w:rPr>
                <w:rFonts w:ascii="Palatino Linotype" w:eastAsia="Times New Roman" w:hAnsi="Palatino Linotype" w:cs="Calibri"/>
                <w:b/>
                <w:bCs/>
                <w:sz w:val="20"/>
                <w:szCs w:val="20"/>
                <w:lang w:eastAsia="en-IN"/>
              </w:rPr>
            </w:pPr>
            <w:r w:rsidRPr="00545C71">
              <w:rPr>
                <w:rFonts w:ascii="Palatino Linotype" w:eastAsia="Times New Roman" w:hAnsi="Palatino Linotype" w:cs="Calibri"/>
                <w:b/>
                <w:bCs/>
                <w:sz w:val="20"/>
                <w:szCs w:val="20"/>
                <w:lang w:eastAsia="en-IN"/>
              </w:rPr>
              <w:t>Oct-21</w:t>
            </w:r>
          </w:p>
        </w:tc>
        <w:tc>
          <w:tcPr>
            <w:tcW w:w="943" w:type="pct"/>
            <w:tcBorders>
              <w:top w:val="single" w:sz="4" w:space="0" w:color="auto"/>
              <w:left w:val="nil"/>
              <w:bottom w:val="nil"/>
              <w:right w:val="single" w:sz="4" w:space="0" w:color="auto"/>
            </w:tcBorders>
            <w:shd w:val="clear" w:color="auto" w:fill="auto"/>
            <w:vAlign w:val="center"/>
            <w:hideMark/>
          </w:tcPr>
          <w:p w:rsidR="00545C71" w:rsidRPr="00545C71" w:rsidRDefault="00545C71" w:rsidP="00DC34EF">
            <w:pPr>
              <w:jc w:val="center"/>
              <w:rPr>
                <w:rFonts w:ascii="Palatino Linotype" w:eastAsia="Times New Roman" w:hAnsi="Palatino Linotype" w:cs="Calibri"/>
                <w:b/>
                <w:bCs/>
                <w:color w:val="000000"/>
                <w:sz w:val="20"/>
                <w:szCs w:val="20"/>
                <w:lang w:eastAsia="en-IN"/>
              </w:rPr>
            </w:pPr>
            <w:r w:rsidRPr="00545C71">
              <w:rPr>
                <w:rFonts w:ascii="Palatino Linotype" w:eastAsia="Times New Roman" w:hAnsi="Palatino Linotype" w:cs="Calibri"/>
                <w:b/>
                <w:bCs/>
                <w:color w:val="000000"/>
                <w:sz w:val="20"/>
                <w:szCs w:val="20"/>
                <w:lang w:eastAsia="en-IN"/>
              </w:rPr>
              <w:t xml:space="preserve">Percentage variation </w:t>
            </w:r>
          </w:p>
          <w:p w:rsidR="00545C71" w:rsidRPr="00545C71" w:rsidRDefault="00545C71" w:rsidP="00DC34EF">
            <w:pPr>
              <w:jc w:val="center"/>
              <w:rPr>
                <w:rFonts w:ascii="Palatino Linotype" w:eastAsia="Times New Roman" w:hAnsi="Palatino Linotype" w:cs="Calibri"/>
                <w:b/>
                <w:bCs/>
                <w:color w:val="000000"/>
                <w:sz w:val="20"/>
                <w:szCs w:val="20"/>
                <w:lang w:eastAsia="en-IN"/>
              </w:rPr>
            </w:pPr>
            <w:r w:rsidRPr="00545C71">
              <w:rPr>
                <w:rFonts w:ascii="Palatino Linotype" w:eastAsia="Times New Roman" w:hAnsi="Palatino Linotype" w:cs="Calibri"/>
                <w:b/>
                <w:bCs/>
                <w:color w:val="000000"/>
                <w:sz w:val="20"/>
                <w:szCs w:val="20"/>
                <w:lang w:eastAsia="en-IN"/>
              </w:rPr>
              <w:t>M-o-M</w:t>
            </w:r>
          </w:p>
        </w:tc>
      </w:tr>
      <w:tr w:rsidR="00545C71" w:rsidRPr="00545C71" w:rsidTr="00DC34EF">
        <w:trPr>
          <w:trHeight w:val="281"/>
          <w:jc w:val="center"/>
        </w:trPr>
        <w:tc>
          <w:tcPr>
            <w:tcW w:w="2260" w:type="pct"/>
            <w:tcBorders>
              <w:top w:val="nil"/>
              <w:left w:val="single" w:sz="4" w:space="0" w:color="auto"/>
              <w:bottom w:val="single" w:sz="4" w:space="0" w:color="auto"/>
              <w:right w:val="nil"/>
            </w:tcBorders>
            <w:shd w:val="clear" w:color="auto" w:fill="auto"/>
            <w:vAlign w:val="center"/>
            <w:hideMark/>
          </w:tcPr>
          <w:p w:rsidR="00545C71" w:rsidRPr="00545C71" w:rsidRDefault="00545C71" w:rsidP="00DC34EF">
            <w:pPr>
              <w:rPr>
                <w:rFonts w:ascii="Palatino Linotype" w:eastAsia="Times New Roman" w:hAnsi="Palatino Linotype" w:cs="Calibri"/>
                <w:b/>
                <w:bCs/>
                <w:color w:val="000000"/>
                <w:sz w:val="20"/>
                <w:szCs w:val="20"/>
                <w:lang w:eastAsia="en-IN"/>
              </w:rPr>
            </w:pPr>
            <w:r w:rsidRPr="00545C71">
              <w:rPr>
                <w:rFonts w:ascii="Palatino Linotype" w:eastAsia="Times New Roman" w:hAnsi="Palatino Linotype" w:cs="Calibri"/>
                <w:b/>
                <w:bCs/>
                <w:color w:val="000000"/>
                <w:sz w:val="20"/>
                <w:szCs w:val="20"/>
                <w:lang w:eastAsia="en-IN"/>
              </w:rPr>
              <w:t>A. Indices</w:t>
            </w:r>
          </w:p>
        </w:tc>
        <w:tc>
          <w:tcPr>
            <w:tcW w:w="898" w:type="pct"/>
            <w:tcBorders>
              <w:top w:val="nil"/>
              <w:left w:val="nil"/>
              <w:bottom w:val="single" w:sz="4" w:space="0" w:color="auto"/>
              <w:right w:val="nil"/>
            </w:tcBorders>
            <w:shd w:val="clear" w:color="auto" w:fill="auto"/>
            <w:vAlign w:val="center"/>
            <w:hideMark/>
          </w:tcPr>
          <w:p w:rsidR="00545C71" w:rsidRPr="00545C71" w:rsidRDefault="00545C71" w:rsidP="00DC34EF">
            <w:pPr>
              <w:rPr>
                <w:rFonts w:ascii="Palatino Linotype" w:eastAsia="Times New Roman" w:hAnsi="Palatino Linotype" w:cs="Calibri"/>
                <w:b/>
                <w:bCs/>
                <w:color w:val="000000"/>
                <w:sz w:val="20"/>
                <w:szCs w:val="20"/>
                <w:lang w:eastAsia="en-IN"/>
              </w:rPr>
            </w:pPr>
            <w:r w:rsidRPr="00545C71">
              <w:rPr>
                <w:rFonts w:ascii="Palatino Linotype" w:eastAsia="Times New Roman" w:hAnsi="Palatino Linotype" w:cs="Calibri"/>
                <w:b/>
                <w:bCs/>
                <w:color w:val="000000"/>
                <w:sz w:val="20"/>
                <w:szCs w:val="20"/>
                <w:lang w:eastAsia="en-IN"/>
              </w:rPr>
              <w:t> </w:t>
            </w:r>
          </w:p>
        </w:tc>
        <w:tc>
          <w:tcPr>
            <w:tcW w:w="898" w:type="pct"/>
            <w:tcBorders>
              <w:top w:val="nil"/>
              <w:left w:val="nil"/>
              <w:bottom w:val="single" w:sz="4" w:space="0" w:color="auto"/>
              <w:right w:val="nil"/>
            </w:tcBorders>
            <w:shd w:val="clear" w:color="auto" w:fill="auto"/>
            <w:vAlign w:val="center"/>
            <w:hideMark/>
          </w:tcPr>
          <w:p w:rsidR="00545C71" w:rsidRPr="00545C71" w:rsidRDefault="00545C71" w:rsidP="00DC34EF">
            <w:pPr>
              <w:rPr>
                <w:rFonts w:ascii="Palatino Linotype" w:eastAsia="Times New Roman" w:hAnsi="Palatino Linotype" w:cs="Calibri"/>
                <w:b/>
                <w:bCs/>
                <w:color w:val="000000"/>
                <w:sz w:val="20"/>
                <w:szCs w:val="20"/>
                <w:lang w:eastAsia="en-IN"/>
              </w:rPr>
            </w:pPr>
            <w:r w:rsidRPr="00545C71">
              <w:rPr>
                <w:rFonts w:ascii="Palatino Linotype" w:eastAsia="Times New Roman" w:hAnsi="Palatino Linotype" w:cs="Calibri"/>
                <w:b/>
                <w:bCs/>
                <w:color w:val="000000"/>
                <w:sz w:val="20"/>
                <w:szCs w:val="20"/>
                <w:lang w:eastAsia="en-IN"/>
              </w:rPr>
              <w:t> </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545C71" w:rsidRPr="00545C71" w:rsidRDefault="00545C71" w:rsidP="00DC34EF">
            <w:pPr>
              <w:rPr>
                <w:rFonts w:ascii="Palatino Linotype" w:eastAsia="Times New Roman" w:hAnsi="Palatino Linotype" w:cs="Calibri"/>
                <w:b/>
                <w:bCs/>
                <w:color w:val="000000"/>
                <w:sz w:val="20"/>
                <w:szCs w:val="20"/>
                <w:lang w:eastAsia="en-IN"/>
              </w:rPr>
            </w:pPr>
            <w:r w:rsidRPr="00545C71">
              <w:rPr>
                <w:rFonts w:ascii="Palatino Linotype" w:eastAsia="Times New Roman" w:hAnsi="Palatino Linotype" w:cs="Calibri"/>
                <w:b/>
                <w:bCs/>
                <w:color w:val="000000"/>
                <w:sz w:val="20"/>
                <w:szCs w:val="20"/>
                <w:lang w:eastAsia="en-IN"/>
              </w:rPr>
              <w:t> </w:t>
            </w:r>
          </w:p>
        </w:tc>
      </w:tr>
      <w:tr w:rsidR="00545C71" w:rsidRPr="00545C71" w:rsidTr="00DC34EF">
        <w:trPr>
          <w:trHeight w:val="281"/>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545C71" w:rsidRPr="00545C71" w:rsidRDefault="00545C71" w:rsidP="00DC34EF">
            <w:pPr>
              <w:ind w:firstLineChars="400" w:firstLine="800"/>
              <w:rPr>
                <w:rFonts w:ascii="Palatino Linotype" w:eastAsia="Times New Roman" w:hAnsi="Palatino Linotype" w:cs="Calibri"/>
                <w:color w:val="000000"/>
                <w:sz w:val="20"/>
                <w:szCs w:val="20"/>
                <w:lang w:eastAsia="en-IN"/>
              </w:rPr>
            </w:pPr>
            <w:r w:rsidRPr="00545C71">
              <w:rPr>
                <w:rFonts w:ascii="Palatino Linotype" w:eastAsia="Times New Roman" w:hAnsi="Palatino Linotype" w:cs="Calibri"/>
                <w:color w:val="000000"/>
                <w:sz w:val="20"/>
                <w:szCs w:val="20"/>
                <w:lang w:eastAsia="en-IN"/>
              </w:rPr>
              <w:t>Nkrishi</w:t>
            </w:r>
          </w:p>
        </w:tc>
        <w:tc>
          <w:tcPr>
            <w:tcW w:w="898" w:type="pct"/>
            <w:tcBorders>
              <w:top w:val="nil"/>
              <w:left w:val="nil"/>
              <w:bottom w:val="single" w:sz="4" w:space="0" w:color="auto"/>
              <w:right w:val="single" w:sz="4" w:space="0" w:color="auto"/>
            </w:tcBorders>
            <w:shd w:val="clear" w:color="auto" w:fill="auto"/>
            <w:noWrap/>
            <w:hideMark/>
          </w:tcPr>
          <w:p w:rsidR="00545C71" w:rsidRPr="00545C71" w:rsidRDefault="00545C71" w:rsidP="00DC34EF">
            <w:pPr>
              <w:jc w:val="right"/>
              <w:rPr>
                <w:rFonts w:ascii="Palatino Linotype" w:eastAsia="Times New Roman" w:hAnsi="Palatino Linotype" w:cs="Calibri"/>
                <w:sz w:val="20"/>
                <w:szCs w:val="20"/>
                <w:lang w:eastAsia="en-IN"/>
              </w:rPr>
            </w:pPr>
            <w:r w:rsidRPr="00545C71">
              <w:rPr>
                <w:rFonts w:ascii="Palatino Linotype" w:eastAsia="Times New Roman" w:hAnsi="Palatino Linotype" w:cs="Calibri"/>
                <w:sz w:val="20"/>
                <w:szCs w:val="20"/>
                <w:lang w:eastAsia="en-IN"/>
              </w:rPr>
              <w:t>5,214</w:t>
            </w:r>
          </w:p>
        </w:tc>
        <w:tc>
          <w:tcPr>
            <w:tcW w:w="898" w:type="pct"/>
            <w:tcBorders>
              <w:top w:val="nil"/>
              <w:left w:val="nil"/>
              <w:bottom w:val="single" w:sz="4" w:space="0" w:color="auto"/>
              <w:right w:val="single" w:sz="4" w:space="0" w:color="auto"/>
            </w:tcBorders>
            <w:shd w:val="clear" w:color="auto" w:fill="auto"/>
            <w:noWrap/>
            <w:hideMark/>
          </w:tcPr>
          <w:p w:rsidR="00545C71" w:rsidRPr="00545C71" w:rsidRDefault="00545C71" w:rsidP="00DC34EF">
            <w:pPr>
              <w:jc w:val="right"/>
              <w:rPr>
                <w:rFonts w:ascii="Palatino Linotype" w:eastAsia="Times New Roman" w:hAnsi="Palatino Linotype" w:cs="Calibri"/>
                <w:sz w:val="20"/>
                <w:szCs w:val="20"/>
                <w:lang w:eastAsia="en-IN"/>
              </w:rPr>
            </w:pPr>
            <w:r w:rsidRPr="00545C71">
              <w:rPr>
                <w:rFonts w:ascii="Palatino Linotype" w:eastAsia="Times New Roman" w:hAnsi="Palatino Linotype" w:cs="Calibri"/>
                <w:sz w:val="20"/>
                <w:szCs w:val="20"/>
                <w:lang w:eastAsia="en-IN"/>
              </w:rPr>
              <w:t>5,346</w:t>
            </w:r>
          </w:p>
        </w:tc>
        <w:tc>
          <w:tcPr>
            <w:tcW w:w="943" w:type="pct"/>
            <w:tcBorders>
              <w:top w:val="nil"/>
              <w:left w:val="nil"/>
              <w:bottom w:val="single" w:sz="4" w:space="0" w:color="auto"/>
              <w:right w:val="single" w:sz="4" w:space="0" w:color="auto"/>
            </w:tcBorders>
            <w:shd w:val="clear" w:color="auto" w:fill="auto"/>
            <w:vAlign w:val="center"/>
            <w:hideMark/>
          </w:tcPr>
          <w:p w:rsidR="00545C71" w:rsidRPr="00545C71" w:rsidRDefault="00545C71" w:rsidP="00DC34EF">
            <w:pPr>
              <w:jc w:val="center"/>
              <w:rPr>
                <w:rFonts w:ascii="Palatino Linotype" w:eastAsia="Times New Roman" w:hAnsi="Palatino Linotype" w:cs="Calibri"/>
                <w:i/>
                <w:iCs/>
                <w:color w:val="000000"/>
                <w:sz w:val="20"/>
                <w:szCs w:val="20"/>
                <w:lang w:eastAsia="en-IN"/>
              </w:rPr>
            </w:pPr>
            <w:r w:rsidRPr="00545C71">
              <w:rPr>
                <w:rFonts w:ascii="Palatino Linotype" w:eastAsia="Times New Roman" w:hAnsi="Palatino Linotype" w:cs="Calibri"/>
                <w:i/>
                <w:iCs/>
                <w:color w:val="000000"/>
                <w:sz w:val="20"/>
                <w:szCs w:val="20"/>
                <w:lang w:eastAsia="en-IN"/>
              </w:rPr>
              <w:t>2.5</w:t>
            </w:r>
          </w:p>
        </w:tc>
      </w:tr>
      <w:tr w:rsidR="00545C71" w:rsidRPr="00545C71" w:rsidTr="00DC34EF">
        <w:trPr>
          <w:trHeight w:val="281"/>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545C71" w:rsidRPr="00545C71" w:rsidRDefault="00545C71" w:rsidP="00DC34EF">
            <w:pPr>
              <w:ind w:firstLineChars="400" w:firstLine="800"/>
              <w:rPr>
                <w:rFonts w:ascii="Palatino Linotype" w:eastAsia="Times New Roman" w:hAnsi="Palatino Linotype" w:cs="Calibri"/>
                <w:color w:val="000000"/>
                <w:sz w:val="20"/>
                <w:szCs w:val="20"/>
                <w:lang w:eastAsia="en-IN"/>
              </w:rPr>
            </w:pPr>
            <w:r w:rsidRPr="00545C71">
              <w:rPr>
                <w:rFonts w:ascii="Palatino Linotype" w:eastAsia="Times New Roman" w:hAnsi="Palatino Linotype" w:cs="Calibri"/>
                <w:color w:val="000000"/>
                <w:sz w:val="20"/>
                <w:szCs w:val="20"/>
                <w:lang w:eastAsia="en-IN"/>
              </w:rPr>
              <w:t>MCX iCOMDEX</w:t>
            </w:r>
          </w:p>
        </w:tc>
        <w:tc>
          <w:tcPr>
            <w:tcW w:w="898" w:type="pct"/>
            <w:tcBorders>
              <w:top w:val="nil"/>
              <w:left w:val="nil"/>
              <w:bottom w:val="single" w:sz="4" w:space="0" w:color="auto"/>
              <w:right w:val="single" w:sz="4" w:space="0" w:color="auto"/>
            </w:tcBorders>
            <w:shd w:val="clear" w:color="auto" w:fill="auto"/>
            <w:noWrap/>
            <w:hideMark/>
          </w:tcPr>
          <w:p w:rsidR="00545C71" w:rsidRPr="00545C71" w:rsidRDefault="00545C71" w:rsidP="00DC34EF">
            <w:pPr>
              <w:jc w:val="right"/>
              <w:rPr>
                <w:rFonts w:ascii="Palatino Linotype" w:eastAsia="Times New Roman" w:hAnsi="Palatino Linotype" w:cs="Calibri"/>
                <w:sz w:val="20"/>
                <w:szCs w:val="20"/>
                <w:lang w:eastAsia="en-IN"/>
              </w:rPr>
            </w:pPr>
            <w:r w:rsidRPr="00545C71">
              <w:rPr>
                <w:rFonts w:ascii="Palatino Linotype" w:eastAsia="Times New Roman" w:hAnsi="Palatino Linotype" w:cs="Calibri"/>
                <w:sz w:val="20"/>
                <w:szCs w:val="20"/>
                <w:lang w:eastAsia="en-IN"/>
              </w:rPr>
              <w:t>11,459</w:t>
            </w:r>
          </w:p>
        </w:tc>
        <w:tc>
          <w:tcPr>
            <w:tcW w:w="898" w:type="pct"/>
            <w:tcBorders>
              <w:top w:val="nil"/>
              <w:left w:val="nil"/>
              <w:bottom w:val="single" w:sz="4" w:space="0" w:color="auto"/>
              <w:right w:val="single" w:sz="4" w:space="0" w:color="auto"/>
            </w:tcBorders>
            <w:shd w:val="clear" w:color="auto" w:fill="auto"/>
            <w:noWrap/>
            <w:hideMark/>
          </w:tcPr>
          <w:p w:rsidR="00545C71" w:rsidRPr="00545C71" w:rsidRDefault="00545C71" w:rsidP="00DC34EF">
            <w:pPr>
              <w:jc w:val="right"/>
              <w:rPr>
                <w:rFonts w:ascii="Palatino Linotype" w:eastAsia="Times New Roman" w:hAnsi="Palatino Linotype" w:cs="Calibri"/>
                <w:sz w:val="20"/>
                <w:szCs w:val="20"/>
                <w:lang w:eastAsia="en-IN"/>
              </w:rPr>
            </w:pPr>
            <w:r w:rsidRPr="00545C71">
              <w:rPr>
                <w:rFonts w:ascii="Palatino Linotype" w:eastAsia="Times New Roman" w:hAnsi="Palatino Linotype" w:cs="Calibri"/>
                <w:sz w:val="20"/>
                <w:szCs w:val="20"/>
                <w:lang w:eastAsia="en-IN"/>
              </w:rPr>
              <w:t>12,177</w:t>
            </w:r>
          </w:p>
        </w:tc>
        <w:tc>
          <w:tcPr>
            <w:tcW w:w="943" w:type="pct"/>
            <w:tcBorders>
              <w:top w:val="nil"/>
              <w:left w:val="nil"/>
              <w:bottom w:val="single" w:sz="4" w:space="0" w:color="auto"/>
              <w:right w:val="single" w:sz="4" w:space="0" w:color="auto"/>
            </w:tcBorders>
            <w:shd w:val="clear" w:color="auto" w:fill="auto"/>
            <w:vAlign w:val="center"/>
            <w:hideMark/>
          </w:tcPr>
          <w:p w:rsidR="00545C71" w:rsidRPr="00545C71" w:rsidRDefault="00545C71" w:rsidP="00DC34EF">
            <w:pPr>
              <w:jc w:val="center"/>
              <w:rPr>
                <w:rFonts w:ascii="Palatino Linotype" w:eastAsia="Times New Roman" w:hAnsi="Palatino Linotype" w:cs="Calibri"/>
                <w:i/>
                <w:iCs/>
                <w:color w:val="000000"/>
                <w:sz w:val="20"/>
                <w:szCs w:val="20"/>
                <w:lang w:eastAsia="en-IN"/>
              </w:rPr>
            </w:pPr>
            <w:r w:rsidRPr="00545C71">
              <w:rPr>
                <w:rFonts w:ascii="Palatino Linotype" w:eastAsia="Times New Roman" w:hAnsi="Palatino Linotype" w:cs="Calibri"/>
                <w:i/>
                <w:iCs/>
                <w:color w:val="000000"/>
                <w:sz w:val="20"/>
                <w:szCs w:val="20"/>
                <w:lang w:eastAsia="en-IN"/>
              </w:rPr>
              <w:t>6.3</w:t>
            </w:r>
          </w:p>
        </w:tc>
      </w:tr>
      <w:tr w:rsidR="00545C71" w:rsidRPr="00545C71" w:rsidTr="00DC34EF">
        <w:trPr>
          <w:trHeight w:val="255"/>
          <w:jc w:val="center"/>
        </w:trPr>
        <w:tc>
          <w:tcPr>
            <w:tcW w:w="2260" w:type="pct"/>
            <w:tcBorders>
              <w:top w:val="nil"/>
              <w:left w:val="single" w:sz="4" w:space="0" w:color="auto"/>
              <w:bottom w:val="single" w:sz="4" w:space="0" w:color="auto"/>
              <w:right w:val="nil"/>
            </w:tcBorders>
            <w:shd w:val="clear" w:color="auto" w:fill="auto"/>
            <w:vAlign w:val="center"/>
            <w:hideMark/>
          </w:tcPr>
          <w:p w:rsidR="00545C71" w:rsidRPr="00545C71" w:rsidRDefault="00545C71" w:rsidP="00DC34EF">
            <w:pPr>
              <w:rPr>
                <w:rFonts w:ascii="Palatino Linotype" w:eastAsia="Times New Roman" w:hAnsi="Palatino Linotype" w:cs="Calibri"/>
                <w:b/>
                <w:bCs/>
                <w:color w:val="000000"/>
                <w:sz w:val="20"/>
                <w:szCs w:val="20"/>
                <w:lang w:eastAsia="en-IN"/>
              </w:rPr>
            </w:pPr>
            <w:r w:rsidRPr="00545C71">
              <w:rPr>
                <w:rFonts w:ascii="Palatino Linotype" w:eastAsia="Times New Roman" w:hAnsi="Palatino Linotype" w:cs="Calibri"/>
                <w:b/>
                <w:bCs/>
                <w:color w:val="000000"/>
                <w:sz w:val="20"/>
                <w:szCs w:val="20"/>
                <w:lang w:eastAsia="en-IN"/>
              </w:rPr>
              <w:t>B. Turnover Exchange Wise (</w:t>
            </w:r>
            <w:r w:rsidRPr="00545C71">
              <w:rPr>
                <w:rFonts w:ascii="Times New Roman" w:eastAsia="Times New Roman" w:hAnsi="Times New Roman"/>
                <w:b/>
                <w:bCs/>
                <w:color w:val="000000"/>
                <w:sz w:val="20"/>
                <w:szCs w:val="20"/>
                <w:lang w:eastAsia="en-IN"/>
              </w:rPr>
              <w:t>₹</w:t>
            </w:r>
            <w:r w:rsidRPr="00545C71">
              <w:rPr>
                <w:rFonts w:ascii="Palatino Linotype" w:eastAsia="Times New Roman" w:hAnsi="Palatino Linotype" w:cs="Calibri"/>
                <w:b/>
                <w:bCs/>
                <w:color w:val="000000"/>
                <w:sz w:val="20"/>
                <w:szCs w:val="20"/>
                <w:lang w:eastAsia="en-IN"/>
              </w:rPr>
              <w:t>crore)</w:t>
            </w:r>
          </w:p>
        </w:tc>
        <w:tc>
          <w:tcPr>
            <w:tcW w:w="898" w:type="pct"/>
            <w:tcBorders>
              <w:top w:val="nil"/>
              <w:left w:val="nil"/>
              <w:bottom w:val="single" w:sz="4" w:space="0" w:color="auto"/>
              <w:right w:val="nil"/>
            </w:tcBorders>
            <w:shd w:val="clear" w:color="auto" w:fill="auto"/>
            <w:vAlign w:val="center"/>
            <w:hideMark/>
          </w:tcPr>
          <w:p w:rsidR="00545C71" w:rsidRPr="00545C71" w:rsidRDefault="00545C71" w:rsidP="00DC34EF">
            <w:pPr>
              <w:rPr>
                <w:rFonts w:ascii="Palatino Linotype" w:eastAsia="Times New Roman" w:hAnsi="Palatino Linotype" w:cs="Calibri"/>
                <w:b/>
                <w:bCs/>
                <w:color w:val="000000"/>
                <w:sz w:val="20"/>
                <w:szCs w:val="20"/>
                <w:lang w:eastAsia="en-IN"/>
              </w:rPr>
            </w:pPr>
            <w:r w:rsidRPr="00545C71">
              <w:rPr>
                <w:rFonts w:ascii="Palatino Linotype" w:eastAsia="Times New Roman" w:hAnsi="Palatino Linotype" w:cs="Calibri"/>
                <w:b/>
                <w:bCs/>
                <w:color w:val="000000"/>
                <w:sz w:val="20"/>
                <w:szCs w:val="20"/>
                <w:lang w:eastAsia="en-IN"/>
              </w:rPr>
              <w:t> </w:t>
            </w:r>
          </w:p>
        </w:tc>
        <w:tc>
          <w:tcPr>
            <w:tcW w:w="898" w:type="pct"/>
            <w:tcBorders>
              <w:top w:val="nil"/>
              <w:left w:val="nil"/>
              <w:bottom w:val="single" w:sz="4" w:space="0" w:color="auto"/>
              <w:right w:val="nil"/>
            </w:tcBorders>
            <w:shd w:val="clear" w:color="auto" w:fill="auto"/>
            <w:vAlign w:val="center"/>
            <w:hideMark/>
          </w:tcPr>
          <w:p w:rsidR="00545C71" w:rsidRPr="00545C71" w:rsidRDefault="00545C71" w:rsidP="00DC34EF">
            <w:pPr>
              <w:rPr>
                <w:rFonts w:ascii="Palatino Linotype" w:eastAsia="Times New Roman" w:hAnsi="Palatino Linotype" w:cs="Calibri"/>
                <w:b/>
                <w:bCs/>
                <w:color w:val="000000"/>
                <w:sz w:val="20"/>
                <w:szCs w:val="20"/>
                <w:lang w:eastAsia="en-IN"/>
              </w:rPr>
            </w:pPr>
            <w:r w:rsidRPr="00545C71">
              <w:rPr>
                <w:rFonts w:ascii="Palatino Linotype" w:eastAsia="Times New Roman" w:hAnsi="Palatino Linotype" w:cs="Calibri"/>
                <w:b/>
                <w:bCs/>
                <w:color w:val="000000"/>
                <w:sz w:val="20"/>
                <w:szCs w:val="20"/>
                <w:lang w:eastAsia="en-IN"/>
              </w:rPr>
              <w:t> </w:t>
            </w:r>
          </w:p>
        </w:tc>
        <w:tc>
          <w:tcPr>
            <w:tcW w:w="943" w:type="pct"/>
            <w:tcBorders>
              <w:top w:val="nil"/>
              <w:left w:val="nil"/>
              <w:bottom w:val="single" w:sz="4" w:space="0" w:color="auto"/>
              <w:right w:val="single" w:sz="4" w:space="0" w:color="auto"/>
            </w:tcBorders>
            <w:shd w:val="clear" w:color="auto" w:fill="auto"/>
            <w:vAlign w:val="center"/>
            <w:hideMark/>
          </w:tcPr>
          <w:p w:rsidR="00545C71" w:rsidRPr="00545C71" w:rsidRDefault="00545C71" w:rsidP="00DC34EF">
            <w:pPr>
              <w:rPr>
                <w:rFonts w:ascii="Palatino Linotype" w:eastAsia="Times New Roman" w:hAnsi="Palatino Linotype" w:cs="Calibri"/>
                <w:b/>
                <w:bCs/>
                <w:color w:val="000000"/>
                <w:sz w:val="20"/>
                <w:szCs w:val="20"/>
                <w:lang w:eastAsia="en-IN"/>
              </w:rPr>
            </w:pPr>
            <w:r w:rsidRPr="00545C71">
              <w:rPr>
                <w:rFonts w:ascii="Palatino Linotype" w:eastAsia="Times New Roman" w:hAnsi="Palatino Linotype" w:cs="Calibri"/>
                <w:b/>
                <w:bCs/>
                <w:color w:val="000000"/>
                <w:sz w:val="20"/>
                <w:szCs w:val="20"/>
                <w:lang w:eastAsia="en-IN"/>
              </w:rPr>
              <w:t> </w:t>
            </w:r>
          </w:p>
        </w:tc>
      </w:tr>
      <w:tr w:rsidR="00545C71" w:rsidRPr="00545C71" w:rsidTr="00DC34EF">
        <w:trPr>
          <w:trHeight w:val="281"/>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545C71" w:rsidRPr="00545C71" w:rsidRDefault="00545C71" w:rsidP="00DC34EF">
            <w:pPr>
              <w:rPr>
                <w:rFonts w:ascii="Palatino Linotype" w:eastAsia="Times New Roman" w:hAnsi="Palatino Linotype" w:cs="Calibri"/>
                <w:b/>
                <w:bCs/>
                <w:color w:val="000000"/>
                <w:sz w:val="20"/>
                <w:szCs w:val="20"/>
                <w:lang w:eastAsia="en-IN"/>
              </w:rPr>
            </w:pPr>
            <w:r w:rsidRPr="00545C71">
              <w:rPr>
                <w:rFonts w:ascii="Palatino Linotype" w:eastAsia="Times New Roman" w:hAnsi="Palatino Linotype" w:cs="Calibri"/>
                <w:b/>
                <w:bCs/>
                <w:color w:val="000000"/>
                <w:sz w:val="20"/>
                <w:szCs w:val="20"/>
                <w:lang w:eastAsia="en-IN"/>
              </w:rPr>
              <w:t>All-India, of which</w:t>
            </w:r>
          </w:p>
        </w:tc>
        <w:tc>
          <w:tcPr>
            <w:tcW w:w="898" w:type="pct"/>
            <w:tcBorders>
              <w:top w:val="nil"/>
              <w:left w:val="nil"/>
              <w:bottom w:val="single" w:sz="4" w:space="0" w:color="auto"/>
              <w:right w:val="single" w:sz="4" w:space="0" w:color="auto"/>
            </w:tcBorders>
            <w:shd w:val="clear" w:color="auto" w:fill="auto"/>
            <w:noWrap/>
            <w:hideMark/>
          </w:tcPr>
          <w:p w:rsidR="00545C71" w:rsidRPr="00545C71" w:rsidRDefault="00545C71" w:rsidP="00DC34EF">
            <w:pPr>
              <w:jc w:val="right"/>
              <w:rPr>
                <w:rFonts w:ascii="Palatino Linotype" w:eastAsia="Times New Roman" w:hAnsi="Palatino Linotype" w:cs="Calibri"/>
                <w:b/>
                <w:bCs/>
                <w:sz w:val="20"/>
                <w:szCs w:val="20"/>
                <w:lang w:eastAsia="en-IN"/>
              </w:rPr>
            </w:pPr>
            <w:r w:rsidRPr="00545C71">
              <w:rPr>
                <w:rFonts w:ascii="Palatino Linotype" w:eastAsia="Times New Roman" w:hAnsi="Palatino Linotype" w:cs="Calibri"/>
                <w:b/>
                <w:bCs/>
                <w:sz w:val="20"/>
                <w:szCs w:val="20"/>
                <w:lang w:eastAsia="en-IN"/>
              </w:rPr>
              <w:t>8,52,903</w:t>
            </w:r>
          </w:p>
        </w:tc>
        <w:tc>
          <w:tcPr>
            <w:tcW w:w="898" w:type="pct"/>
            <w:tcBorders>
              <w:top w:val="nil"/>
              <w:left w:val="nil"/>
              <w:bottom w:val="single" w:sz="4" w:space="0" w:color="auto"/>
              <w:right w:val="single" w:sz="4" w:space="0" w:color="auto"/>
            </w:tcBorders>
            <w:shd w:val="clear" w:color="auto" w:fill="auto"/>
            <w:noWrap/>
            <w:hideMark/>
          </w:tcPr>
          <w:p w:rsidR="00545C71" w:rsidRPr="00545C71" w:rsidRDefault="00545C71" w:rsidP="00DC34EF">
            <w:pPr>
              <w:jc w:val="right"/>
              <w:rPr>
                <w:rFonts w:ascii="Palatino Linotype" w:eastAsia="Times New Roman" w:hAnsi="Palatino Linotype" w:cs="Calibri"/>
                <w:b/>
                <w:bCs/>
                <w:sz w:val="20"/>
                <w:szCs w:val="20"/>
                <w:lang w:eastAsia="en-IN"/>
              </w:rPr>
            </w:pPr>
            <w:r w:rsidRPr="00545C71">
              <w:rPr>
                <w:rFonts w:ascii="Palatino Linotype" w:eastAsia="Times New Roman" w:hAnsi="Palatino Linotype" w:cs="Calibri"/>
                <w:b/>
                <w:bCs/>
                <w:sz w:val="20"/>
                <w:szCs w:val="20"/>
                <w:lang w:eastAsia="en-IN"/>
              </w:rPr>
              <w:t>9,21,302</w:t>
            </w:r>
          </w:p>
        </w:tc>
        <w:tc>
          <w:tcPr>
            <w:tcW w:w="943" w:type="pct"/>
            <w:tcBorders>
              <w:top w:val="nil"/>
              <w:left w:val="nil"/>
              <w:bottom w:val="single" w:sz="4" w:space="0" w:color="auto"/>
              <w:right w:val="single" w:sz="4" w:space="0" w:color="auto"/>
            </w:tcBorders>
            <w:shd w:val="clear" w:color="auto" w:fill="auto"/>
            <w:vAlign w:val="center"/>
            <w:hideMark/>
          </w:tcPr>
          <w:p w:rsidR="00545C71" w:rsidRPr="00545C71" w:rsidRDefault="00545C71" w:rsidP="00DC34EF">
            <w:pPr>
              <w:jc w:val="center"/>
              <w:rPr>
                <w:rFonts w:ascii="Palatino Linotype" w:eastAsia="Times New Roman" w:hAnsi="Palatino Linotype" w:cs="Calibri"/>
                <w:i/>
                <w:iCs/>
                <w:color w:val="000000"/>
                <w:sz w:val="20"/>
                <w:szCs w:val="20"/>
                <w:lang w:eastAsia="en-IN"/>
              </w:rPr>
            </w:pPr>
            <w:r w:rsidRPr="00545C71">
              <w:rPr>
                <w:rFonts w:ascii="Palatino Linotype" w:eastAsia="Times New Roman" w:hAnsi="Palatino Linotype" w:cs="Calibri"/>
                <w:i/>
                <w:iCs/>
                <w:color w:val="000000"/>
                <w:sz w:val="20"/>
                <w:szCs w:val="20"/>
                <w:lang w:eastAsia="en-IN"/>
              </w:rPr>
              <w:t>8.0</w:t>
            </w:r>
          </w:p>
        </w:tc>
      </w:tr>
      <w:tr w:rsidR="00545C71" w:rsidRPr="00545C71" w:rsidTr="00DC34EF">
        <w:trPr>
          <w:trHeight w:val="281"/>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545C71" w:rsidRPr="00545C71" w:rsidRDefault="00545C71" w:rsidP="00DC34EF">
            <w:pPr>
              <w:rPr>
                <w:rFonts w:ascii="Palatino Linotype" w:eastAsia="Times New Roman" w:hAnsi="Palatino Linotype" w:cs="Calibri"/>
                <w:color w:val="000000"/>
                <w:sz w:val="20"/>
                <w:szCs w:val="20"/>
                <w:lang w:eastAsia="en-IN"/>
              </w:rPr>
            </w:pPr>
            <w:r w:rsidRPr="00545C71">
              <w:rPr>
                <w:rFonts w:ascii="Palatino Linotype" w:eastAsia="Times New Roman" w:hAnsi="Palatino Linotype" w:cs="Calibri"/>
                <w:color w:val="000000"/>
                <w:sz w:val="20"/>
                <w:szCs w:val="20"/>
                <w:lang w:eastAsia="en-IN"/>
              </w:rPr>
              <w:t xml:space="preserve">             Agri. segment</w:t>
            </w:r>
          </w:p>
        </w:tc>
        <w:tc>
          <w:tcPr>
            <w:tcW w:w="898" w:type="pct"/>
            <w:tcBorders>
              <w:top w:val="nil"/>
              <w:left w:val="nil"/>
              <w:bottom w:val="single" w:sz="4" w:space="0" w:color="auto"/>
              <w:right w:val="single" w:sz="4" w:space="0" w:color="auto"/>
            </w:tcBorders>
            <w:shd w:val="clear" w:color="auto" w:fill="auto"/>
            <w:noWrap/>
            <w:hideMark/>
          </w:tcPr>
          <w:p w:rsidR="00545C71" w:rsidRPr="00545C71" w:rsidRDefault="00545C71" w:rsidP="00DC34EF">
            <w:pPr>
              <w:jc w:val="right"/>
              <w:rPr>
                <w:rFonts w:ascii="Palatino Linotype" w:eastAsia="Times New Roman" w:hAnsi="Palatino Linotype" w:cs="Calibri"/>
                <w:sz w:val="20"/>
                <w:szCs w:val="20"/>
                <w:lang w:eastAsia="en-IN"/>
              </w:rPr>
            </w:pPr>
            <w:r w:rsidRPr="00545C71">
              <w:rPr>
                <w:rFonts w:ascii="Palatino Linotype" w:eastAsia="Times New Roman" w:hAnsi="Palatino Linotype" w:cs="Calibri"/>
                <w:sz w:val="20"/>
                <w:szCs w:val="20"/>
                <w:lang w:eastAsia="en-IN"/>
              </w:rPr>
              <w:t>8,06,209</w:t>
            </w:r>
          </w:p>
        </w:tc>
        <w:tc>
          <w:tcPr>
            <w:tcW w:w="898" w:type="pct"/>
            <w:tcBorders>
              <w:top w:val="nil"/>
              <w:left w:val="nil"/>
              <w:bottom w:val="single" w:sz="4" w:space="0" w:color="auto"/>
              <w:right w:val="single" w:sz="4" w:space="0" w:color="auto"/>
            </w:tcBorders>
            <w:shd w:val="clear" w:color="auto" w:fill="auto"/>
            <w:noWrap/>
            <w:hideMark/>
          </w:tcPr>
          <w:p w:rsidR="00545C71" w:rsidRPr="00545C71" w:rsidRDefault="00545C71" w:rsidP="00DC34EF">
            <w:pPr>
              <w:jc w:val="right"/>
              <w:rPr>
                <w:rFonts w:ascii="Palatino Linotype" w:eastAsia="Times New Roman" w:hAnsi="Palatino Linotype" w:cs="Calibri"/>
                <w:sz w:val="20"/>
                <w:szCs w:val="20"/>
                <w:lang w:eastAsia="en-IN"/>
              </w:rPr>
            </w:pPr>
            <w:r w:rsidRPr="00545C71">
              <w:rPr>
                <w:rFonts w:ascii="Palatino Linotype" w:eastAsia="Times New Roman" w:hAnsi="Palatino Linotype" w:cs="Calibri"/>
                <w:sz w:val="20"/>
                <w:szCs w:val="20"/>
                <w:lang w:eastAsia="en-IN"/>
              </w:rPr>
              <w:t>8,69,750</w:t>
            </w:r>
          </w:p>
        </w:tc>
        <w:tc>
          <w:tcPr>
            <w:tcW w:w="943" w:type="pct"/>
            <w:tcBorders>
              <w:top w:val="nil"/>
              <w:left w:val="nil"/>
              <w:bottom w:val="single" w:sz="4" w:space="0" w:color="auto"/>
              <w:right w:val="single" w:sz="4" w:space="0" w:color="auto"/>
            </w:tcBorders>
            <w:shd w:val="clear" w:color="auto" w:fill="auto"/>
            <w:vAlign w:val="center"/>
            <w:hideMark/>
          </w:tcPr>
          <w:p w:rsidR="00545C71" w:rsidRPr="00545C71" w:rsidRDefault="00545C71" w:rsidP="00DC34EF">
            <w:pPr>
              <w:jc w:val="center"/>
              <w:rPr>
                <w:rFonts w:ascii="Palatino Linotype" w:eastAsia="Times New Roman" w:hAnsi="Palatino Linotype" w:cs="Calibri"/>
                <w:i/>
                <w:iCs/>
                <w:color w:val="000000"/>
                <w:sz w:val="20"/>
                <w:szCs w:val="20"/>
                <w:lang w:eastAsia="en-IN"/>
              </w:rPr>
            </w:pPr>
            <w:r w:rsidRPr="00545C71">
              <w:rPr>
                <w:rFonts w:ascii="Palatino Linotype" w:eastAsia="Times New Roman" w:hAnsi="Palatino Linotype" w:cs="Calibri"/>
                <w:i/>
                <w:iCs/>
                <w:color w:val="000000"/>
                <w:sz w:val="20"/>
                <w:szCs w:val="20"/>
                <w:lang w:eastAsia="en-IN"/>
              </w:rPr>
              <w:t>7.9</w:t>
            </w:r>
          </w:p>
        </w:tc>
      </w:tr>
      <w:tr w:rsidR="00545C71" w:rsidRPr="00545C71" w:rsidTr="00DC34EF">
        <w:trPr>
          <w:trHeight w:val="281"/>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545C71" w:rsidRPr="00545C71" w:rsidRDefault="00545C71" w:rsidP="00DC34EF">
            <w:pPr>
              <w:rPr>
                <w:rFonts w:ascii="Palatino Linotype" w:eastAsia="Times New Roman" w:hAnsi="Palatino Linotype" w:cs="Calibri"/>
                <w:color w:val="000000"/>
                <w:sz w:val="20"/>
                <w:szCs w:val="20"/>
                <w:lang w:eastAsia="en-IN"/>
              </w:rPr>
            </w:pPr>
            <w:r w:rsidRPr="00545C71">
              <w:rPr>
                <w:rFonts w:ascii="Palatino Linotype" w:eastAsia="Times New Roman" w:hAnsi="Palatino Linotype" w:cs="Calibri"/>
                <w:color w:val="000000"/>
                <w:sz w:val="20"/>
                <w:szCs w:val="20"/>
                <w:lang w:eastAsia="en-IN"/>
              </w:rPr>
              <w:t xml:space="preserve">             Non-agri segment</w:t>
            </w:r>
          </w:p>
        </w:tc>
        <w:tc>
          <w:tcPr>
            <w:tcW w:w="898" w:type="pct"/>
            <w:tcBorders>
              <w:top w:val="nil"/>
              <w:left w:val="nil"/>
              <w:bottom w:val="single" w:sz="4" w:space="0" w:color="auto"/>
              <w:right w:val="single" w:sz="4" w:space="0" w:color="auto"/>
            </w:tcBorders>
            <w:shd w:val="clear" w:color="auto" w:fill="auto"/>
            <w:noWrap/>
            <w:hideMark/>
          </w:tcPr>
          <w:p w:rsidR="00545C71" w:rsidRPr="00545C71" w:rsidRDefault="00545C71" w:rsidP="00DC34EF">
            <w:pPr>
              <w:jc w:val="right"/>
              <w:rPr>
                <w:rFonts w:ascii="Palatino Linotype" w:eastAsia="Times New Roman" w:hAnsi="Palatino Linotype" w:cs="Calibri"/>
                <w:sz w:val="20"/>
                <w:szCs w:val="20"/>
                <w:lang w:eastAsia="en-IN"/>
              </w:rPr>
            </w:pPr>
            <w:r w:rsidRPr="00545C71">
              <w:rPr>
                <w:rFonts w:ascii="Palatino Linotype" w:eastAsia="Times New Roman" w:hAnsi="Palatino Linotype" w:cs="Calibri"/>
                <w:sz w:val="20"/>
                <w:szCs w:val="20"/>
                <w:lang w:eastAsia="en-IN"/>
              </w:rPr>
              <w:t>46,694</w:t>
            </w:r>
          </w:p>
        </w:tc>
        <w:tc>
          <w:tcPr>
            <w:tcW w:w="898" w:type="pct"/>
            <w:tcBorders>
              <w:top w:val="nil"/>
              <w:left w:val="nil"/>
              <w:bottom w:val="single" w:sz="4" w:space="0" w:color="auto"/>
              <w:right w:val="single" w:sz="4" w:space="0" w:color="auto"/>
            </w:tcBorders>
            <w:shd w:val="clear" w:color="auto" w:fill="auto"/>
            <w:noWrap/>
            <w:hideMark/>
          </w:tcPr>
          <w:p w:rsidR="00545C71" w:rsidRPr="00545C71" w:rsidRDefault="00545C71" w:rsidP="00DC34EF">
            <w:pPr>
              <w:jc w:val="right"/>
              <w:rPr>
                <w:rFonts w:ascii="Palatino Linotype" w:eastAsia="Times New Roman" w:hAnsi="Palatino Linotype" w:cs="Calibri"/>
                <w:sz w:val="20"/>
                <w:szCs w:val="20"/>
                <w:lang w:eastAsia="en-IN"/>
              </w:rPr>
            </w:pPr>
            <w:r w:rsidRPr="00545C71">
              <w:rPr>
                <w:rFonts w:ascii="Palatino Linotype" w:eastAsia="Times New Roman" w:hAnsi="Palatino Linotype" w:cs="Calibri"/>
                <w:sz w:val="20"/>
                <w:szCs w:val="20"/>
                <w:lang w:eastAsia="en-IN"/>
              </w:rPr>
              <w:t>51,552</w:t>
            </w:r>
          </w:p>
        </w:tc>
        <w:tc>
          <w:tcPr>
            <w:tcW w:w="943" w:type="pct"/>
            <w:tcBorders>
              <w:top w:val="nil"/>
              <w:left w:val="nil"/>
              <w:bottom w:val="single" w:sz="4" w:space="0" w:color="auto"/>
              <w:right w:val="single" w:sz="4" w:space="0" w:color="auto"/>
            </w:tcBorders>
            <w:shd w:val="clear" w:color="auto" w:fill="auto"/>
            <w:vAlign w:val="center"/>
            <w:hideMark/>
          </w:tcPr>
          <w:p w:rsidR="00545C71" w:rsidRPr="00545C71" w:rsidRDefault="00545C71" w:rsidP="00DC34EF">
            <w:pPr>
              <w:jc w:val="center"/>
              <w:rPr>
                <w:rFonts w:ascii="Palatino Linotype" w:eastAsia="Times New Roman" w:hAnsi="Palatino Linotype" w:cs="Calibri"/>
                <w:i/>
                <w:iCs/>
                <w:color w:val="000000"/>
                <w:sz w:val="20"/>
                <w:szCs w:val="20"/>
                <w:lang w:eastAsia="en-IN"/>
              </w:rPr>
            </w:pPr>
            <w:r w:rsidRPr="00545C71">
              <w:rPr>
                <w:rFonts w:ascii="Palatino Linotype" w:eastAsia="Times New Roman" w:hAnsi="Palatino Linotype" w:cs="Calibri"/>
                <w:i/>
                <w:iCs/>
                <w:color w:val="000000"/>
                <w:sz w:val="20"/>
                <w:szCs w:val="20"/>
                <w:lang w:eastAsia="en-IN"/>
              </w:rPr>
              <w:t>10.4</w:t>
            </w:r>
          </w:p>
        </w:tc>
      </w:tr>
      <w:tr w:rsidR="00545C71" w:rsidRPr="00545C71" w:rsidTr="00DC34EF">
        <w:trPr>
          <w:trHeight w:val="281"/>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545C71" w:rsidRPr="00545C71" w:rsidRDefault="00545C71" w:rsidP="00DC34EF">
            <w:pPr>
              <w:rPr>
                <w:rFonts w:ascii="Palatino Linotype" w:eastAsia="Times New Roman" w:hAnsi="Palatino Linotype" w:cs="Calibri"/>
                <w:b/>
                <w:bCs/>
                <w:color w:val="000000"/>
                <w:sz w:val="20"/>
                <w:szCs w:val="20"/>
                <w:lang w:eastAsia="en-IN"/>
              </w:rPr>
            </w:pPr>
            <w:r w:rsidRPr="00545C71">
              <w:rPr>
                <w:rFonts w:ascii="Palatino Linotype" w:eastAsia="Times New Roman" w:hAnsi="Palatino Linotype" w:cs="Calibri"/>
                <w:b/>
                <w:bCs/>
                <w:color w:val="000000"/>
                <w:sz w:val="20"/>
                <w:szCs w:val="20"/>
                <w:lang w:eastAsia="en-IN"/>
              </w:rPr>
              <w:t>MCX, of which</w:t>
            </w:r>
          </w:p>
        </w:tc>
        <w:tc>
          <w:tcPr>
            <w:tcW w:w="898" w:type="pct"/>
            <w:tcBorders>
              <w:top w:val="nil"/>
              <w:left w:val="nil"/>
              <w:bottom w:val="single" w:sz="4" w:space="0" w:color="auto"/>
              <w:right w:val="single" w:sz="4" w:space="0" w:color="auto"/>
            </w:tcBorders>
            <w:shd w:val="clear" w:color="auto" w:fill="auto"/>
            <w:noWrap/>
            <w:hideMark/>
          </w:tcPr>
          <w:p w:rsidR="00545C71" w:rsidRPr="00545C71" w:rsidRDefault="00545C71" w:rsidP="00DC34EF">
            <w:pPr>
              <w:jc w:val="right"/>
              <w:rPr>
                <w:rFonts w:ascii="Palatino Linotype" w:eastAsia="Times New Roman" w:hAnsi="Palatino Linotype" w:cs="Calibri"/>
                <w:b/>
                <w:bCs/>
                <w:sz w:val="20"/>
                <w:szCs w:val="20"/>
                <w:lang w:eastAsia="en-IN"/>
              </w:rPr>
            </w:pPr>
            <w:r w:rsidRPr="00545C71">
              <w:rPr>
                <w:rFonts w:ascii="Palatino Linotype" w:eastAsia="Times New Roman" w:hAnsi="Palatino Linotype" w:cs="Calibri"/>
                <w:b/>
                <w:bCs/>
                <w:sz w:val="20"/>
                <w:szCs w:val="20"/>
                <w:lang w:eastAsia="en-IN"/>
              </w:rPr>
              <w:t>7,37,371</w:t>
            </w:r>
          </w:p>
        </w:tc>
        <w:tc>
          <w:tcPr>
            <w:tcW w:w="898" w:type="pct"/>
            <w:tcBorders>
              <w:top w:val="nil"/>
              <w:left w:val="nil"/>
              <w:bottom w:val="single" w:sz="4" w:space="0" w:color="auto"/>
              <w:right w:val="single" w:sz="4" w:space="0" w:color="auto"/>
            </w:tcBorders>
            <w:shd w:val="clear" w:color="auto" w:fill="auto"/>
            <w:noWrap/>
            <w:hideMark/>
          </w:tcPr>
          <w:p w:rsidR="00545C71" w:rsidRPr="00545C71" w:rsidRDefault="00545C71" w:rsidP="00DC34EF">
            <w:pPr>
              <w:jc w:val="right"/>
              <w:rPr>
                <w:rFonts w:ascii="Palatino Linotype" w:eastAsia="Times New Roman" w:hAnsi="Palatino Linotype" w:cs="Calibri"/>
                <w:b/>
                <w:bCs/>
                <w:sz w:val="20"/>
                <w:szCs w:val="20"/>
                <w:lang w:eastAsia="en-IN"/>
              </w:rPr>
            </w:pPr>
            <w:r w:rsidRPr="00545C71">
              <w:rPr>
                <w:rFonts w:ascii="Palatino Linotype" w:eastAsia="Times New Roman" w:hAnsi="Palatino Linotype" w:cs="Calibri"/>
                <w:b/>
                <w:bCs/>
                <w:sz w:val="20"/>
                <w:szCs w:val="20"/>
                <w:lang w:eastAsia="en-IN"/>
              </w:rPr>
              <w:t>7,85,766</w:t>
            </w:r>
          </w:p>
        </w:tc>
        <w:tc>
          <w:tcPr>
            <w:tcW w:w="943" w:type="pct"/>
            <w:tcBorders>
              <w:top w:val="nil"/>
              <w:left w:val="nil"/>
              <w:bottom w:val="single" w:sz="4" w:space="0" w:color="auto"/>
              <w:right w:val="single" w:sz="4" w:space="0" w:color="auto"/>
            </w:tcBorders>
            <w:shd w:val="clear" w:color="auto" w:fill="auto"/>
            <w:vAlign w:val="center"/>
            <w:hideMark/>
          </w:tcPr>
          <w:p w:rsidR="00545C71" w:rsidRPr="00545C71" w:rsidRDefault="00545C71" w:rsidP="00DC34EF">
            <w:pPr>
              <w:jc w:val="center"/>
              <w:rPr>
                <w:rFonts w:ascii="Palatino Linotype" w:eastAsia="Times New Roman" w:hAnsi="Palatino Linotype" w:cs="Calibri"/>
                <w:i/>
                <w:iCs/>
                <w:color w:val="000000"/>
                <w:sz w:val="20"/>
                <w:szCs w:val="20"/>
                <w:lang w:eastAsia="en-IN"/>
              </w:rPr>
            </w:pPr>
            <w:r w:rsidRPr="00545C71">
              <w:rPr>
                <w:rFonts w:ascii="Palatino Linotype" w:eastAsia="Times New Roman" w:hAnsi="Palatino Linotype" w:cs="Calibri"/>
                <w:i/>
                <w:iCs/>
                <w:color w:val="000000"/>
                <w:sz w:val="20"/>
                <w:szCs w:val="20"/>
                <w:lang w:eastAsia="en-IN"/>
              </w:rPr>
              <w:t>6.6</w:t>
            </w:r>
          </w:p>
        </w:tc>
      </w:tr>
      <w:tr w:rsidR="00545C71" w:rsidRPr="00545C71" w:rsidTr="00DC34EF">
        <w:trPr>
          <w:trHeight w:val="281"/>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545C71" w:rsidRPr="00545C71" w:rsidRDefault="00545C71" w:rsidP="00DC34EF">
            <w:pPr>
              <w:rPr>
                <w:rFonts w:ascii="Palatino Linotype" w:eastAsia="Times New Roman" w:hAnsi="Palatino Linotype" w:cs="Calibri"/>
                <w:color w:val="000000"/>
                <w:sz w:val="20"/>
                <w:szCs w:val="20"/>
                <w:lang w:eastAsia="en-IN"/>
              </w:rPr>
            </w:pPr>
            <w:r w:rsidRPr="00545C71">
              <w:rPr>
                <w:rFonts w:ascii="Palatino Linotype" w:eastAsia="Times New Roman" w:hAnsi="Palatino Linotype" w:cs="Calibri"/>
                <w:color w:val="000000"/>
                <w:sz w:val="20"/>
                <w:szCs w:val="20"/>
                <w:lang w:eastAsia="en-IN"/>
              </w:rPr>
              <w:t xml:space="preserve">             Futures</w:t>
            </w:r>
          </w:p>
        </w:tc>
        <w:tc>
          <w:tcPr>
            <w:tcW w:w="898" w:type="pct"/>
            <w:tcBorders>
              <w:top w:val="nil"/>
              <w:left w:val="nil"/>
              <w:bottom w:val="single" w:sz="4" w:space="0" w:color="auto"/>
              <w:right w:val="single" w:sz="4" w:space="0" w:color="auto"/>
            </w:tcBorders>
            <w:shd w:val="clear" w:color="auto" w:fill="auto"/>
            <w:noWrap/>
            <w:hideMark/>
          </w:tcPr>
          <w:p w:rsidR="00545C71" w:rsidRPr="00545C71" w:rsidRDefault="00545C71" w:rsidP="00DC34EF">
            <w:pPr>
              <w:jc w:val="right"/>
              <w:rPr>
                <w:rFonts w:ascii="Palatino Linotype" w:eastAsia="Times New Roman" w:hAnsi="Palatino Linotype" w:cs="Calibri"/>
                <w:sz w:val="20"/>
                <w:szCs w:val="20"/>
                <w:lang w:eastAsia="en-IN"/>
              </w:rPr>
            </w:pPr>
            <w:r w:rsidRPr="00545C71">
              <w:rPr>
                <w:rFonts w:ascii="Palatino Linotype" w:eastAsia="Times New Roman" w:hAnsi="Palatino Linotype" w:cs="Calibri"/>
                <w:sz w:val="20"/>
                <w:szCs w:val="20"/>
                <w:lang w:eastAsia="en-IN"/>
              </w:rPr>
              <w:t>5,69,260</w:t>
            </w:r>
          </w:p>
        </w:tc>
        <w:tc>
          <w:tcPr>
            <w:tcW w:w="898" w:type="pct"/>
            <w:tcBorders>
              <w:top w:val="nil"/>
              <w:left w:val="nil"/>
              <w:bottom w:val="single" w:sz="4" w:space="0" w:color="auto"/>
              <w:right w:val="single" w:sz="4" w:space="0" w:color="auto"/>
            </w:tcBorders>
            <w:shd w:val="clear" w:color="auto" w:fill="auto"/>
            <w:noWrap/>
            <w:hideMark/>
          </w:tcPr>
          <w:p w:rsidR="00545C71" w:rsidRPr="00545C71" w:rsidRDefault="00545C71" w:rsidP="00DC34EF">
            <w:pPr>
              <w:jc w:val="right"/>
              <w:rPr>
                <w:rFonts w:ascii="Palatino Linotype" w:eastAsia="Times New Roman" w:hAnsi="Palatino Linotype" w:cs="Calibri"/>
                <w:sz w:val="20"/>
                <w:szCs w:val="20"/>
                <w:lang w:eastAsia="en-IN"/>
              </w:rPr>
            </w:pPr>
            <w:r w:rsidRPr="00545C71">
              <w:rPr>
                <w:rFonts w:ascii="Palatino Linotype" w:eastAsia="Times New Roman" w:hAnsi="Palatino Linotype" w:cs="Calibri"/>
                <w:sz w:val="20"/>
                <w:szCs w:val="20"/>
                <w:lang w:eastAsia="en-IN"/>
              </w:rPr>
              <w:t>6,10,417</w:t>
            </w:r>
          </w:p>
        </w:tc>
        <w:tc>
          <w:tcPr>
            <w:tcW w:w="943" w:type="pct"/>
            <w:tcBorders>
              <w:top w:val="nil"/>
              <w:left w:val="nil"/>
              <w:bottom w:val="single" w:sz="4" w:space="0" w:color="auto"/>
              <w:right w:val="single" w:sz="4" w:space="0" w:color="auto"/>
            </w:tcBorders>
            <w:shd w:val="clear" w:color="auto" w:fill="auto"/>
            <w:vAlign w:val="center"/>
            <w:hideMark/>
          </w:tcPr>
          <w:p w:rsidR="00545C71" w:rsidRPr="00545C71" w:rsidRDefault="00545C71" w:rsidP="00DC34EF">
            <w:pPr>
              <w:jc w:val="center"/>
              <w:rPr>
                <w:rFonts w:ascii="Palatino Linotype" w:eastAsia="Times New Roman" w:hAnsi="Palatino Linotype" w:cs="Calibri"/>
                <w:i/>
                <w:iCs/>
                <w:color w:val="000000"/>
                <w:sz w:val="20"/>
                <w:szCs w:val="20"/>
                <w:lang w:eastAsia="en-IN"/>
              </w:rPr>
            </w:pPr>
            <w:r w:rsidRPr="00545C71">
              <w:rPr>
                <w:rFonts w:ascii="Palatino Linotype" w:eastAsia="Times New Roman" w:hAnsi="Palatino Linotype" w:cs="Calibri"/>
                <w:i/>
                <w:iCs/>
                <w:color w:val="000000"/>
                <w:sz w:val="20"/>
                <w:szCs w:val="20"/>
                <w:lang w:eastAsia="en-IN"/>
              </w:rPr>
              <w:t>7.2</w:t>
            </w:r>
          </w:p>
        </w:tc>
      </w:tr>
      <w:tr w:rsidR="00545C71" w:rsidRPr="00545C71" w:rsidTr="00DC34EF">
        <w:trPr>
          <w:trHeight w:val="281"/>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545C71" w:rsidRPr="00545C71" w:rsidRDefault="00545C71" w:rsidP="00DC34EF">
            <w:pPr>
              <w:rPr>
                <w:rFonts w:ascii="Palatino Linotype" w:eastAsia="Times New Roman" w:hAnsi="Palatino Linotype" w:cs="Calibri"/>
                <w:color w:val="000000"/>
                <w:sz w:val="20"/>
                <w:szCs w:val="20"/>
                <w:lang w:eastAsia="en-IN"/>
              </w:rPr>
            </w:pPr>
            <w:r w:rsidRPr="00545C71">
              <w:rPr>
                <w:rFonts w:ascii="Palatino Linotype" w:eastAsia="Times New Roman" w:hAnsi="Palatino Linotype" w:cs="Calibri"/>
                <w:color w:val="000000"/>
                <w:sz w:val="20"/>
                <w:szCs w:val="20"/>
                <w:lang w:eastAsia="en-IN"/>
              </w:rPr>
              <w:t xml:space="preserve">            Options</w:t>
            </w:r>
          </w:p>
        </w:tc>
        <w:tc>
          <w:tcPr>
            <w:tcW w:w="898" w:type="pct"/>
            <w:tcBorders>
              <w:top w:val="nil"/>
              <w:left w:val="nil"/>
              <w:bottom w:val="single" w:sz="4" w:space="0" w:color="auto"/>
              <w:right w:val="single" w:sz="4" w:space="0" w:color="auto"/>
            </w:tcBorders>
            <w:shd w:val="clear" w:color="auto" w:fill="auto"/>
            <w:noWrap/>
            <w:hideMark/>
          </w:tcPr>
          <w:p w:rsidR="00545C71" w:rsidRPr="00545C71" w:rsidRDefault="00545C71" w:rsidP="00DC34EF">
            <w:pPr>
              <w:jc w:val="right"/>
              <w:rPr>
                <w:rFonts w:ascii="Palatino Linotype" w:eastAsia="Times New Roman" w:hAnsi="Palatino Linotype" w:cs="Calibri"/>
                <w:sz w:val="20"/>
                <w:szCs w:val="20"/>
                <w:lang w:eastAsia="en-IN"/>
              </w:rPr>
            </w:pPr>
            <w:r w:rsidRPr="00545C71">
              <w:rPr>
                <w:rFonts w:ascii="Palatino Linotype" w:eastAsia="Times New Roman" w:hAnsi="Palatino Linotype" w:cs="Calibri"/>
                <w:sz w:val="20"/>
                <w:szCs w:val="20"/>
                <w:lang w:eastAsia="en-IN"/>
              </w:rPr>
              <w:t>1,68,112</w:t>
            </w:r>
          </w:p>
        </w:tc>
        <w:tc>
          <w:tcPr>
            <w:tcW w:w="898" w:type="pct"/>
            <w:tcBorders>
              <w:top w:val="nil"/>
              <w:left w:val="nil"/>
              <w:bottom w:val="single" w:sz="4" w:space="0" w:color="auto"/>
              <w:right w:val="single" w:sz="4" w:space="0" w:color="auto"/>
            </w:tcBorders>
            <w:shd w:val="clear" w:color="auto" w:fill="auto"/>
            <w:noWrap/>
            <w:hideMark/>
          </w:tcPr>
          <w:p w:rsidR="00545C71" w:rsidRPr="00545C71" w:rsidRDefault="00545C71" w:rsidP="00DC34EF">
            <w:pPr>
              <w:jc w:val="right"/>
              <w:rPr>
                <w:rFonts w:ascii="Palatino Linotype" w:eastAsia="Times New Roman" w:hAnsi="Palatino Linotype" w:cs="Calibri"/>
                <w:sz w:val="20"/>
                <w:szCs w:val="20"/>
                <w:lang w:eastAsia="en-IN"/>
              </w:rPr>
            </w:pPr>
            <w:r w:rsidRPr="00545C71">
              <w:rPr>
                <w:rFonts w:ascii="Palatino Linotype" w:eastAsia="Times New Roman" w:hAnsi="Palatino Linotype" w:cs="Calibri"/>
                <w:sz w:val="20"/>
                <w:szCs w:val="20"/>
                <w:lang w:eastAsia="en-IN"/>
              </w:rPr>
              <w:t>1,75,349</w:t>
            </w:r>
          </w:p>
        </w:tc>
        <w:tc>
          <w:tcPr>
            <w:tcW w:w="943" w:type="pct"/>
            <w:tcBorders>
              <w:top w:val="nil"/>
              <w:left w:val="nil"/>
              <w:bottom w:val="single" w:sz="4" w:space="0" w:color="auto"/>
              <w:right w:val="single" w:sz="4" w:space="0" w:color="auto"/>
            </w:tcBorders>
            <w:shd w:val="clear" w:color="auto" w:fill="auto"/>
            <w:vAlign w:val="center"/>
            <w:hideMark/>
          </w:tcPr>
          <w:p w:rsidR="00545C71" w:rsidRPr="00545C71" w:rsidRDefault="00545C71" w:rsidP="00DC34EF">
            <w:pPr>
              <w:jc w:val="center"/>
              <w:rPr>
                <w:rFonts w:ascii="Palatino Linotype" w:eastAsia="Times New Roman" w:hAnsi="Palatino Linotype" w:cs="Calibri"/>
                <w:i/>
                <w:iCs/>
                <w:color w:val="000000"/>
                <w:sz w:val="20"/>
                <w:szCs w:val="20"/>
                <w:lang w:eastAsia="en-IN"/>
              </w:rPr>
            </w:pPr>
            <w:r w:rsidRPr="00545C71">
              <w:rPr>
                <w:rFonts w:ascii="Palatino Linotype" w:eastAsia="Times New Roman" w:hAnsi="Palatino Linotype" w:cs="Calibri"/>
                <w:i/>
                <w:iCs/>
                <w:color w:val="000000"/>
                <w:sz w:val="20"/>
                <w:szCs w:val="20"/>
                <w:lang w:eastAsia="en-IN"/>
              </w:rPr>
              <w:t>4.3</w:t>
            </w:r>
          </w:p>
        </w:tc>
      </w:tr>
      <w:tr w:rsidR="00545C71" w:rsidRPr="00545C71" w:rsidTr="00DC34EF">
        <w:trPr>
          <w:trHeight w:val="281"/>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545C71" w:rsidRPr="00545C71" w:rsidRDefault="00545C71" w:rsidP="00DC34EF">
            <w:pPr>
              <w:rPr>
                <w:rFonts w:ascii="Palatino Linotype" w:eastAsia="Times New Roman" w:hAnsi="Palatino Linotype" w:cs="Calibri"/>
                <w:b/>
                <w:bCs/>
                <w:color w:val="000000"/>
                <w:sz w:val="20"/>
                <w:szCs w:val="20"/>
                <w:lang w:eastAsia="en-IN"/>
              </w:rPr>
            </w:pPr>
            <w:r w:rsidRPr="00545C71">
              <w:rPr>
                <w:rFonts w:ascii="Palatino Linotype" w:eastAsia="Times New Roman" w:hAnsi="Palatino Linotype" w:cs="Calibri"/>
                <w:b/>
                <w:bCs/>
                <w:color w:val="000000"/>
                <w:sz w:val="20"/>
                <w:szCs w:val="20"/>
                <w:lang w:eastAsia="en-IN"/>
              </w:rPr>
              <w:t>BSE, of which</w:t>
            </w:r>
          </w:p>
        </w:tc>
        <w:tc>
          <w:tcPr>
            <w:tcW w:w="898" w:type="pct"/>
            <w:tcBorders>
              <w:top w:val="nil"/>
              <w:left w:val="nil"/>
              <w:bottom w:val="single" w:sz="4" w:space="0" w:color="auto"/>
              <w:right w:val="single" w:sz="4" w:space="0" w:color="auto"/>
            </w:tcBorders>
            <w:shd w:val="clear" w:color="auto" w:fill="auto"/>
            <w:noWrap/>
            <w:hideMark/>
          </w:tcPr>
          <w:p w:rsidR="00545C71" w:rsidRPr="00545C71" w:rsidRDefault="00545C71" w:rsidP="00DC34EF">
            <w:pPr>
              <w:jc w:val="right"/>
              <w:rPr>
                <w:rFonts w:ascii="Palatino Linotype" w:eastAsia="Times New Roman" w:hAnsi="Palatino Linotype" w:cs="Calibri"/>
                <w:b/>
                <w:bCs/>
                <w:sz w:val="20"/>
                <w:szCs w:val="20"/>
                <w:lang w:eastAsia="en-IN"/>
              </w:rPr>
            </w:pPr>
            <w:r w:rsidRPr="00545C71">
              <w:rPr>
                <w:rFonts w:ascii="Palatino Linotype" w:eastAsia="Times New Roman" w:hAnsi="Palatino Linotype" w:cs="Calibri"/>
                <w:b/>
                <w:bCs/>
                <w:sz w:val="20"/>
                <w:szCs w:val="20"/>
                <w:lang w:eastAsia="en-IN"/>
              </w:rPr>
              <w:t>74,424</w:t>
            </w:r>
          </w:p>
        </w:tc>
        <w:tc>
          <w:tcPr>
            <w:tcW w:w="898" w:type="pct"/>
            <w:tcBorders>
              <w:top w:val="nil"/>
              <w:left w:val="nil"/>
              <w:bottom w:val="single" w:sz="4" w:space="0" w:color="auto"/>
              <w:right w:val="single" w:sz="4" w:space="0" w:color="auto"/>
            </w:tcBorders>
            <w:shd w:val="clear" w:color="auto" w:fill="auto"/>
            <w:noWrap/>
            <w:hideMark/>
          </w:tcPr>
          <w:p w:rsidR="00545C71" w:rsidRPr="00545C71" w:rsidRDefault="00545C71" w:rsidP="00DC34EF">
            <w:pPr>
              <w:jc w:val="right"/>
              <w:rPr>
                <w:rFonts w:ascii="Palatino Linotype" w:eastAsia="Times New Roman" w:hAnsi="Palatino Linotype" w:cs="Calibri"/>
                <w:b/>
                <w:bCs/>
                <w:sz w:val="20"/>
                <w:szCs w:val="20"/>
                <w:lang w:eastAsia="en-IN"/>
              </w:rPr>
            </w:pPr>
            <w:r w:rsidRPr="00545C71">
              <w:rPr>
                <w:rFonts w:ascii="Palatino Linotype" w:eastAsia="Times New Roman" w:hAnsi="Palatino Linotype" w:cs="Calibri"/>
                <w:b/>
                <w:bCs/>
                <w:sz w:val="20"/>
                <w:szCs w:val="20"/>
                <w:lang w:eastAsia="en-IN"/>
              </w:rPr>
              <w:t>94,248</w:t>
            </w:r>
          </w:p>
        </w:tc>
        <w:tc>
          <w:tcPr>
            <w:tcW w:w="943" w:type="pct"/>
            <w:tcBorders>
              <w:top w:val="nil"/>
              <w:left w:val="nil"/>
              <w:bottom w:val="single" w:sz="4" w:space="0" w:color="auto"/>
              <w:right w:val="single" w:sz="4" w:space="0" w:color="auto"/>
            </w:tcBorders>
            <w:shd w:val="clear" w:color="auto" w:fill="auto"/>
            <w:vAlign w:val="center"/>
            <w:hideMark/>
          </w:tcPr>
          <w:p w:rsidR="00545C71" w:rsidRPr="00545C71" w:rsidRDefault="00545C71" w:rsidP="00DC34EF">
            <w:pPr>
              <w:jc w:val="center"/>
              <w:rPr>
                <w:rFonts w:ascii="Palatino Linotype" w:eastAsia="Times New Roman" w:hAnsi="Palatino Linotype" w:cs="Calibri"/>
                <w:i/>
                <w:iCs/>
                <w:color w:val="000000"/>
                <w:sz w:val="20"/>
                <w:szCs w:val="20"/>
                <w:lang w:eastAsia="en-IN"/>
              </w:rPr>
            </w:pPr>
            <w:r w:rsidRPr="00545C71">
              <w:rPr>
                <w:rFonts w:ascii="Palatino Linotype" w:eastAsia="Times New Roman" w:hAnsi="Palatino Linotype" w:cs="Calibri"/>
                <w:i/>
                <w:iCs/>
                <w:color w:val="000000"/>
                <w:sz w:val="20"/>
                <w:szCs w:val="20"/>
                <w:lang w:eastAsia="en-IN"/>
              </w:rPr>
              <w:t>26.6</w:t>
            </w:r>
          </w:p>
        </w:tc>
      </w:tr>
      <w:tr w:rsidR="00545C71" w:rsidRPr="00545C71" w:rsidTr="00DC34EF">
        <w:trPr>
          <w:trHeight w:val="281"/>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545C71" w:rsidRPr="00545C71" w:rsidRDefault="00545C71" w:rsidP="00DC34EF">
            <w:pPr>
              <w:rPr>
                <w:rFonts w:ascii="Palatino Linotype" w:eastAsia="Times New Roman" w:hAnsi="Palatino Linotype" w:cs="Calibri"/>
                <w:color w:val="000000"/>
                <w:sz w:val="20"/>
                <w:szCs w:val="20"/>
                <w:lang w:eastAsia="en-IN"/>
              </w:rPr>
            </w:pPr>
            <w:r w:rsidRPr="00545C71">
              <w:rPr>
                <w:rFonts w:ascii="Palatino Linotype" w:eastAsia="Times New Roman" w:hAnsi="Palatino Linotype" w:cs="Calibri"/>
                <w:color w:val="000000"/>
                <w:sz w:val="20"/>
                <w:szCs w:val="20"/>
                <w:lang w:eastAsia="en-IN"/>
              </w:rPr>
              <w:t xml:space="preserve">             Futures</w:t>
            </w:r>
          </w:p>
        </w:tc>
        <w:tc>
          <w:tcPr>
            <w:tcW w:w="898" w:type="pct"/>
            <w:tcBorders>
              <w:top w:val="nil"/>
              <w:left w:val="nil"/>
              <w:bottom w:val="single" w:sz="4" w:space="0" w:color="auto"/>
              <w:right w:val="single" w:sz="4" w:space="0" w:color="auto"/>
            </w:tcBorders>
            <w:shd w:val="clear" w:color="auto" w:fill="auto"/>
            <w:noWrap/>
            <w:hideMark/>
          </w:tcPr>
          <w:p w:rsidR="00545C71" w:rsidRPr="00545C71" w:rsidRDefault="00545C71" w:rsidP="00DC34EF">
            <w:pPr>
              <w:jc w:val="right"/>
              <w:rPr>
                <w:rFonts w:ascii="Palatino Linotype" w:eastAsia="Times New Roman" w:hAnsi="Palatino Linotype" w:cs="Calibri"/>
                <w:sz w:val="20"/>
                <w:szCs w:val="20"/>
                <w:lang w:eastAsia="en-IN"/>
              </w:rPr>
            </w:pPr>
            <w:r w:rsidRPr="00545C71">
              <w:rPr>
                <w:rFonts w:ascii="Palatino Linotype" w:eastAsia="Times New Roman" w:hAnsi="Palatino Linotype" w:cs="Calibri"/>
                <w:sz w:val="20"/>
                <w:szCs w:val="20"/>
                <w:lang w:eastAsia="en-IN"/>
              </w:rPr>
              <w:t>316</w:t>
            </w:r>
          </w:p>
        </w:tc>
        <w:tc>
          <w:tcPr>
            <w:tcW w:w="898" w:type="pct"/>
            <w:tcBorders>
              <w:top w:val="nil"/>
              <w:left w:val="nil"/>
              <w:bottom w:val="single" w:sz="4" w:space="0" w:color="auto"/>
              <w:right w:val="single" w:sz="4" w:space="0" w:color="auto"/>
            </w:tcBorders>
            <w:shd w:val="clear" w:color="auto" w:fill="auto"/>
            <w:noWrap/>
            <w:hideMark/>
          </w:tcPr>
          <w:p w:rsidR="00545C71" w:rsidRPr="00545C71" w:rsidRDefault="00545C71" w:rsidP="00DC34EF">
            <w:pPr>
              <w:jc w:val="right"/>
              <w:rPr>
                <w:rFonts w:ascii="Palatino Linotype" w:eastAsia="Times New Roman" w:hAnsi="Palatino Linotype" w:cs="Calibri"/>
                <w:sz w:val="20"/>
                <w:szCs w:val="20"/>
                <w:lang w:eastAsia="en-IN"/>
              </w:rPr>
            </w:pPr>
            <w:r w:rsidRPr="00545C71">
              <w:rPr>
                <w:rFonts w:ascii="Palatino Linotype" w:eastAsia="Times New Roman" w:hAnsi="Palatino Linotype" w:cs="Calibri"/>
                <w:sz w:val="20"/>
                <w:szCs w:val="20"/>
                <w:lang w:eastAsia="en-IN"/>
              </w:rPr>
              <w:t>396</w:t>
            </w:r>
          </w:p>
        </w:tc>
        <w:tc>
          <w:tcPr>
            <w:tcW w:w="943" w:type="pct"/>
            <w:tcBorders>
              <w:top w:val="nil"/>
              <w:left w:val="nil"/>
              <w:bottom w:val="single" w:sz="4" w:space="0" w:color="auto"/>
              <w:right w:val="single" w:sz="4" w:space="0" w:color="auto"/>
            </w:tcBorders>
            <w:shd w:val="clear" w:color="auto" w:fill="auto"/>
            <w:vAlign w:val="center"/>
            <w:hideMark/>
          </w:tcPr>
          <w:p w:rsidR="00545C71" w:rsidRPr="00545C71" w:rsidRDefault="00545C71" w:rsidP="00DC34EF">
            <w:pPr>
              <w:jc w:val="center"/>
              <w:rPr>
                <w:rFonts w:ascii="Palatino Linotype" w:eastAsia="Times New Roman" w:hAnsi="Palatino Linotype" w:cs="Calibri"/>
                <w:i/>
                <w:iCs/>
                <w:color w:val="000000"/>
                <w:sz w:val="20"/>
                <w:szCs w:val="20"/>
                <w:lang w:eastAsia="en-IN"/>
              </w:rPr>
            </w:pPr>
            <w:r w:rsidRPr="00545C71">
              <w:rPr>
                <w:rFonts w:ascii="Palatino Linotype" w:eastAsia="Times New Roman" w:hAnsi="Palatino Linotype" w:cs="Calibri"/>
                <w:i/>
                <w:iCs/>
                <w:color w:val="000000"/>
                <w:sz w:val="20"/>
                <w:szCs w:val="20"/>
                <w:lang w:eastAsia="en-IN"/>
              </w:rPr>
              <w:t>25.5</w:t>
            </w:r>
          </w:p>
        </w:tc>
      </w:tr>
      <w:tr w:rsidR="00545C71" w:rsidRPr="00545C71" w:rsidTr="00DC34EF">
        <w:trPr>
          <w:trHeight w:val="281"/>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545C71" w:rsidRPr="00545C71" w:rsidRDefault="00545C71" w:rsidP="00DC34EF">
            <w:pPr>
              <w:rPr>
                <w:rFonts w:ascii="Palatino Linotype" w:eastAsia="Times New Roman" w:hAnsi="Palatino Linotype" w:cs="Calibri"/>
                <w:color w:val="000000"/>
                <w:sz w:val="20"/>
                <w:szCs w:val="20"/>
                <w:lang w:eastAsia="en-IN"/>
              </w:rPr>
            </w:pPr>
            <w:r w:rsidRPr="00545C71">
              <w:rPr>
                <w:rFonts w:ascii="Palatino Linotype" w:eastAsia="Times New Roman" w:hAnsi="Palatino Linotype" w:cs="Calibri"/>
                <w:color w:val="000000"/>
                <w:sz w:val="20"/>
                <w:szCs w:val="20"/>
                <w:lang w:eastAsia="en-IN"/>
              </w:rPr>
              <w:t xml:space="preserve">            Options</w:t>
            </w:r>
          </w:p>
        </w:tc>
        <w:tc>
          <w:tcPr>
            <w:tcW w:w="898" w:type="pct"/>
            <w:tcBorders>
              <w:top w:val="nil"/>
              <w:left w:val="nil"/>
              <w:bottom w:val="single" w:sz="4" w:space="0" w:color="auto"/>
              <w:right w:val="single" w:sz="4" w:space="0" w:color="auto"/>
            </w:tcBorders>
            <w:shd w:val="clear" w:color="auto" w:fill="auto"/>
            <w:noWrap/>
            <w:hideMark/>
          </w:tcPr>
          <w:p w:rsidR="00545C71" w:rsidRPr="00545C71" w:rsidRDefault="00545C71" w:rsidP="00DC34EF">
            <w:pPr>
              <w:jc w:val="right"/>
              <w:rPr>
                <w:rFonts w:ascii="Palatino Linotype" w:eastAsia="Times New Roman" w:hAnsi="Palatino Linotype" w:cs="Calibri"/>
                <w:sz w:val="20"/>
                <w:szCs w:val="20"/>
                <w:lang w:eastAsia="en-IN"/>
              </w:rPr>
            </w:pPr>
            <w:r w:rsidRPr="00545C71">
              <w:rPr>
                <w:rFonts w:ascii="Palatino Linotype" w:eastAsia="Times New Roman" w:hAnsi="Palatino Linotype" w:cs="Calibri"/>
                <w:sz w:val="20"/>
                <w:szCs w:val="20"/>
                <w:lang w:eastAsia="en-IN"/>
              </w:rPr>
              <w:t>74,108</w:t>
            </w:r>
          </w:p>
        </w:tc>
        <w:tc>
          <w:tcPr>
            <w:tcW w:w="898" w:type="pct"/>
            <w:tcBorders>
              <w:top w:val="nil"/>
              <w:left w:val="nil"/>
              <w:bottom w:val="single" w:sz="4" w:space="0" w:color="auto"/>
              <w:right w:val="single" w:sz="4" w:space="0" w:color="auto"/>
            </w:tcBorders>
            <w:shd w:val="clear" w:color="auto" w:fill="auto"/>
            <w:noWrap/>
            <w:hideMark/>
          </w:tcPr>
          <w:p w:rsidR="00545C71" w:rsidRPr="00545C71" w:rsidRDefault="00545C71" w:rsidP="00DC34EF">
            <w:pPr>
              <w:jc w:val="right"/>
              <w:rPr>
                <w:rFonts w:ascii="Palatino Linotype" w:eastAsia="Times New Roman" w:hAnsi="Palatino Linotype" w:cs="Calibri"/>
                <w:sz w:val="20"/>
                <w:szCs w:val="20"/>
                <w:lang w:eastAsia="en-IN"/>
              </w:rPr>
            </w:pPr>
            <w:r w:rsidRPr="00545C71">
              <w:rPr>
                <w:rFonts w:ascii="Palatino Linotype" w:eastAsia="Times New Roman" w:hAnsi="Palatino Linotype" w:cs="Calibri"/>
                <w:sz w:val="20"/>
                <w:szCs w:val="20"/>
                <w:lang w:eastAsia="en-IN"/>
              </w:rPr>
              <w:t>93,852</w:t>
            </w:r>
          </w:p>
        </w:tc>
        <w:tc>
          <w:tcPr>
            <w:tcW w:w="943" w:type="pct"/>
            <w:tcBorders>
              <w:top w:val="nil"/>
              <w:left w:val="nil"/>
              <w:bottom w:val="single" w:sz="4" w:space="0" w:color="auto"/>
              <w:right w:val="single" w:sz="4" w:space="0" w:color="auto"/>
            </w:tcBorders>
            <w:shd w:val="clear" w:color="auto" w:fill="auto"/>
            <w:vAlign w:val="center"/>
            <w:hideMark/>
          </w:tcPr>
          <w:p w:rsidR="00545C71" w:rsidRPr="00545C71" w:rsidRDefault="00545C71" w:rsidP="00DC34EF">
            <w:pPr>
              <w:jc w:val="center"/>
              <w:rPr>
                <w:rFonts w:ascii="Palatino Linotype" w:eastAsia="Times New Roman" w:hAnsi="Palatino Linotype" w:cs="Calibri"/>
                <w:i/>
                <w:iCs/>
                <w:color w:val="000000"/>
                <w:sz w:val="20"/>
                <w:szCs w:val="20"/>
                <w:lang w:eastAsia="en-IN"/>
              </w:rPr>
            </w:pPr>
            <w:r w:rsidRPr="00545C71">
              <w:rPr>
                <w:rFonts w:ascii="Palatino Linotype" w:eastAsia="Times New Roman" w:hAnsi="Palatino Linotype" w:cs="Calibri"/>
                <w:i/>
                <w:iCs/>
                <w:color w:val="000000"/>
                <w:sz w:val="20"/>
                <w:szCs w:val="20"/>
                <w:lang w:eastAsia="en-IN"/>
              </w:rPr>
              <w:t>26.6</w:t>
            </w:r>
          </w:p>
        </w:tc>
      </w:tr>
      <w:tr w:rsidR="00545C71" w:rsidRPr="00545C71" w:rsidTr="00DC34EF">
        <w:trPr>
          <w:trHeight w:val="281"/>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545C71" w:rsidRPr="00545C71" w:rsidRDefault="00545C71" w:rsidP="00DC34EF">
            <w:pPr>
              <w:rPr>
                <w:rFonts w:ascii="Palatino Linotype" w:eastAsia="Times New Roman" w:hAnsi="Palatino Linotype" w:cs="Calibri"/>
                <w:b/>
                <w:bCs/>
                <w:color w:val="000000"/>
                <w:sz w:val="20"/>
                <w:szCs w:val="20"/>
                <w:lang w:eastAsia="en-IN"/>
              </w:rPr>
            </w:pPr>
            <w:r w:rsidRPr="00545C71">
              <w:rPr>
                <w:rFonts w:ascii="Palatino Linotype" w:eastAsia="Times New Roman" w:hAnsi="Palatino Linotype" w:cs="Calibri"/>
                <w:b/>
                <w:bCs/>
                <w:color w:val="000000"/>
                <w:sz w:val="20"/>
                <w:szCs w:val="20"/>
                <w:lang w:eastAsia="en-IN"/>
              </w:rPr>
              <w:t>NCDEX, of which</w:t>
            </w:r>
          </w:p>
        </w:tc>
        <w:tc>
          <w:tcPr>
            <w:tcW w:w="898" w:type="pct"/>
            <w:tcBorders>
              <w:top w:val="nil"/>
              <w:left w:val="nil"/>
              <w:bottom w:val="single" w:sz="4" w:space="0" w:color="auto"/>
              <w:right w:val="single" w:sz="4" w:space="0" w:color="auto"/>
            </w:tcBorders>
            <w:shd w:val="clear" w:color="auto" w:fill="auto"/>
            <w:noWrap/>
            <w:hideMark/>
          </w:tcPr>
          <w:p w:rsidR="00545C71" w:rsidRPr="00545C71" w:rsidRDefault="00545C71" w:rsidP="00DC34EF">
            <w:pPr>
              <w:jc w:val="right"/>
              <w:rPr>
                <w:rFonts w:ascii="Palatino Linotype" w:eastAsia="Times New Roman" w:hAnsi="Palatino Linotype" w:cs="Calibri"/>
                <w:b/>
                <w:bCs/>
                <w:sz w:val="20"/>
                <w:szCs w:val="20"/>
                <w:lang w:eastAsia="en-IN"/>
              </w:rPr>
            </w:pPr>
            <w:r w:rsidRPr="00545C71">
              <w:rPr>
                <w:rFonts w:ascii="Palatino Linotype" w:eastAsia="Times New Roman" w:hAnsi="Palatino Linotype" w:cs="Calibri"/>
                <w:b/>
                <w:bCs/>
                <w:sz w:val="20"/>
                <w:szCs w:val="20"/>
                <w:lang w:eastAsia="en-IN"/>
              </w:rPr>
              <w:t>39,404</w:t>
            </w:r>
          </w:p>
        </w:tc>
        <w:tc>
          <w:tcPr>
            <w:tcW w:w="898" w:type="pct"/>
            <w:tcBorders>
              <w:top w:val="nil"/>
              <w:left w:val="nil"/>
              <w:bottom w:val="single" w:sz="4" w:space="0" w:color="auto"/>
              <w:right w:val="single" w:sz="4" w:space="0" w:color="auto"/>
            </w:tcBorders>
            <w:shd w:val="clear" w:color="auto" w:fill="auto"/>
            <w:noWrap/>
            <w:hideMark/>
          </w:tcPr>
          <w:p w:rsidR="00545C71" w:rsidRPr="00545C71" w:rsidRDefault="00545C71" w:rsidP="00DC34EF">
            <w:pPr>
              <w:jc w:val="right"/>
              <w:rPr>
                <w:rFonts w:ascii="Palatino Linotype" w:eastAsia="Times New Roman" w:hAnsi="Palatino Linotype" w:cs="Calibri"/>
                <w:b/>
                <w:bCs/>
                <w:sz w:val="20"/>
                <w:szCs w:val="20"/>
                <w:lang w:eastAsia="en-IN"/>
              </w:rPr>
            </w:pPr>
            <w:r w:rsidRPr="00545C71">
              <w:rPr>
                <w:rFonts w:ascii="Palatino Linotype" w:eastAsia="Times New Roman" w:hAnsi="Palatino Linotype" w:cs="Calibri"/>
                <w:b/>
                <w:bCs/>
                <w:sz w:val="20"/>
                <w:szCs w:val="20"/>
                <w:lang w:eastAsia="en-IN"/>
              </w:rPr>
              <w:t>39,734</w:t>
            </w:r>
          </w:p>
        </w:tc>
        <w:tc>
          <w:tcPr>
            <w:tcW w:w="943" w:type="pct"/>
            <w:tcBorders>
              <w:top w:val="nil"/>
              <w:left w:val="nil"/>
              <w:bottom w:val="single" w:sz="4" w:space="0" w:color="auto"/>
              <w:right w:val="single" w:sz="4" w:space="0" w:color="auto"/>
            </w:tcBorders>
            <w:shd w:val="clear" w:color="auto" w:fill="auto"/>
            <w:vAlign w:val="center"/>
            <w:hideMark/>
          </w:tcPr>
          <w:p w:rsidR="00545C71" w:rsidRPr="00545C71" w:rsidRDefault="00545C71" w:rsidP="00DC34EF">
            <w:pPr>
              <w:jc w:val="center"/>
              <w:rPr>
                <w:rFonts w:ascii="Palatino Linotype" w:eastAsia="Times New Roman" w:hAnsi="Palatino Linotype" w:cs="Calibri"/>
                <w:i/>
                <w:iCs/>
                <w:color w:val="000000"/>
                <w:sz w:val="20"/>
                <w:szCs w:val="20"/>
                <w:lang w:eastAsia="en-IN"/>
              </w:rPr>
            </w:pPr>
            <w:r w:rsidRPr="00545C71">
              <w:rPr>
                <w:rFonts w:ascii="Palatino Linotype" w:eastAsia="Times New Roman" w:hAnsi="Palatino Linotype" w:cs="Calibri"/>
                <w:i/>
                <w:iCs/>
                <w:color w:val="000000"/>
                <w:sz w:val="20"/>
                <w:szCs w:val="20"/>
                <w:lang w:eastAsia="en-IN"/>
              </w:rPr>
              <w:t>0.8</w:t>
            </w:r>
          </w:p>
        </w:tc>
      </w:tr>
      <w:tr w:rsidR="00545C71" w:rsidRPr="00545C71" w:rsidTr="00DC34EF">
        <w:trPr>
          <w:trHeight w:val="281"/>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545C71" w:rsidRPr="00545C71" w:rsidRDefault="00545C71" w:rsidP="00DC34EF">
            <w:pPr>
              <w:rPr>
                <w:rFonts w:ascii="Palatino Linotype" w:eastAsia="Times New Roman" w:hAnsi="Palatino Linotype" w:cs="Calibri"/>
                <w:color w:val="000000"/>
                <w:sz w:val="20"/>
                <w:szCs w:val="20"/>
                <w:lang w:eastAsia="en-IN"/>
              </w:rPr>
            </w:pPr>
            <w:r w:rsidRPr="00545C71">
              <w:rPr>
                <w:rFonts w:ascii="Palatino Linotype" w:eastAsia="Times New Roman" w:hAnsi="Palatino Linotype" w:cs="Calibri"/>
                <w:color w:val="000000"/>
                <w:sz w:val="20"/>
                <w:szCs w:val="20"/>
                <w:lang w:eastAsia="en-IN"/>
              </w:rPr>
              <w:t xml:space="preserve">            Futures</w:t>
            </w:r>
          </w:p>
        </w:tc>
        <w:tc>
          <w:tcPr>
            <w:tcW w:w="898" w:type="pct"/>
            <w:tcBorders>
              <w:top w:val="nil"/>
              <w:left w:val="nil"/>
              <w:bottom w:val="single" w:sz="4" w:space="0" w:color="auto"/>
              <w:right w:val="single" w:sz="4" w:space="0" w:color="auto"/>
            </w:tcBorders>
            <w:shd w:val="clear" w:color="auto" w:fill="auto"/>
            <w:noWrap/>
            <w:hideMark/>
          </w:tcPr>
          <w:p w:rsidR="00545C71" w:rsidRPr="00545C71" w:rsidRDefault="00545C71" w:rsidP="00DC34EF">
            <w:pPr>
              <w:jc w:val="right"/>
              <w:rPr>
                <w:rFonts w:ascii="Palatino Linotype" w:eastAsia="Times New Roman" w:hAnsi="Palatino Linotype" w:cs="Calibri"/>
                <w:sz w:val="20"/>
                <w:szCs w:val="20"/>
                <w:lang w:eastAsia="en-IN"/>
              </w:rPr>
            </w:pPr>
            <w:r w:rsidRPr="00545C71">
              <w:rPr>
                <w:rFonts w:ascii="Palatino Linotype" w:eastAsia="Times New Roman" w:hAnsi="Palatino Linotype" w:cs="Calibri"/>
                <w:sz w:val="20"/>
                <w:szCs w:val="20"/>
                <w:lang w:eastAsia="en-IN"/>
              </w:rPr>
              <w:t>39,391</w:t>
            </w:r>
          </w:p>
        </w:tc>
        <w:tc>
          <w:tcPr>
            <w:tcW w:w="898" w:type="pct"/>
            <w:tcBorders>
              <w:top w:val="nil"/>
              <w:left w:val="nil"/>
              <w:bottom w:val="single" w:sz="4" w:space="0" w:color="auto"/>
              <w:right w:val="single" w:sz="4" w:space="0" w:color="auto"/>
            </w:tcBorders>
            <w:shd w:val="clear" w:color="auto" w:fill="auto"/>
            <w:noWrap/>
            <w:hideMark/>
          </w:tcPr>
          <w:p w:rsidR="00545C71" w:rsidRPr="00545C71" w:rsidRDefault="00545C71" w:rsidP="00DC34EF">
            <w:pPr>
              <w:jc w:val="right"/>
              <w:rPr>
                <w:rFonts w:ascii="Palatino Linotype" w:eastAsia="Times New Roman" w:hAnsi="Palatino Linotype" w:cs="Calibri"/>
                <w:sz w:val="20"/>
                <w:szCs w:val="20"/>
                <w:lang w:eastAsia="en-IN"/>
              </w:rPr>
            </w:pPr>
            <w:r w:rsidRPr="00545C71">
              <w:rPr>
                <w:rFonts w:ascii="Palatino Linotype" w:eastAsia="Times New Roman" w:hAnsi="Palatino Linotype" w:cs="Calibri"/>
                <w:sz w:val="20"/>
                <w:szCs w:val="20"/>
                <w:lang w:eastAsia="en-IN"/>
              </w:rPr>
              <w:t>39,721</w:t>
            </w:r>
          </w:p>
        </w:tc>
        <w:tc>
          <w:tcPr>
            <w:tcW w:w="943" w:type="pct"/>
            <w:tcBorders>
              <w:top w:val="nil"/>
              <w:left w:val="nil"/>
              <w:bottom w:val="single" w:sz="4" w:space="0" w:color="auto"/>
              <w:right w:val="single" w:sz="4" w:space="0" w:color="auto"/>
            </w:tcBorders>
            <w:shd w:val="clear" w:color="auto" w:fill="auto"/>
            <w:vAlign w:val="center"/>
            <w:hideMark/>
          </w:tcPr>
          <w:p w:rsidR="00545C71" w:rsidRPr="00545C71" w:rsidRDefault="00545C71" w:rsidP="00DC34EF">
            <w:pPr>
              <w:jc w:val="center"/>
              <w:rPr>
                <w:rFonts w:ascii="Palatino Linotype" w:eastAsia="Times New Roman" w:hAnsi="Palatino Linotype" w:cs="Calibri"/>
                <w:i/>
                <w:iCs/>
                <w:color w:val="000000"/>
                <w:sz w:val="20"/>
                <w:szCs w:val="20"/>
                <w:lang w:eastAsia="en-IN"/>
              </w:rPr>
            </w:pPr>
            <w:r w:rsidRPr="00545C71">
              <w:rPr>
                <w:rFonts w:ascii="Palatino Linotype" w:eastAsia="Times New Roman" w:hAnsi="Palatino Linotype" w:cs="Calibri"/>
                <w:i/>
                <w:iCs/>
                <w:color w:val="000000"/>
                <w:sz w:val="20"/>
                <w:szCs w:val="20"/>
                <w:lang w:eastAsia="en-IN"/>
              </w:rPr>
              <w:t>0.8</w:t>
            </w:r>
          </w:p>
        </w:tc>
      </w:tr>
      <w:tr w:rsidR="00545C71" w:rsidRPr="00545C71" w:rsidTr="00DC34EF">
        <w:trPr>
          <w:trHeight w:val="281"/>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545C71" w:rsidRPr="00545C71" w:rsidRDefault="00545C71" w:rsidP="00DC34EF">
            <w:pPr>
              <w:rPr>
                <w:rFonts w:ascii="Palatino Linotype" w:eastAsia="Times New Roman" w:hAnsi="Palatino Linotype" w:cs="Calibri"/>
                <w:color w:val="000000"/>
                <w:sz w:val="20"/>
                <w:szCs w:val="20"/>
                <w:lang w:eastAsia="en-IN"/>
              </w:rPr>
            </w:pPr>
            <w:r w:rsidRPr="00545C71">
              <w:rPr>
                <w:rFonts w:ascii="Palatino Linotype" w:eastAsia="Times New Roman" w:hAnsi="Palatino Linotype" w:cs="Calibri"/>
                <w:color w:val="000000"/>
                <w:sz w:val="20"/>
                <w:szCs w:val="20"/>
                <w:lang w:eastAsia="en-IN"/>
              </w:rPr>
              <w:t xml:space="preserve">          Options</w:t>
            </w:r>
          </w:p>
        </w:tc>
        <w:tc>
          <w:tcPr>
            <w:tcW w:w="898" w:type="pct"/>
            <w:tcBorders>
              <w:top w:val="nil"/>
              <w:left w:val="nil"/>
              <w:bottom w:val="single" w:sz="4" w:space="0" w:color="auto"/>
              <w:right w:val="single" w:sz="4" w:space="0" w:color="auto"/>
            </w:tcBorders>
            <w:shd w:val="clear" w:color="auto" w:fill="auto"/>
            <w:noWrap/>
            <w:hideMark/>
          </w:tcPr>
          <w:p w:rsidR="00545C71" w:rsidRPr="00545C71" w:rsidRDefault="00545C71" w:rsidP="00DC34EF">
            <w:pPr>
              <w:jc w:val="right"/>
              <w:rPr>
                <w:rFonts w:ascii="Palatino Linotype" w:eastAsia="Times New Roman" w:hAnsi="Palatino Linotype" w:cs="Calibri"/>
                <w:sz w:val="20"/>
                <w:szCs w:val="20"/>
                <w:lang w:eastAsia="en-IN"/>
              </w:rPr>
            </w:pPr>
            <w:r w:rsidRPr="00545C71">
              <w:rPr>
                <w:rFonts w:ascii="Palatino Linotype" w:eastAsia="Times New Roman" w:hAnsi="Palatino Linotype" w:cs="Calibri"/>
                <w:sz w:val="20"/>
                <w:szCs w:val="20"/>
                <w:lang w:eastAsia="en-IN"/>
              </w:rPr>
              <w:t>13</w:t>
            </w:r>
          </w:p>
        </w:tc>
        <w:tc>
          <w:tcPr>
            <w:tcW w:w="898" w:type="pct"/>
            <w:tcBorders>
              <w:top w:val="nil"/>
              <w:left w:val="nil"/>
              <w:bottom w:val="single" w:sz="4" w:space="0" w:color="auto"/>
              <w:right w:val="single" w:sz="4" w:space="0" w:color="auto"/>
            </w:tcBorders>
            <w:shd w:val="clear" w:color="auto" w:fill="auto"/>
            <w:noWrap/>
            <w:hideMark/>
          </w:tcPr>
          <w:p w:rsidR="00545C71" w:rsidRPr="00545C71" w:rsidRDefault="00545C71" w:rsidP="00DC34EF">
            <w:pPr>
              <w:jc w:val="right"/>
              <w:rPr>
                <w:rFonts w:ascii="Palatino Linotype" w:eastAsia="Times New Roman" w:hAnsi="Palatino Linotype" w:cs="Calibri"/>
                <w:sz w:val="20"/>
                <w:szCs w:val="20"/>
                <w:lang w:eastAsia="en-IN"/>
              </w:rPr>
            </w:pPr>
            <w:r w:rsidRPr="00545C71">
              <w:rPr>
                <w:rFonts w:ascii="Palatino Linotype" w:eastAsia="Times New Roman" w:hAnsi="Palatino Linotype" w:cs="Calibri"/>
                <w:sz w:val="20"/>
                <w:szCs w:val="20"/>
                <w:lang w:eastAsia="en-IN"/>
              </w:rPr>
              <w:t>13</w:t>
            </w:r>
          </w:p>
        </w:tc>
        <w:tc>
          <w:tcPr>
            <w:tcW w:w="943" w:type="pct"/>
            <w:tcBorders>
              <w:top w:val="nil"/>
              <w:left w:val="nil"/>
              <w:bottom w:val="single" w:sz="4" w:space="0" w:color="auto"/>
              <w:right w:val="single" w:sz="4" w:space="0" w:color="auto"/>
            </w:tcBorders>
            <w:shd w:val="clear" w:color="auto" w:fill="auto"/>
            <w:vAlign w:val="center"/>
            <w:hideMark/>
          </w:tcPr>
          <w:p w:rsidR="00545C71" w:rsidRPr="00545C71" w:rsidRDefault="00545C71" w:rsidP="00DC34EF">
            <w:pPr>
              <w:jc w:val="center"/>
              <w:rPr>
                <w:rFonts w:ascii="Palatino Linotype" w:eastAsia="Times New Roman" w:hAnsi="Palatino Linotype" w:cs="Calibri"/>
                <w:i/>
                <w:iCs/>
                <w:color w:val="000000"/>
                <w:sz w:val="20"/>
                <w:szCs w:val="20"/>
                <w:lang w:eastAsia="en-IN"/>
              </w:rPr>
            </w:pPr>
            <w:r w:rsidRPr="00545C71">
              <w:rPr>
                <w:rFonts w:ascii="Palatino Linotype" w:eastAsia="Times New Roman" w:hAnsi="Palatino Linotype" w:cs="Calibri"/>
                <w:i/>
                <w:iCs/>
                <w:color w:val="000000"/>
                <w:sz w:val="20"/>
                <w:szCs w:val="20"/>
                <w:lang w:eastAsia="en-IN"/>
              </w:rPr>
              <w:t>3.1</w:t>
            </w:r>
          </w:p>
        </w:tc>
      </w:tr>
      <w:tr w:rsidR="00545C71" w:rsidRPr="00545C71" w:rsidTr="00DC34EF">
        <w:trPr>
          <w:trHeight w:val="281"/>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545C71" w:rsidRPr="00545C71" w:rsidRDefault="00545C71" w:rsidP="00DC34EF">
            <w:pPr>
              <w:rPr>
                <w:rFonts w:ascii="Palatino Linotype" w:eastAsia="Times New Roman" w:hAnsi="Palatino Linotype" w:cs="Calibri"/>
                <w:b/>
                <w:bCs/>
                <w:color w:val="000000"/>
                <w:sz w:val="20"/>
                <w:szCs w:val="20"/>
                <w:lang w:eastAsia="en-IN"/>
              </w:rPr>
            </w:pPr>
            <w:r w:rsidRPr="00545C71">
              <w:rPr>
                <w:rFonts w:ascii="Palatino Linotype" w:eastAsia="Times New Roman" w:hAnsi="Palatino Linotype" w:cs="Calibri"/>
                <w:b/>
                <w:bCs/>
                <w:color w:val="000000"/>
                <w:sz w:val="20"/>
                <w:szCs w:val="20"/>
                <w:lang w:eastAsia="en-IN"/>
              </w:rPr>
              <w:t>NSE, of which</w:t>
            </w:r>
          </w:p>
        </w:tc>
        <w:tc>
          <w:tcPr>
            <w:tcW w:w="898" w:type="pct"/>
            <w:tcBorders>
              <w:top w:val="nil"/>
              <w:left w:val="nil"/>
              <w:bottom w:val="single" w:sz="4" w:space="0" w:color="auto"/>
              <w:right w:val="single" w:sz="4" w:space="0" w:color="auto"/>
            </w:tcBorders>
            <w:shd w:val="clear" w:color="auto" w:fill="auto"/>
            <w:noWrap/>
            <w:hideMark/>
          </w:tcPr>
          <w:p w:rsidR="00545C71" w:rsidRPr="00545C71" w:rsidRDefault="00545C71" w:rsidP="00DC34EF">
            <w:pPr>
              <w:jc w:val="right"/>
              <w:rPr>
                <w:rFonts w:ascii="Palatino Linotype" w:eastAsia="Times New Roman" w:hAnsi="Palatino Linotype" w:cs="Calibri"/>
                <w:b/>
                <w:bCs/>
                <w:sz w:val="20"/>
                <w:szCs w:val="20"/>
                <w:lang w:eastAsia="en-IN"/>
              </w:rPr>
            </w:pPr>
            <w:r w:rsidRPr="00545C71">
              <w:rPr>
                <w:rFonts w:ascii="Palatino Linotype" w:eastAsia="Times New Roman" w:hAnsi="Palatino Linotype" w:cs="Calibri"/>
                <w:b/>
                <w:bCs/>
                <w:sz w:val="20"/>
                <w:szCs w:val="20"/>
                <w:lang w:eastAsia="en-IN"/>
              </w:rPr>
              <w:t>1,691</w:t>
            </w:r>
          </w:p>
        </w:tc>
        <w:tc>
          <w:tcPr>
            <w:tcW w:w="898" w:type="pct"/>
            <w:tcBorders>
              <w:top w:val="nil"/>
              <w:left w:val="nil"/>
              <w:bottom w:val="single" w:sz="4" w:space="0" w:color="auto"/>
              <w:right w:val="single" w:sz="4" w:space="0" w:color="auto"/>
            </w:tcBorders>
            <w:shd w:val="clear" w:color="auto" w:fill="auto"/>
            <w:noWrap/>
            <w:hideMark/>
          </w:tcPr>
          <w:p w:rsidR="00545C71" w:rsidRPr="00545C71" w:rsidRDefault="00545C71" w:rsidP="00DC34EF">
            <w:pPr>
              <w:jc w:val="right"/>
              <w:rPr>
                <w:rFonts w:ascii="Palatino Linotype" w:eastAsia="Times New Roman" w:hAnsi="Palatino Linotype" w:cs="Calibri"/>
                <w:b/>
                <w:bCs/>
                <w:sz w:val="20"/>
                <w:szCs w:val="20"/>
                <w:lang w:eastAsia="en-IN"/>
              </w:rPr>
            </w:pPr>
            <w:r w:rsidRPr="00545C71">
              <w:rPr>
                <w:rFonts w:ascii="Palatino Linotype" w:eastAsia="Times New Roman" w:hAnsi="Palatino Linotype" w:cs="Calibri"/>
                <w:b/>
                <w:bCs/>
                <w:sz w:val="20"/>
                <w:szCs w:val="20"/>
                <w:lang w:eastAsia="en-IN"/>
              </w:rPr>
              <w:t>1,545</w:t>
            </w:r>
          </w:p>
        </w:tc>
        <w:tc>
          <w:tcPr>
            <w:tcW w:w="943" w:type="pct"/>
            <w:tcBorders>
              <w:top w:val="nil"/>
              <w:left w:val="nil"/>
              <w:bottom w:val="single" w:sz="4" w:space="0" w:color="auto"/>
              <w:right w:val="single" w:sz="4" w:space="0" w:color="auto"/>
            </w:tcBorders>
            <w:shd w:val="clear" w:color="auto" w:fill="auto"/>
            <w:vAlign w:val="center"/>
            <w:hideMark/>
          </w:tcPr>
          <w:p w:rsidR="00545C71" w:rsidRPr="00545C71" w:rsidRDefault="00545C71" w:rsidP="00DC34EF">
            <w:pPr>
              <w:jc w:val="center"/>
              <w:rPr>
                <w:rFonts w:ascii="Palatino Linotype" w:eastAsia="Times New Roman" w:hAnsi="Palatino Linotype" w:cs="Calibri"/>
                <w:i/>
                <w:iCs/>
                <w:color w:val="000000"/>
                <w:sz w:val="20"/>
                <w:szCs w:val="20"/>
                <w:lang w:eastAsia="en-IN"/>
              </w:rPr>
            </w:pPr>
            <w:r w:rsidRPr="00545C71">
              <w:rPr>
                <w:rFonts w:ascii="Palatino Linotype" w:eastAsia="Times New Roman" w:hAnsi="Palatino Linotype" w:cs="Calibri"/>
                <w:i/>
                <w:iCs/>
                <w:color w:val="000000"/>
                <w:sz w:val="20"/>
                <w:szCs w:val="20"/>
                <w:lang w:eastAsia="en-IN"/>
              </w:rPr>
              <w:t>-8.6</w:t>
            </w:r>
          </w:p>
        </w:tc>
      </w:tr>
      <w:tr w:rsidR="00545C71" w:rsidRPr="00545C71" w:rsidTr="00DC34EF">
        <w:trPr>
          <w:trHeight w:val="281"/>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545C71" w:rsidRPr="00545C71" w:rsidRDefault="00545C71" w:rsidP="00DC34EF">
            <w:pPr>
              <w:rPr>
                <w:rFonts w:ascii="Palatino Linotype" w:eastAsia="Times New Roman" w:hAnsi="Palatino Linotype" w:cs="Calibri"/>
                <w:color w:val="000000"/>
                <w:sz w:val="20"/>
                <w:szCs w:val="20"/>
                <w:lang w:eastAsia="en-IN"/>
              </w:rPr>
            </w:pPr>
            <w:r w:rsidRPr="00545C71">
              <w:rPr>
                <w:rFonts w:ascii="Palatino Linotype" w:eastAsia="Times New Roman" w:hAnsi="Palatino Linotype" w:cs="Calibri"/>
                <w:color w:val="000000"/>
                <w:sz w:val="20"/>
                <w:szCs w:val="20"/>
                <w:lang w:eastAsia="en-IN"/>
              </w:rPr>
              <w:t xml:space="preserve">             Futures</w:t>
            </w:r>
          </w:p>
        </w:tc>
        <w:tc>
          <w:tcPr>
            <w:tcW w:w="898" w:type="pct"/>
            <w:tcBorders>
              <w:top w:val="nil"/>
              <w:left w:val="nil"/>
              <w:bottom w:val="single" w:sz="4" w:space="0" w:color="auto"/>
              <w:right w:val="single" w:sz="4" w:space="0" w:color="auto"/>
            </w:tcBorders>
            <w:shd w:val="clear" w:color="auto" w:fill="auto"/>
            <w:noWrap/>
            <w:hideMark/>
          </w:tcPr>
          <w:p w:rsidR="00545C71" w:rsidRPr="00545C71" w:rsidRDefault="00545C71" w:rsidP="00DC34EF">
            <w:pPr>
              <w:jc w:val="right"/>
              <w:rPr>
                <w:rFonts w:ascii="Palatino Linotype" w:eastAsia="Times New Roman" w:hAnsi="Palatino Linotype" w:cs="Calibri"/>
                <w:sz w:val="20"/>
                <w:szCs w:val="20"/>
                <w:lang w:eastAsia="en-IN"/>
              </w:rPr>
            </w:pPr>
            <w:r w:rsidRPr="00545C71">
              <w:rPr>
                <w:rFonts w:ascii="Palatino Linotype" w:eastAsia="Times New Roman" w:hAnsi="Palatino Linotype" w:cs="Calibri"/>
                <w:sz w:val="20"/>
                <w:szCs w:val="20"/>
                <w:lang w:eastAsia="en-IN"/>
              </w:rPr>
              <w:t>1</w:t>
            </w:r>
          </w:p>
        </w:tc>
        <w:tc>
          <w:tcPr>
            <w:tcW w:w="898" w:type="pct"/>
            <w:tcBorders>
              <w:top w:val="nil"/>
              <w:left w:val="nil"/>
              <w:bottom w:val="single" w:sz="4" w:space="0" w:color="auto"/>
              <w:right w:val="single" w:sz="4" w:space="0" w:color="auto"/>
            </w:tcBorders>
            <w:shd w:val="clear" w:color="auto" w:fill="auto"/>
            <w:noWrap/>
            <w:hideMark/>
          </w:tcPr>
          <w:p w:rsidR="00545C71" w:rsidRPr="00545C71" w:rsidRDefault="00545C71" w:rsidP="00DC34EF">
            <w:pPr>
              <w:jc w:val="right"/>
              <w:rPr>
                <w:rFonts w:ascii="Palatino Linotype" w:eastAsia="Times New Roman" w:hAnsi="Palatino Linotype" w:cs="Calibri"/>
                <w:sz w:val="20"/>
                <w:szCs w:val="20"/>
                <w:lang w:eastAsia="en-IN"/>
              </w:rPr>
            </w:pPr>
            <w:r w:rsidRPr="00545C71">
              <w:rPr>
                <w:rFonts w:ascii="Palatino Linotype" w:eastAsia="Times New Roman" w:hAnsi="Palatino Linotype" w:cs="Calibri"/>
                <w:sz w:val="20"/>
                <w:szCs w:val="20"/>
                <w:lang w:eastAsia="en-IN"/>
              </w:rPr>
              <w:t>1</w:t>
            </w:r>
          </w:p>
        </w:tc>
        <w:tc>
          <w:tcPr>
            <w:tcW w:w="943" w:type="pct"/>
            <w:tcBorders>
              <w:top w:val="nil"/>
              <w:left w:val="nil"/>
              <w:bottom w:val="single" w:sz="4" w:space="0" w:color="auto"/>
              <w:right w:val="single" w:sz="4" w:space="0" w:color="auto"/>
            </w:tcBorders>
            <w:shd w:val="clear" w:color="auto" w:fill="auto"/>
            <w:vAlign w:val="center"/>
            <w:hideMark/>
          </w:tcPr>
          <w:p w:rsidR="00545C71" w:rsidRPr="00545C71" w:rsidRDefault="00545C71" w:rsidP="00DC34EF">
            <w:pPr>
              <w:jc w:val="center"/>
              <w:rPr>
                <w:rFonts w:ascii="Palatino Linotype" w:eastAsia="Times New Roman" w:hAnsi="Palatino Linotype" w:cs="Calibri"/>
                <w:i/>
                <w:iCs/>
                <w:color w:val="000000"/>
                <w:sz w:val="20"/>
                <w:szCs w:val="20"/>
                <w:lang w:eastAsia="en-IN"/>
              </w:rPr>
            </w:pPr>
            <w:r w:rsidRPr="00545C71">
              <w:rPr>
                <w:rFonts w:ascii="Palatino Linotype" w:eastAsia="Times New Roman" w:hAnsi="Palatino Linotype" w:cs="Calibri"/>
                <w:i/>
                <w:iCs/>
                <w:color w:val="000000"/>
                <w:sz w:val="20"/>
                <w:szCs w:val="20"/>
                <w:lang w:eastAsia="en-IN"/>
              </w:rPr>
              <w:t>-7.2</w:t>
            </w:r>
          </w:p>
        </w:tc>
      </w:tr>
      <w:tr w:rsidR="00545C71" w:rsidRPr="00545C71" w:rsidTr="00DC34EF">
        <w:trPr>
          <w:trHeight w:val="281"/>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545C71" w:rsidRPr="00545C71" w:rsidRDefault="00545C71" w:rsidP="00DC34EF">
            <w:pPr>
              <w:rPr>
                <w:rFonts w:ascii="Palatino Linotype" w:eastAsia="Times New Roman" w:hAnsi="Palatino Linotype" w:cs="Calibri"/>
                <w:color w:val="000000"/>
                <w:sz w:val="20"/>
                <w:szCs w:val="20"/>
                <w:lang w:eastAsia="en-IN"/>
              </w:rPr>
            </w:pPr>
            <w:r w:rsidRPr="00545C71">
              <w:rPr>
                <w:rFonts w:ascii="Palatino Linotype" w:eastAsia="Times New Roman" w:hAnsi="Palatino Linotype" w:cs="Calibri"/>
                <w:color w:val="000000"/>
                <w:sz w:val="20"/>
                <w:szCs w:val="20"/>
                <w:lang w:eastAsia="en-IN"/>
              </w:rPr>
              <w:t xml:space="preserve">            Options</w:t>
            </w:r>
          </w:p>
        </w:tc>
        <w:tc>
          <w:tcPr>
            <w:tcW w:w="898" w:type="pct"/>
            <w:tcBorders>
              <w:top w:val="nil"/>
              <w:left w:val="nil"/>
              <w:bottom w:val="single" w:sz="4" w:space="0" w:color="auto"/>
              <w:right w:val="single" w:sz="4" w:space="0" w:color="auto"/>
            </w:tcBorders>
            <w:shd w:val="clear" w:color="auto" w:fill="auto"/>
            <w:noWrap/>
            <w:hideMark/>
          </w:tcPr>
          <w:p w:rsidR="00545C71" w:rsidRPr="00545C71" w:rsidRDefault="00545C71" w:rsidP="00DC34EF">
            <w:pPr>
              <w:jc w:val="right"/>
              <w:rPr>
                <w:rFonts w:ascii="Palatino Linotype" w:eastAsia="Times New Roman" w:hAnsi="Palatino Linotype" w:cs="Calibri"/>
                <w:sz w:val="20"/>
                <w:szCs w:val="20"/>
                <w:lang w:eastAsia="en-IN"/>
              </w:rPr>
            </w:pPr>
            <w:r w:rsidRPr="00545C71">
              <w:rPr>
                <w:rFonts w:ascii="Palatino Linotype" w:eastAsia="Times New Roman" w:hAnsi="Palatino Linotype" w:cs="Calibri"/>
                <w:sz w:val="20"/>
                <w:szCs w:val="20"/>
                <w:lang w:eastAsia="en-IN"/>
              </w:rPr>
              <w:t>1,690</w:t>
            </w:r>
          </w:p>
        </w:tc>
        <w:tc>
          <w:tcPr>
            <w:tcW w:w="898" w:type="pct"/>
            <w:tcBorders>
              <w:top w:val="nil"/>
              <w:left w:val="nil"/>
              <w:bottom w:val="single" w:sz="4" w:space="0" w:color="auto"/>
              <w:right w:val="single" w:sz="4" w:space="0" w:color="auto"/>
            </w:tcBorders>
            <w:shd w:val="clear" w:color="auto" w:fill="auto"/>
            <w:noWrap/>
            <w:hideMark/>
          </w:tcPr>
          <w:p w:rsidR="00545C71" w:rsidRPr="00545C71" w:rsidRDefault="00545C71" w:rsidP="00DC34EF">
            <w:pPr>
              <w:jc w:val="right"/>
              <w:rPr>
                <w:rFonts w:ascii="Palatino Linotype" w:eastAsia="Times New Roman" w:hAnsi="Palatino Linotype" w:cs="Calibri"/>
                <w:sz w:val="20"/>
                <w:szCs w:val="20"/>
                <w:lang w:eastAsia="en-IN"/>
              </w:rPr>
            </w:pPr>
            <w:r w:rsidRPr="00545C71">
              <w:rPr>
                <w:rFonts w:ascii="Palatino Linotype" w:eastAsia="Times New Roman" w:hAnsi="Palatino Linotype" w:cs="Calibri"/>
                <w:sz w:val="20"/>
                <w:szCs w:val="20"/>
                <w:lang w:eastAsia="en-IN"/>
              </w:rPr>
              <w:t>1,544</w:t>
            </w:r>
          </w:p>
        </w:tc>
        <w:tc>
          <w:tcPr>
            <w:tcW w:w="943" w:type="pct"/>
            <w:tcBorders>
              <w:top w:val="nil"/>
              <w:left w:val="nil"/>
              <w:bottom w:val="single" w:sz="4" w:space="0" w:color="auto"/>
              <w:right w:val="single" w:sz="4" w:space="0" w:color="auto"/>
            </w:tcBorders>
            <w:shd w:val="clear" w:color="auto" w:fill="auto"/>
            <w:vAlign w:val="center"/>
            <w:hideMark/>
          </w:tcPr>
          <w:p w:rsidR="00545C71" w:rsidRPr="00545C71" w:rsidRDefault="00545C71" w:rsidP="00DC34EF">
            <w:pPr>
              <w:jc w:val="center"/>
              <w:rPr>
                <w:rFonts w:ascii="Palatino Linotype" w:eastAsia="Times New Roman" w:hAnsi="Palatino Linotype" w:cs="Calibri"/>
                <w:i/>
                <w:iCs/>
                <w:color w:val="000000"/>
                <w:sz w:val="20"/>
                <w:szCs w:val="20"/>
                <w:lang w:eastAsia="en-IN"/>
              </w:rPr>
            </w:pPr>
            <w:r w:rsidRPr="00545C71">
              <w:rPr>
                <w:rFonts w:ascii="Palatino Linotype" w:eastAsia="Times New Roman" w:hAnsi="Palatino Linotype" w:cs="Calibri"/>
                <w:i/>
                <w:iCs/>
                <w:color w:val="000000"/>
                <w:sz w:val="20"/>
                <w:szCs w:val="20"/>
                <w:lang w:eastAsia="en-IN"/>
              </w:rPr>
              <w:t>-8.6</w:t>
            </w:r>
          </w:p>
        </w:tc>
      </w:tr>
      <w:tr w:rsidR="00545C71" w:rsidRPr="00545C71" w:rsidTr="00DC34EF">
        <w:trPr>
          <w:trHeight w:val="281"/>
          <w:jc w:val="center"/>
        </w:trPr>
        <w:tc>
          <w:tcPr>
            <w:tcW w:w="2260" w:type="pct"/>
            <w:tcBorders>
              <w:top w:val="nil"/>
              <w:left w:val="single" w:sz="4" w:space="0" w:color="auto"/>
              <w:bottom w:val="single" w:sz="4" w:space="0" w:color="auto"/>
              <w:right w:val="single" w:sz="4" w:space="0" w:color="auto"/>
            </w:tcBorders>
            <w:shd w:val="clear" w:color="auto" w:fill="auto"/>
            <w:vAlign w:val="center"/>
            <w:hideMark/>
          </w:tcPr>
          <w:p w:rsidR="00545C71" w:rsidRPr="00545C71" w:rsidRDefault="00545C71" w:rsidP="00DC34EF">
            <w:pPr>
              <w:rPr>
                <w:rFonts w:ascii="Palatino Linotype" w:eastAsia="Times New Roman" w:hAnsi="Palatino Linotype" w:cs="Calibri"/>
                <w:b/>
                <w:bCs/>
                <w:color w:val="000000"/>
                <w:sz w:val="20"/>
                <w:szCs w:val="20"/>
                <w:lang w:eastAsia="en-IN"/>
              </w:rPr>
            </w:pPr>
            <w:r w:rsidRPr="00545C71">
              <w:rPr>
                <w:rFonts w:ascii="Palatino Linotype" w:eastAsia="Times New Roman" w:hAnsi="Palatino Linotype" w:cs="Calibri"/>
                <w:b/>
                <w:bCs/>
                <w:color w:val="000000"/>
                <w:sz w:val="20"/>
                <w:szCs w:val="20"/>
                <w:lang w:eastAsia="en-IN"/>
              </w:rPr>
              <w:t>ICEX (Futures)</w:t>
            </w:r>
          </w:p>
        </w:tc>
        <w:tc>
          <w:tcPr>
            <w:tcW w:w="898" w:type="pct"/>
            <w:tcBorders>
              <w:top w:val="nil"/>
              <w:left w:val="nil"/>
              <w:bottom w:val="single" w:sz="4" w:space="0" w:color="auto"/>
              <w:right w:val="single" w:sz="4" w:space="0" w:color="auto"/>
            </w:tcBorders>
            <w:shd w:val="clear" w:color="auto" w:fill="auto"/>
            <w:noWrap/>
            <w:hideMark/>
          </w:tcPr>
          <w:p w:rsidR="00545C71" w:rsidRPr="00545C71" w:rsidRDefault="00545C71" w:rsidP="00DC34EF">
            <w:pPr>
              <w:jc w:val="right"/>
              <w:rPr>
                <w:rFonts w:ascii="Palatino Linotype" w:eastAsia="Times New Roman" w:hAnsi="Palatino Linotype" w:cs="Calibri"/>
                <w:b/>
                <w:bCs/>
                <w:sz w:val="20"/>
                <w:szCs w:val="20"/>
                <w:lang w:eastAsia="en-IN"/>
              </w:rPr>
            </w:pPr>
            <w:r w:rsidRPr="00545C71">
              <w:rPr>
                <w:rFonts w:ascii="Palatino Linotype" w:eastAsia="Times New Roman" w:hAnsi="Palatino Linotype" w:cs="Calibri"/>
                <w:b/>
                <w:bCs/>
                <w:sz w:val="20"/>
                <w:szCs w:val="20"/>
                <w:lang w:eastAsia="en-IN"/>
              </w:rPr>
              <w:t>13</w:t>
            </w:r>
          </w:p>
        </w:tc>
        <w:tc>
          <w:tcPr>
            <w:tcW w:w="898" w:type="pct"/>
            <w:tcBorders>
              <w:top w:val="nil"/>
              <w:left w:val="nil"/>
              <w:bottom w:val="single" w:sz="4" w:space="0" w:color="auto"/>
              <w:right w:val="single" w:sz="4" w:space="0" w:color="auto"/>
            </w:tcBorders>
            <w:shd w:val="clear" w:color="auto" w:fill="auto"/>
            <w:noWrap/>
            <w:hideMark/>
          </w:tcPr>
          <w:p w:rsidR="00545C71" w:rsidRPr="00545C71" w:rsidRDefault="00545C71" w:rsidP="00DC34EF">
            <w:pPr>
              <w:jc w:val="right"/>
              <w:rPr>
                <w:rFonts w:ascii="Palatino Linotype" w:eastAsia="Times New Roman" w:hAnsi="Palatino Linotype" w:cs="Calibri"/>
                <w:b/>
                <w:bCs/>
                <w:sz w:val="20"/>
                <w:szCs w:val="20"/>
                <w:lang w:eastAsia="en-IN"/>
              </w:rPr>
            </w:pPr>
            <w:r w:rsidRPr="00545C71">
              <w:rPr>
                <w:rFonts w:ascii="Palatino Linotype" w:eastAsia="Times New Roman" w:hAnsi="Palatino Linotype" w:cs="Calibri"/>
                <w:b/>
                <w:bCs/>
                <w:sz w:val="20"/>
                <w:szCs w:val="20"/>
                <w:lang w:eastAsia="en-IN"/>
              </w:rPr>
              <w:t>8</w:t>
            </w:r>
          </w:p>
        </w:tc>
        <w:tc>
          <w:tcPr>
            <w:tcW w:w="943" w:type="pct"/>
            <w:tcBorders>
              <w:top w:val="nil"/>
              <w:left w:val="nil"/>
              <w:bottom w:val="single" w:sz="4" w:space="0" w:color="auto"/>
              <w:right w:val="single" w:sz="4" w:space="0" w:color="auto"/>
            </w:tcBorders>
            <w:shd w:val="clear" w:color="auto" w:fill="auto"/>
            <w:vAlign w:val="center"/>
            <w:hideMark/>
          </w:tcPr>
          <w:p w:rsidR="00545C71" w:rsidRPr="00545C71" w:rsidRDefault="00545C71" w:rsidP="00DC34EF">
            <w:pPr>
              <w:jc w:val="center"/>
              <w:rPr>
                <w:rFonts w:ascii="Palatino Linotype" w:eastAsia="Times New Roman" w:hAnsi="Palatino Linotype" w:cs="Calibri"/>
                <w:i/>
                <w:iCs/>
                <w:color w:val="000000"/>
                <w:sz w:val="20"/>
                <w:szCs w:val="20"/>
                <w:lang w:eastAsia="en-IN"/>
              </w:rPr>
            </w:pPr>
            <w:r w:rsidRPr="00545C71">
              <w:rPr>
                <w:rFonts w:ascii="Palatino Linotype" w:eastAsia="Times New Roman" w:hAnsi="Palatino Linotype" w:cs="Calibri"/>
                <w:i/>
                <w:iCs/>
                <w:color w:val="000000"/>
                <w:sz w:val="20"/>
                <w:szCs w:val="20"/>
                <w:lang w:eastAsia="en-IN"/>
              </w:rPr>
              <w:t>-40.1</w:t>
            </w:r>
          </w:p>
        </w:tc>
      </w:tr>
    </w:tbl>
    <w:p w:rsidR="00545C71" w:rsidRPr="00891713" w:rsidRDefault="00545C71" w:rsidP="00545C71">
      <w:pPr>
        <w:jc w:val="both"/>
        <w:rPr>
          <w:rFonts w:ascii="Garamond" w:eastAsia="Calibri" w:hAnsi="Garamond" w:cs="Arial"/>
          <w:b/>
          <w:bCs/>
        </w:rPr>
      </w:pPr>
    </w:p>
    <w:p w:rsidR="00545C71" w:rsidRPr="004A1B8E" w:rsidRDefault="00545C71" w:rsidP="00545C71">
      <w:pPr>
        <w:ind w:left="720"/>
        <w:jc w:val="both"/>
        <w:rPr>
          <w:rFonts w:ascii="Garamond" w:eastAsia="Calibri" w:hAnsi="Garamond" w:cs="Arial"/>
          <w:sz w:val="20"/>
          <w:szCs w:val="20"/>
        </w:rPr>
      </w:pPr>
      <w:r w:rsidRPr="004A1B8E">
        <w:rPr>
          <w:rFonts w:ascii="Garamond" w:eastAsia="Calibri" w:hAnsi="Garamond" w:cs="Arial"/>
          <w:b/>
          <w:bCs/>
          <w:sz w:val="20"/>
          <w:szCs w:val="20"/>
        </w:rPr>
        <w:t xml:space="preserve">Source: </w:t>
      </w:r>
      <w:r w:rsidRPr="004A1B8E">
        <w:rPr>
          <w:rFonts w:ascii="Garamond" w:eastAsia="Calibri" w:hAnsi="Garamond" w:cs="Arial"/>
          <w:sz w:val="20"/>
          <w:szCs w:val="20"/>
        </w:rPr>
        <w:t>MCX, BSE, NCDEX, NSE, ICEX</w:t>
      </w:r>
    </w:p>
    <w:p w:rsidR="00545C71" w:rsidRPr="00891713" w:rsidRDefault="00545C71" w:rsidP="00545C71">
      <w:pPr>
        <w:ind w:left="720"/>
        <w:jc w:val="both"/>
        <w:rPr>
          <w:rFonts w:ascii="Garamond" w:eastAsia="Calibri" w:hAnsi="Garamond" w:cs="Arial"/>
          <w:b/>
          <w:bCs/>
          <w:szCs w:val="22"/>
        </w:rPr>
      </w:pPr>
    </w:p>
    <w:p w:rsidR="00545C71" w:rsidRPr="00891713" w:rsidRDefault="00545C71" w:rsidP="00545C71">
      <w:pPr>
        <w:numPr>
          <w:ilvl w:val="0"/>
          <w:numId w:val="5"/>
        </w:numPr>
        <w:tabs>
          <w:tab w:val="left" w:pos="567"/>
        </w:tabs>
        <w:ind w:left="0" w:firstLine="0"/>
        <w:contextualSpacing/>
        <w:jc w:val="both"/>
        <w:rPr>
          <w:rFonts w:ascii="Garamond" w:eastAsia="Times New Roman" w:hAnsi="Garamond"/>
          <w:b/>
          <w:color w:val="000000"/>
          <w:lang w:val="en-US"/>
        </w:rPr>
      </w:pPr>
      <w:r w:rsidRPr="00891713">
        <w:rPr>
          <w:rFonts w:ascii="Garamond" w:eastAsia="Times New Roman" w:hAnsi="Garamond"/>
          <w:b/>
          <w:color w:val="000000"/>
          <w:lang w:val="en-US"/>
        </w:rPr>
        <w:t>Commodity Derivatives Turnover</w:t>
      </w:r>
    </w:p>
    <w:p w:rsidR="00545C71" w:rsidRPr="00891713" w:rsidRDefault="00545C71" w:rsidP="00545C71">
      <w:pPr>
        <w:tabs>
          <w:tab w:val="left" w:pos="567"/>
        </w:tabs>
        <w:contextualSpacing/>
        <w:jc w:val="both"/>
        <w:rPr>
          <w:rFonts w:ascii="Garamond" w:eastAsia="Times New Roman" w:hAnsi="Garamond"/>
          <w:b/>
          <w:color w:val="000000"/>
          <w:lang w:val="en-US"/>
        </w:rPr>
      </w:pPr>
    </w:p>
    <w:p w:rsidR="00545C71" w:rsidRPr="00921CF6" w:rsidRDefault="00545C71" w:rsidP="00545C71">
      <w:pPr>
        <w:numPr>
          <w:ilvl w:val="0"/>
          <w:numId w:val="6"/>
        </w:numPr>
        <w:spacing w:line="276" w:lineRule="auto"/>
        <w:contextualSpacing/>
        <w:jc w:val="both"/>
        <w:rPr>
          <w:rFonts w:ascii="Garamond" w:eastAsia="Times New Roman" w:hAnsi="Garamond"/>
          <w:color w:val="000000"/>
          <w:lang w:val="en-US"/>
        </w:rPr>
      </w:pPr>
      <w:r w:rsidRPr="00921CF6">
        <w:rPr>
          <w:rFonts w:ascii="Garamond" w:eastAsia="Times New Roman" w:hAnsi="Garamond"/>
          <w:color w:val="000000"/>
          <w:lang w:val="en-US"/>
        </w:rPr>
        <w:t xml:space="preserve">During October 2021, pan- India turnover of commodity derivatives increased by 8.0 per cent to </w:t>
      </w:r>
      <w:r w:rsidRPr="00921CF6">
        <w:rPr>
          <w:rFonts w:ascii="Times New Roman" w:eastAsia="Times New Roman" w:hAnsi="Times New Roman"/>
          <w:color w:val="000000"/>
          <w:lang w:val="en-US"/>
        </w:rPr>
        <w:t>₹</w:t>
      </w:r>
      <w:r w:rsidRPr="00921CF6">
        <w:rPr>
          <w:rFonts w:ascii="Garamond" w:eastAsia="Times New Roman" w:hAnsi="Garamond"/>
          <w:color w:val="000000"/>
          <w:lang w:val="en-US"/>
        </w:rPr>
        <w:t>9.2 lakh crore over the previous month.</w:t>
      </w:r>
    </w:p>
    <w:p w:rsidR="00545C71" w:rsidRPr="00921CF6" w:rsidRDefault="00545C71" w:rsidP="00545C71">
      <w:pPr>
        <w:numPr>
          <w:ilvl w:val="0"/>
          <w:numId w:val="6"/>
        </w:numPr>
        <w:spacing w:line="276" w:lineRule="auto"/>
        <w:contextualSpacing/>
        <w:jc w:val="both"/>
        <w:rPr>
          <w:rFonts w:ascii="Garamond" w:eastAsia="Times New Roman" w:hAnsi="Garamond"/>
          <w:color w:val="000000"/>
          <w:lang w:val="en-US"/>
        </w:rPr>
      </w:pPr>
      <w:r w:rsidRPr="00921CF6">
        <w:rPr>
          <w:rFonts w:ascii="Garamond" w:eastAsia="Times New Roman" w:hAnsi="Garamond"/>
          <w:color w:val="000000"/>
          <w:lang w:val="en-US"/>
        </w:rPr>
        <w:lastRenderedPageBreak/>
        <w:t xml:space="preserve">The percentage share of agri and non-agri segments in overall turnover accounted for 5.6 per cent and 94.4 per cent, respectively. The turnover of agri. segment increased by 10.4 per cent while that of non-agri segment increased by 7.9 per cent. </w:t>
      </w:r>
    </w:p>
    <w:p w:rsidR="00545C71" w:rsidRPr="00921CF6" w:rsidRDefault="00545C71" w:rsidP="00545C71">
      <w:pPr>
        <w:numPr>
          <w:ilvl w:val="0"/>
          <w:numId w:val="6"/>
        </w:numPr>
        <w:spacing w:line="276" w:lineRule="auto"/>
        <w:contextualSpacing/>
        <w:jc w:val="both"/>
        <w:rPr>
          <w:rFonts w:ascii="Garamond" w:eastAsia="Times New Roman" w:hAnsi="Garamond"/>
          <w:color w:val="000000"/>
          <w:lang w:val="en-US"/>
        </w:rPr>
      </w:pPr>
      <w:r w:rsidRPr="00921CF6">
        <w:rPr>
          <w:rFonts w:ascii="Garamond" w:eastAsia="Times New Roman" w:hAnsi="Garamond"/>
          <w:color w:val="000000"/>
          <w:lang w:val="en-US"/>
        </w:rPr>
        <w:t>The percentage share of futures and options contracts in overall turnover stood at 70.6 per cent and 29.4 per cent, respectively. The turnover of futures contracts increased by 6.8 per</w:t>
      </w:r>
      <w:r>
        <w:rPr>
          <w:rFonts w:ascii="Garamond" w:eastAsia="Times New Roman" w:hAnsi="Garamond"/>
          <w:color w:val="000000"/>
          <w:lang w:val="en-US"/>
        </w:rPr>
        <w:t xml:space="preserve"> </w:t>
      </w:r>
      <w:r w:rsidRPr="00921CF6">
        <w:rPr>
          <w:rFonts w:ascii="Garamond" w:eastAsia="Times New Roman" w:hAnsi="Garamond"/>
          <w:color w:val="000000"/>
          <w:lang w:val="en-US"/>
        </w:rPr>
        <w:t>cent while that of options contract increased by 11.0 per cent over the previous month.</w:t>
      </w:r>
    </w:p>
    <w:p w:rsidR="00545C71" w:rsidRPr="00921CF6" w:rsidRDefault="00545C71" w:rsidP="00545C71">
      <w:pPr>
        <w:numPr>
          <w:ilvl w:val="0"/>
          <w:numId w:val="6"/>
        </w:numPr>
        <w:spacing w:line="276" w:lineRule="auto"/>
        <w:contextualSpacing/>
        <w:jc w:val="both"/>
        <w:rPr>
          <w:rFonts w:ascii="Garamond" w:eastAsia="Times New Roman" w:hAnsi="Garamond"/>
          <w:color w:val="000000"/>
          <w:lang w:val="en-US"/>
        </w:rPr>
      </w:pPr>
      <w:r w:rsidRPr="00921CF6">
        <w:rPr>
          <w:rFonts w:ascii="Garamond" w:eastAsia="Times New Roman" w:hAnsi="Garamond"/>
          <w:color w:val="000000"/>
          <w:lang w:val="en-US"/>
        </w:rPr>
        <w:t xml:space="preserve">At exchange level, the turnover increased at BSE (26.6%), MCX (6.6%), and NCDEX (0.8%) while it declined at ICEX (40.1%), and NSE (8.6%).  </w:t>
      </w:r>
    </w:p>
    <w:p w:rsidR="00545C71" w:rsidRPr="00921CF6" w:rsidRDefault="00545C71" w:rsidP="00545C71">
      <w:pPr>
        <w:numPr>
          <w:ilvl w:val="0"/>
          <w:numId w:val="6"/>
        </w:numPr>
        <w:spacing w:line="276" w:lineRule="auto"/>
        <w:contextualSpacing/>
        <w:jc w:val="both"/>
        <w:rPr>
          <w:rFonts w:ascii="Garamond" w:eastAsia="Times New Roman" w:hAnsi="Garamond"/>
          <w:color w:val="000000"/>
          <w:lang w:val="en-US"/>
        </w:rPr>
      </w:pPr>
      <w:r w:rsidRPr="00921CF6">
        <w:rPr>
          <w:rFonts w:ascii="Garamond" w:eastAsia="Times New Roman" w:hAnsi="Garamond"/>
          <w:color w:val="000000"/>
          <w:lang w:val="en-US"/>
        </w:rPr>
        <w:t>In terms of percentage share of commodity derivatives turnover among exchanges, the MCX has the highest market share of 85.3 per cent, followed BSE (10.2 per cent), NCDEX (4.3 per cent), NSE (0.2 per cent) and ICEX (0.001 per cent).</w:t>
      </w:r>
    </w:p>
    <w:p w:rsidR="00545C71" w:rsidRPr="00921CF6" w:rsidRDefault="00545C71" w:rsidP="00545C71">
      <w:pPr>
        <w:numPr>
          <w:ilvl w:val="0"/>
          <w:numId w:val="6"/>
        </w:numPr>
        <w:spacing w:line="276" w:lineRule="auto"/>
        <w:contextualSpacing/>
        <w:jc w:val="both"/>
        <w:rPr>
          <w:rFonts w:ascii="Garamond" w:eastAsia="Times New Roman" w:hAnsi="Garamond"/>
          <w:color w:val="000000"/>
          <w:lang w:val="en-US"/>
        </w:rPr>
      </w:pPr>
      <w:r w:rsidRPr="00921CF6">
        <w:rPr>
          <w:rFonts w:ascii="Garamond" w:eastAsia="Times New Roman" w:hAnsi="Garamond"/>
          <w:color w:val="000000"/>
          <w:lang w:val="en-US"/>
        </w:rPr>
        <w:t xml:space="preserve">At MCX, the turnover of agri. segment increased by 63.4 per cent while non-agri (futures and options) segment turnover increased by 6.0 per cent.  </w:t>
      </w:r>
    </w:p>
    <w:p w:rsidR="00545C71" w:rsidRPr="00921CF6" w:rsidRDefault="00545C71" w:rsidP="00545C71">
      <w:pPr>
        <w:numPr>
          <w:ilvl w:val="0"/>
          <w:numId w:val="6"/>
        </w:numPr>
        <w:spacing w:line="276" w:lineRule="auto"/>
        <w:contextualSpacing/>
        <w:jc w:val="both"/>
        <w:rPr>
          <w:rFonts w:ascii="Garamond" w:eastAsia="Times New Roman" w:hAnsi="Garamond"/>
          <w:color w:val="000000"/>
          <w:lang w:val="en-US"/>
        </w:rPr>
      </w:pPr>
      <w:r w:rsidRPr="00921CF6">
        <w:rPr>
          <w:rFonts w:ascii="Garamond" w:eastAsia="Times New Roman" w:hAnsi="Garamond"/>
          <w:color w:val="000000"/>
          <w:lang w:val="en-US"/>
        </w:rPr>
        <w:t xml:space="preserve">During October 2021, the total turnover at BSE increased by 26.6 per cent to </w:t>
      </w:r>
      <w:r w:rsidRPr="00921CF6">
        <w:rPr>
          <w:rFonts w:ascii="Times New Roman" w:eastAsia="Times New Roman" w:hAnsi="Times New Roman"/>
          <w:color w:val="000000"/>
          <w:lang w:val="en-US"/>
        </w:rPr>
        <w:t>₹</w:t>
      </w:r>
      <w:r w:rsidRPr="00921CF6">
        <w:rPr>
          <w:rFonts w:ascii="Garamond" w:eastAsia="Times New Roman" w:hAnsi="Garamond"/>
          <w:color w:val="000000"/>
          <w:lang w:val="en-US"/>
        </w:rPr>
        <w:t xml:space="preserve">94,248  crore. Options contract on gold alone contributed 99.6 </w:t>
      </w:r>
      <w:r w:rsidR="00777D27">
        <w:rPr>
          <w:rFonts w:ascii="Garamond" w:eastAsia="Times New Roman" w:hAnsi="Garamond"/>
          <w:color w:val="000000"/>
          <w:lang w:val="en-US"/>
        </w:rPr>
        <w:t>per cent to the total turnover.</w:t>
      </w:r>
      <w:r w:rsidRPr="00921CF6">
        <w:rPr>
          <w:rFonts w:ascii="Garamond" w:eastAsia="Times New Roman" w:hAnsi="Garamond"/>
          <w:color w:val="000000"/>
          <w:lang w:val="en-US"/>
        </w:rPr>
        <w:t xml:space="preserve">  </w:t>
      </w:r>
    </w:p>
    <w:p w:rsidR="00545C71" w:rsidRPr="00921CF6" w:rsidRDefault="00545C71" w:rsidP="00545C71">
      <w:pPr>
        <w:numPr>
          <w:ilvl w:val="0"/>
          <w:numId w:val="6"/>
        </w:numPr>
        <w:spacing w:line="276" w:lineRule="auto"/>
        <w:contextualSpacing/>
        <w:jc w:val="both"/>
        <w:rPr>
          <w:rFonts w:ascii="Garamond" w:eastAsia="Times New Roman" w:hAnsi="Garamond"/>
          <w:color w:val="000000"/>
          <w:lang w:val="en-US"/>
        </w:rPr>
      </w:pPr>
      <w:r w:rsidRPr="00921CF6">
        <w:rPr>
          <w:rFonts w:ascii="Garamond" w:eastAsia="Times New Roman" w:hAnsi="Garamond"/>
          <w:color w:val="000000"/>
          <w:lang w:val="en-US"/>
        </w:rPr>
        <w:t xml:space="preserve">At NCDEX, during October 2021, the overall turnover marginally increased by 0.8 per cent to </w:t>
      </w:r>
      <w:r w:rsidRPr="00921CF6">
        <w:rPr>
          <w:rFonts w:ascii="Times New Roman" w:eastAsia="Times New Roman" w:hAnsi="Times New Roman"/>
          <w:color w:val="000000"/>
          <w:lang w:val="en-US"/>
        </w:rPr>
        <w:t>₹</w:t>
      </w:r>
      <w:r w:rsidRPr="00921CF6">
        <w:rPr>
          <w:rFonts w:ascii="Garamond" w:eastAsia="Times New Roman" w:hAnsi="Garamond"/>
          <w:color w:val="000000"/>
          <w:lang w:val="en-US"/>
        </w:rPr>
        <w:t xml:space="preserve">39,734 crore over the previous month.  The turnover in agricultural indices (AGRIDEX, GUARDEX, SOYDEX Index) decreased by 83.1 per cent to </w:t>
      </w:r>
      <w:r w:rsidRPr="00921CF6">
        <w:rPr>
          <w:rFonts w:ascii="Times New Roman" w:eastAsia="Times New Roman" w:hAnsi="Times New Roman"/>
          <w:color w:val="000000"/>
          <w:lang w:val="en-US"/>
        </w:rPr>
        <w:t>₹</w:t>
      </w:r>
      <w:r w:rsidRPr="00921CF6">
        <w:rPr>
          <w:rFonts w:ascii="Garamond" w:eastAsia="Times New Roman" w:hAnsi="Garamond"/>
          <w:color w:val="000000"/>
          <w:lang w:val="en-US"/>
        </w:rPr>
        <w:t xml:space="preserve">14.0 crore.  The steel long, the only non-agri commodity traded at NCDEX, recorded turnover of </w:t>
      </w:r>
      <w:r w:rsidRPr="00921CF6">
        <w:rPr>
          <w:rFonts w:ascii="Times New Roman" w:eastAsia="Times New Roman" w:hAnsi="Times New Roman"/>
          <w:color w:val="000000"/>
          <w:lang w:val="en-US"/>
        </w:rPr>
        <w:t>₹</w:t>
      </w:r>
      <w:r w:rsidRPr="00921CF6">
        <w:rPr>
          <w:rFonts w:ascii="Garamond" w:eastAsia="Times New Roman" w:hAnsi="Garamond"/>
          <w:color w:val="000000"/>
          <w:lang w:val="en-US"/>
        </w:rPr>
        <w:t xml:space="preserve">10.0 crore during the month. </w:t>
      </w:r>
    </w:p>
    <w:p w:rsidR="00545C71" w:rsidRPr="00921CF6" w:rsidRDefault="00545C71" w:rsidP="00545C71">
      <w:pPr>
        <w:numPr>
          <w:ilvl w:val="0"/>
          <w:numId w:val="6"/>
        </w:numPr>
        <w:spacing w:line="276" w:lineRule="auto"/>
        <w:contextualSpacing/>
        <w:jc w:val="both"/>
        <w:rPr>
          <w:rFonts w:ascii="Garamond" w:eastAsia="Times New Roman" w:hAnsi="Garamond"/>
          <w:color w:val="000000"/>
          <w:lang w:val="en-US"/>
        </w:rPr>
      </w:pPr>
      <w:r w:rsidRPr="00921CF6">
        <w:rPr>
          <w:rFonts w:ascii="Garamond" w:eastAsia="Times New Roman" w:hAnsi="Garamond"/>
          <w:color w:val="000000"/>
          <w:lang w:val="en-US"/>
        </w:rPr>
        <w:t xml:space="preserve">The total turnover at NSE decreased by 8.6 per cent to </w:t>
      </w:r>
      <w:r w:rsidRPr="00921CF6">
        <w:rPr>
          <w:rFonts w:ascii="Times New Roman" w:eastAsia="Times New Roman" w:hAnsi="Times New Roman"/>
          <w:color w:val="000000"/>
          <w:lang w:val="en-US"/>
        </w:rPr>
        <w:t>₹</w:t>
      </w:r>
      <w:r w:rsidRPr="00921CF6">
        <w:rPr>
          <w:rFonts w:ascii="Garamond" w:eastAsia="Times New Roman" w:hAnsi="Garamond"/>
          <w:color w:val="000000"/>
          <w:lang w:val="en-US"/>
        </w:rPr>
        <w:t xml:space="preserve">1,545 crore during October 2021.  At NSE, the options contract of gold mini alone contributed 99.9 per cent to the total turnover. </w:t>
      </w:r>
    </w:p>
    <w:p w:rsidR="00545C71" w:rsidRPr="00921CF6" w:rsidRDefault="00545C71" w:rsidP="00545C71">
      <w:pPr>
        <w:numPr>
          <w:ilvl w:val="0"/>
          <w:numId w:val="6"/>
        </w:numPr>
        <w:spacing w:line="276" w:lineRule="auto"/>
        <w:contextualSpacing/>
        <w:jc w:val="both"/>
        <w:rPr>
          <w:rFonts w:ascii="Garamond" w:eastAsia="Times New Roman" w:hAnsi="Garamond"/>
          <w:color w:val="000000"/>
          <w:lang w:val="en-US"/>
        </w:rPr>
      </w:pPr>
      <w:r w:rsidRPr="00921CF6">
        <w:rPr>
          <w:rFonts w:ascii="Garamond" w:eastAsia="Times New Roman" w:hAnsi="Garamond"/>
          <w:color w:val="000000"/>
          <w:lang w:val="en-US"/>
        </w:rPr>
        <w:t xml:space="preserve">The total turnover at ICEX decreased by 40.1 per cent to </w:t>
      </w:r>
      <w:r w:rsidRPr="00921CF6">
        <w:rPr>
          <w:rFonts w:ascii="Times New Roman" w:eastAsia="Times New Roman" w:hAnsi="Times New Roman"/>
          <w:color w:val="000000"/>
          <w:lang w:val="en-US"/>
        </w:rPr>
        <w:t>₹</w:t>
      </w:r>
      <w:r w:rsidR="00777D27">
        <w:rPr>
          <w:rFonts w:ascii="Garamond" w:eastAsia="Times New Roman" w:hAnsi="Garamond"/>
          <w:color w:val="000000"/>
          <w:lang w:val="en-US"/>
        </w:rPr>
        <w:t>8 crore</w:t>
      </w:r>
      <w:r w:rsidRPr="00921CF6">
        <w:rPr>
          <w:rFonts w:ascii="Garamond" w:eastAsia="Times New Roman" w:hAnsi="Garamond"/>
          <w:color w:val="000000"/>
          <w:lang w:val="en-US"/>
        </w:rPr>
        <w:t xml:space="preserve">. Presently, the futures contracts of only two commodities namely, steel long and rubber are being traded at ICEX. </w:t>
      </w:r>
    </w:p>
    <w:p w:rsidR="00545C71" w:rsidRPr="00921CF6" w:rsidRDefault="00545C71" w:rsidP="00545C71">
      <w:pPr>
        <w:numPr>
          <w:ilvl w:val="0"/>
          <w:numId w:val="6"/>
        </w:numPr>
        <w:spacing w:line="276" w:lineRule="auto"/>
        <w:contextualSpacing/>
        <w:jc w:val="both"/>
        <w:rPr>
          <w:rFonts w:ascii="Garamond" w:eastAsia="Times New Roman" w:hAnsi="Garamond"/>
          <w:color w:val="000000"/>
          <w:lang w:val="en-US"/>
        </w:rPr>
      </w:pPr>
      <w:r w:rsidRPr="00921CF6">
        <w:rPr>
          <w:rFonts w:ascii="Garamond" w:eastAsia="Times New Roman" w:hAnsi="Garamond"/>
          <w:color w:val="000000"/>
          <w:lang w:val="en-US"/>
        </w:rPr>
        <w:t>The trends in turnover of commodity derivatives at exchanges is shown in Figures 1</w:t>
      </w:r>
      <w:r w:rsidR="00777D27">
        <w:rPr>
          <w:rFonts w:ascii="Garamond" w:eastAsia="Times New Roman" w:hAnsi="Garamond"/>
          <w:color w:val="000000"/>
          <w:lang w:val="en-US"/>
        </w:rPr>
        <w:t>4</w:t>
      </w:r>
      <w:r w:rsidRPr="00921CF6">
        <w:rPr>
          <w:rFonts w:ascii="Garamond" w:eastAsia="Times New Roman" w:hAnsi="Garamond"/>
          <w:color w:val="000000"/>
          <w:lang w:val="en-US"/>
        </w:rPr>
        <w:t>, 1</w:t>
      </w:r>
      <w:r w:rsidR="00777D27">
        <w:rPr>
          <w:rFonts w:ascii="Garamond" w:eastAsia="Times New Roman" w:hAnsi="Garamond"/>
          <w:color w:val="000000"/>
          <w:lang w:val="en-US"/>
        </w:rPr>
        <w:t>5</w:t>
      </w:r>
      <w:r w:rsidRPr="00921CF6">
        <w:rPr>
          <w:rFonts w:ascii="Garamond" w:eastAsia="Times New Roman" w:hAnsi="Garamond"/>
          <w:color w:val="000000"/>
          <w:lang w:val="en-US"/>
        </w:rPr>
        <w:t xml:space="preserve"> and 1</w:t>
      </w:r>
      <w:r w:rsidR="00777D27">
        <w:rPr>
          <w:rFonts w:ascii="Garamond" w:eastAsia="Times New Roman" w:hAnsi="Garamond"/>
          <w:color w:val="000000"/>
          <w:lang w:val="en-US"/>
        </w:rPr>
        <w:t>6</w:t>
      </w:r>
      <w:r w:rsidRPr="00921CF6">
        <w:rPr>
          <w:rFonts w:ascii="Garamond" w:eastAsia="Times New Roman" w:hAnsi="Garamond"/>
          <w:color w:val="000000"/>
          <w:lang w:val="en-US"/>
        </w:rPr>
        <w:t xml:space="preserve"> and the details are given in Tables 65 to 69.</w:t>
      </w:r>
    </w:p>
    <w:p w:rsidR="00545C71" w:rsidRPr="001C40F3" w:rsidRDefault="00545C71" w:rsidP="00545C71">
      <w:pPr>
        <w:rPr>
          <w:rFonts w:ascii="Garamond" w:hAnsi="Garamond"/>
          <w:b/>
          <w:bCs/>
          <w:lang w:val="en-US"/>
        </w:rPr>
      </w:pPr>
      <w:r w:rsidRPr="001C40F3">
        <w:rPr>
          <w:rFonts w:ascii="Garamond" w:hAnsi="Garamond"/>
          <w:b/>
          <w:bCs/>
          <w:lang w:val="en-US"/>
        </w:rPr>
        <w:t>Figure 1</w:t>
      </w:r>
      <w:r w:rsidR="00777D27">
        <w:rPr>
          <w:rFonts w:ascii="Garamond" w:hAnsi="Garamond"/>
          <w:b/>
          <w:bCs/>
          <w:lang w:val="en-US"/>
        </w:rPr>
        <w:t>4</w:t>
      </w:r>
      <w:r w:rsidRPr="001C40F3">
        <w:rPr>
          <w:rFonts w:ascii="Garamond" w:hAnsi="Garamond"/>
          <w:b/>
          <w:bCs/>
          <w:lang w:val="en-US"/>
        </w:rPr>
        <w:t>: Trends in Turnover of Agricultural Commodity Derivatives</w:t>
      </w:r>
    </w:p>
    <w:p w:rsidR="00545C71" w:rsidRPr="001C40F3" w:rsidRDefault="00545C71" w:rsidP="00545C71">
      <w:pPr>
        <w:rPr>
          <w:rFonts w:ascii="Garamond" w:hAnsi="Garamond"/>
          <w:b/>
          <w:bCs/>
          <w:lang w:val="en-US"/>
        </w:rPr>
      </w:pPr>
      <w:r w:rsidRPr="001C40F3">
        <w:rPr>
          <w:rFonts w:ascii="Garamond" w:hAnsi="Garamond"/>
          <w:noProof/>
          <w:lang w:val="en-IN" w:eastAsia="en-IN" w:bidi="hi-IN"/>
        </w:rPr>
        <w:drawing>
          <wp:anchor distT="0" distB="0" distL="114300" distR="114300" simplePos="0" relativeHeight="251660288" behindDoc="0" locked="0" layoutInCell="1" allowOverlap="1" wp14:anchorId="01B61C7D" wp14:editId="426F8FF2">
            <wp:simplePos x="0" y="0"/>
            <wp:positionH relativeFrom="column">
              <wp:posOffset>0</wp:posOffset>
            </wp:positionH>
            <wp:positionV relativeFrom="paragraph">
              <wp:posOffset>0</wp:posOffset>
            </wp:positionV>
            <wp:extent cx="5848350" cy="2619375"/>
            <wp:effectExtent l="0" t="0" r="0" b="9525"/>
            <wp:wrapTopAndBottom/>
            <wp:docPr id="2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rsidR="00545C71" w:rsidRPr="004A1B8E" w:rsidRDefault="00545C71" w:rsidP="00545C71">
      <w:pPr>
        <w:rPr>
          <w:rFonts w:ascii="Garamond" w:hAnsi="Garamond"/>
          <w:bCs/>
          <w:sz w:val="20"/>
          <w:szCs w:val="20"/>
          <w:lang w:val="en-US"/>
        </w:rPr>
      </w:pPr>
      <w:r w:rsidRPr="004A1B8E">
        <w:rPr>
          <w:rFonts w:ascii="Garamond" w:hAnsi="Garamond"/>
          <w:b/>
          <w:sz w:val="20"/>
          <w:szCs w:val="20"/>
          <w:lang w:val="en-US"/>
        </w:rPr>
        <w:t>Source</w:t>
      </w:r>
      <w:r w:rsidRPr="004A1B8E">
        <w:rPr>
          <w:rFonts w:ascii="Garamond" w:hAnsi="Garamond"/>
          <w:bCs/>
          <w:sz w:val="20"/>
          <w:szCs w:val="20"/>
          <w:lang w:val="en-US"/>
        </w:rPr>
        <w:t>: MCX, NCDEX, NSE, BSE &amp; ICEX</w:t>
      </w:r>
    </w:p>
    <w:p w:rsidR="00545C71" w:rsidRPr="004A1B8E" w:rsidRDefault="00545C71" w:rsidP="00545C71">
      <w:pPr>
        <w:rPr>
          <w:rFonts w:ascii="Garamond" w:hAnsi="Garamond"/>
          <w:bCs/>
          <w:sz w:val="20"/>
          <w:szCs w:val="20"/>
          <w:lang w:val="en-US"/>
        </w:rPr>
      </w:pPr>
    </w:p>
    <w:p w:rsidR="00545C71" w:rsidRPr="001C40F3" w:rsidRDefault="00545C71" w:rsidP="00545C71">
      <w:pPr>
        <w:rPr>
          <w:rFonts w:ascii="Garamond" w:hAnsi="Garamond"/>
          <w:b/>
          <w:lang w:val="en-US"/>
        </w:rPr>
      </w:pPr>
    </w:p>
    <w:p w:rsidR="00545C71" w:rsidRPr="001C40F3" w:rsidRDefault="00545C71" w:rsidP="00545C71">
      <w:pPr>
        <w:rPr>
          <w:rFonts w:ascii="Garamond" w:hAnsi="Garamond"/>
          <w:b/>
          <w:lang w:val="en-US"/>
        </w:rPr>
      </w:pPr>
      <w:r w:rsidRPr="001C40F3">
        <w:rPr>
          <w:rFonts w:ascii="Garamond" w:hAnsi="Garamond"/>
          <w:noProof/>
          <w:lang w:val="en-IN" w:eastAsia="en-IN" w:bidi="hi-IN"/>
        </w:rPr>
        <w:drawing>
          <wp:anchor distT="0" distB="0" distL="114300" distR="114300" simplePos="0" relativeHeight="251659264" behindDoc="0" locked="0" layoutInCell="1" allowOverlap="1" wp14:anchorId="4CF21B05" wp14:editId="7F037311">
            <wp:simplePos x="0" y="0"/>
            <wp:positionH relativeFrom="column">
              <wp:posOffset>-86360</wp:posOffset>
            </wp:positionH>
            <wp:positionV relativeFrom="paragraph">
              <wp:posOffset>276225</wp:posOffset>
            </wp:positionV>
            <wp:extent cx="5838825" cy="2886075"/>
            <wp:effectExtent l="0" t="0" r="9525" b="9525"/>
            <wp:wrapTopAndBottom/>
            <wp:docPr id="2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Pr="001C40F3">
        <w:rPr>
          <w:rFonts w:ascii="Garamond" w:hAnsi="Garamond"/>
          <w:b/>
          <w:lang w:val="en-US"/>
        </w:rPr>
        <w:t>Figure 1</w:t>
      </w:r>
      <w:r w:rsidR="00777D27">
        <w:rPr>
          <w:rFonts w:ascii="Garamond" w:hAnsi="Garamond"/>
          <w:b/>
          <w:lang w:val="en-US"/>
        </w:rPr>
        <w:t>5</w:t>
      </w:r>
      <w:r w:rsidRPr="001C40F3">
        <w:rPr>
          <w:rFonts w:ascii="Garamond" w:hAnsi="Garamond"/>
          <w:b/>
          <w:lang w:val="en-US"/>
        </w:rPr>
        <w:t xml:space="preserve">: Trends in Turnover of Non-Agricultural Futures contracts </w:t>
      </w:r>
    </w:p>
    <w:p w:rsidR="00545C71" w:rsidRPr="001C40F3" w:rsidRDefault="00545C71" w:rsidP="00545C71">
      <w:pPr>
        <w:rPr>
          <w:rFonts w:ascii="Garamond" w:hAnsi="Garamond"/>
          <w:b/>
          <w:lang w:val="en-US"/>
        </w:rPr>
      </w:pPr>
    </w:p>
    <w:p w:rsidR="00545C71" w:rsidRPr="004A1B8E" w:rsidRDefault="00545C71" w:rsidP="00545C71">
      <w:pPr>
        <w:rPr>
          <w:rFonts w:ascii="Garamond" w:hAnsi="Garamond"/>
          <w:bCs/>
          <w:sz w:val="20"/>
          <w:szCs w:val="20"/>
          <w:lang w:val="en-US"/>
        </w:rPr>
      </w:pPr>
      <w:r w:rsidRPr="004A1B8E">
        <w:rPr>
          <w:rFonts w:ascii="Garamond" w:hAnsi="Garamond"/>
          <w:b/>
          <w:sz w:val="20"/>
          <w:szCs w:val="20"/>
          <w:lang w:val="en-US"/>
        </w:rPr>
        <w:t xml:space="preserve">Source: </w:t>
      </w:r>
      <w:r w:rsidRPr="004A1B8E">
        <w:rPr>
          <w:rFonts w:ascii="Garamond" w:hAnsi="Garamond"/>
          <w:bCs/>
          <w:sz w:val="20"/>
          <w:szCs w:val="20"/>
          <w:lang w:val="en-US"/>
        </w:rPr>
        <w:t xml:space="preserve">MCX, NCDEX, NSE, BSE &amp; ICEX. </w:t>
      </w:r>
    </w:p>
    <w:p w:rsidR="00545C71" w:rsidRDefault="00545C71" w:rsidP="00545C71">
      <w:pPr>
        <w:rPr>
          <w:rFonts w:ascii="Garamond" w:hAnsi="Garamond"/>
          <w:b/>
          <w:lang w:val="en-US"/>
        </w:rPr>
      </w:pPr>
    </w:p>
    <w:p w:rsidR="00545C71" w:rsidRDefault="00545C71" w:rsidP="00545C71">
      <w:pPr>
        <w:rPr>
          <w:rFonts w:ascii="Garamond" w:hAnsi="Garamond"/>
          <w:b/>
          <w:lang w:val="en-US"/>
        </w:rPr>
      </w:pPr>
      <w:r w:rsidRPr="001C40F3">
        <w:rPr>
          <w:rFonts w:ascii="Garamond" w:hAnsi="Garamond"/>
          <w:b/>
          <w:lang w:val="en-US"/>
        </w:rPr>
        <w:t>Figure 1</w:t>
      </w:r>
      <w:r w:rsidR="00777D27">
        <w:rPr>
          <w:rFonts w:ascii="Garamond" w:hAnsi="Garamond"/>
          <w:b/>
          <w:lang w:val="en-US"/>
        </w:rPr>
        <w:t>6</w:t>
      </w:r>
      <w:r w:rsidRPr="001C40F3">
        <w:rPr>
          <w:rFonts w:ascii="Garamond" w:hAnsi="Garamond"/>
          <w:b/>
          <w:lang w:val="en-US"/>
        </w:rPr>
        <w:t>: Trends in Turnover of Non-Agricultural Options contracts</w:t>
      </w:r>
    </w:p>
    <w:p w:rsidR="00545C71" w:rsidRDefault="00545C71" w:rsidP="00545C71">
      <w:pPr>
        <w:rPr>
          <w:rFonts w:ascii="Garamond" w:hAnsi="Garamond"/>
          <w:b/>
          <w:lang w:val="en-US"/>
        </w:rPr>
      </w:pPr>
      <w:r>
        <w:rPr>
          <w:noProof/>
          <w:lang w:val="en-IN" w:eastAsia="en-IN" w:bidi="hi-IN"/>
        </w:rPr>
        <w:drawing>
          <wp:inline distT="0" distB="0" distL="0" distR="0" wp14:anchorId="426254BA" wp14:editId="51593FA8">
            <wp:extent cx="5753100" cy="2581275"/>
            <wp:effectExtent l="0" t="0" r="0" b="9525"/>
            <wp:docPr id="31" name="Chart 31">
              <a:extLst xmlns:a="http://schemas.openxmlformats.org/drawingml/2006/main">
                <a:ext uri="{FF2B5EF4-FFF2-40B4-BE49-F238E27FC236}">
                  <a16:creationId xmlns:a16="http://schemas.microsoft.com/office/drawing/2014/main" id="{00000000-0008-0000-05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45C71" w:rsidRPr="00921CF6" w:rsidRDefault="00545C71" w:rsidP="00545C71">
      <w:pPr>
        <w:rPr>
          <w:bCs/>
          <w:lang w:val="en-US"/>
        </w:rPr>
      </w:pPr>
      <w:r w:rsidRPr="001C40F3">
        <w:rPr>
          <w:rFonts w:ascii="Garamond" w:hAnsi="Garamond"/>
        </w:rPr>
        <w:t xml:space="preserve"> </w:t>
      </w:r>
      <w:r w:rsidRPr="004A1B8E">
        <w:rPr>
          <w:rFonts w:ascii="Garamond" w:hAnsi="Garamond"/>
          <w:b/>
          <w:sz w:val="20"/>
          <w:szCs w:val="20"/>
          <w:lang w:val="en-US"/>
        </w:rPr>
        <w:t xml:space="preserve">Source: </w:t>
      </w:r>
      <w:r w:rsidRPr="004A1B8E">
        <w:rPr>
          <w:rFonts w:ascii="Garamond" w:hAnsi="Garamond"/>
          <w:bCs/>
          <w:sz w:val="20"/>
          <w:szCs w:val="20"/>
          <w:lang w:val="en-US"/>
        </w:rPr>
        <w:t>MCX, BSE &amp; NSE</w:t>
      </w:r>
      <w:r w:rsidRPr="004A1B8E">
        <w:rPr>
          <w:rFonts w:ascii="Garamond" w:hAnsi="Garamond"/>
          <w:bCs/>
          <w:lang w:val="en-US"/>
        </w:rPr>
        <w:t>.</w:t>
      </w:r>
      <w:r w:rsidRPr="001C40F3">
        <w:rPr>
          <w:rFonts w:ascii="Garamond" w:hAnsi="Garamond"/>
          <w:bCs/>
          <w:lang w:val="en-US"/>
        </w:rPr>
        <w:t xml:space="preserve">        </w:t>
      </w:r>
    </w:p>
    <w:p w:rsidR="00E5493C" w:rsidRPr="006A6CB3" w:rsidRDefault="00E344DD" w:rsidP="00E344DD">
      <w:pPr>
        <w:spacing w:line="259" w:lineRule="auto"/>
        <w:rPr>
          <w:rFonts w:ascii="Garamond" w:hAnsi="Garamond" w:cs="Arial"/>
          <w:bCs/>
        </w:rPr>
      </w:pPr>
      <w:r w:rsidRPr="006A6CB3">
        <w:rPr>
          <w:rFonts w:ascii="Garamond" w:hAnsi="Garamond" w:cs="Arial"/>
          <w:bCs/>
        </w:rPr>
        <w:t xml:space="preserve">                                   </w:t>
      </w:r>
    </w:p>
    <w:p w:rsidR="00E5493C" w:rsidRPr="006A6CB3" w:rsidRDefault="00E5493C">
      <w:pPr>
        <w:rPr>
          <w:rFonts w:ascii="Garamond" w:hAnsi="Garamond" w:cs="Arial"/>
          <w:bCs/>
        </w:rPr>
      </w:pPr>
      <w:r w:rsidRPr="006A6CB3">
        <w:rPr>
          <w:rFonts w:ascii="Garamond" w:hAnsi="Garamond" w:cs="Arial"/>
          <w:bCs/>
        </w:rPr>
        <w:br w:type="page"/>
      </w:r>
    </w:p>
    <w:p w:rsidR="003B453C" w:rsidRPr="006037D2" w:rsidRDefault="003B453C" w:rsidP="003B453C">
      <w:pPr>
        <w:keepNext/>
        <w:keepLines/>
        <w:spacing w:before="240" w:after="40"/>
        <w:contextualSpacing/>
        <w:jc w:val="center"/>
        <w:outlineLvl w:val="3"/>
        <w:rPr>
          <w:rFonts w:ascii="Garamond" w:eastAsia="Times New Roman" w:hAnsi="Garamond"/>
          <w:b/>
          <w:color w:val="000000"/>
          <w:lang w:val="en-IN" w:eastAsia="en-IN"/>
        </w:rPr>
      </w:pPr>
      <w:r w:rsidRPr="006037D2">
        <w:rPr>
          <w:rFonts w:ascii="Garamond" w:eastAsia="Times New Roman" w:hAnsi="Garamond"/>
          <w:b/>
          <w:color w:val="000000"/>
          <w:lang w:val="en-IN" w:eastAsia="en-IN"/>
        </w:rPr>
        <w:lastRenderedPageBreak/>
        <w:t>OVERVIEW OF THE GLOBAL FINANCIAL MARKETS</w:t>
      </w:r>
    </w:p>
    <w:p w:rsidR="003B453C" w:rsidRPr="006037D2" w:rsidRDefault="003B453C" w:rsidP="003B453C">
      <w:pPr>
        <w:ind w:left="360"/>
        <w:contextualSpacing/>
        <w:jc w:val="both"/>
        <w:rPr>
          <w:rFonts w:ascii="Garamond" w:eastAsia="Times New Roman" w:hAnsi="Garamond"/>
          <w:cs/>
          <w:lang w:val="en-US" w:eastAsia="en-GB" w:bidi="bn-IN"/>
        </w:rPr>
      </w:pPr>
    </w:p>
    <w:p w:rsidR="003B453C" w:rsidRPr="006037D2" w:rsidRDefault="003B453C" w:rsidP="003B453C">
      <w:pPr>
        <w:spacing w:line="23" w:lineRule="atLeast"/>
        <w:ind w:left="360"/>
        <w:contextualSpacing/>
        <w:jc w:val="both"/>
        <w:rPr>
          <w:rFonts w:ascii="Garamond" w:eastAsia="Times New Roman" w:hAnsi="Garamond"/>
          <w:cs/>
          <w:lang w:val="en-US" w:eastAsia="en-GB" w:bidi="bn-IN"/>
        </w:rPr>
      </w:pPr>
    </w:p>
    <w:p w:rsidR="003B453C" w:rsidRPr="006037D2" w:rsidRDefault="003B453C" w:rsidP="00456F4D">
      <w:pPr>
        <w:numPr>
          <w:ilvl w:val="0"/>
          <w:numId w:val="13"/>
        </w:numPr>
        <w:spacing w:before="100" w:beforeAutospacing="1" w:line="276" w:lineRule="auto"/>
        <w:ind w:right="107"/>
        <w:contextualSpacing/>
        <w:jc w:val="both"/>
        <w:rPr>
          <w:rFonts w:ascii="Garamond" w:eastAsia="Times New Roman" w:hAnsi="Garamond"/>
          <w:b/>
          <w:bCs/>
          <w:lang w:val="en-US"/>
        </w:rPr>
      </w:pPr>
      <w:r w:rsidRPr="006037D2">
        <w:rPr>
          <w:rFonts w:ascii="Garamond" w:eastAsia="Times New Roman" w:hAnsi="Garamond"/>
          <w:b/>
          <w:bCs/>
          <w:lang w:val="en-US"/>
        </w:rPr>
        <w:t xml:space="preserve">State of </w:t>
      </w:r>
      <w:r w:rsidR="003B0112">
        <w:rPr>
          <w:rFonts w:ascii="Garamond" w:eastAsia="Times New Roman" w:hAnsi="Garamond"/>
          <w:b/>
          <w:bCs/>
          <w:lang w:val="en-US"/>
        </w:rPr>
        <w:t xml:space="preserve">the </w:t>
      </w:r>
      <w:r w:rsidRPr="006037D2">
        <w:rPr>
          <w:rFonts w:ascii="Garamond" w:eastAsia="Times New Roman" w:hAnsi="Garamond"/>
          <w:b/>
          <w:bCs/>
          <w:lang w:val="en-US"/>
        </w:rPr>
        <w:t>Economy</w:t>
      </w:r>
    </w:p>
    <w:p w:rsidR="003B453C" w:rsidRPr="006037D2" w:rsidRDefault="003B453C" w:rsidP="003B453C">
      <w:pPr>
        <w:spacing w:before="100" w:beforeAutospacing="1" w:line="276" w:lineRule="auto"/>
        <w:ind w:left="360" w:right="107"/>
        <w:contextualSpacing/>
        <w:jc w:val="both"/>
        <w:rPr>
          <w:rFonts w:ascii="Garamond" w:eastAsia="Times New Roman" w:hAnsi="Garamond"/>
          <w:lang w:val="en-US"/>
        </w:rPr>
      </w:pPr>
    </w:p>
    <w:p w:rsidR="003B453C" w:rsidRPr="006037D2" w:rsidRDefault="003B453C" w:rsidP="003B453C">
      <w:pPr>
        <w:spacing w:before="100" w:beforeAutospacing="1" w:line="276" w:lineRule="auto"/>
        <w:ind w:left="360" w:right="107"/>
        <w:contextualSpacing/>
        <w:jc w:val="both"/>
        <w:rPr>
          <w:rFonts w:ascii="Garamond" w:eastAsia="Times New Roman" w:hAnsi="Garamond"/>
          <w:b/>
          <w:bCs/>
          <w:lang w:val="en-US"/>
        </w:rPr>
      </w:pPr>
      <w:r w:rsidRPr="006037D2">
        <w:rPr>
          <w:rFonts w:ascii="Garamond" w:eastAsia="Times New Roman" w:hAnsi="Garamond"/>
          <w:b/>
          <w:bCs/>
          <w:lang w:val="en-US"/>
        </w:rPr>
        <w:t>Global</w:t>
      </w:r>
    </w:p>
    <w:p w:rsidR="003B453C" w:rsidRPr="006037D2" w:rsidRDefault="003B453C" w:rsidP="003B453C">
      <w:pPr>
        <w:spacing w:before="100" w:beforeAutospacing="1" w:line="276" w:lineRule="auto"/>
        <w:ind w:left="360" w:right="107"/>
        <w:contextualSpacing/>
        <w:jc w:val="both"/>
        <w:rPr>
          <w:rFonts w:ascii="Garamond" w:eastAsia="Times New Roman" w:hAnsi="Garamond"/>
          <w:lang w:val="en-US"/>
        </w:rPr>
      </w:pPr>
    </w:p>
    <w:p w:rsidR="003B453C" w:rsidRPr="00CE3921" w:rsidRDefault="00EC700E" w:rsidP="00456F4D">
      <w:pPr>
        <w:numPr>
          <w:ilvl w:val="0"/>
          <w:numId w:val="7"/>
        </w:numPr>
        <w:spacing w:before="100" w:beforeAutospacing="1" w:line="276" w:lineRule="auto"/>
        <w:ind w:right="107"/>
        <w:contextualSpacing/>
        <w:jc w:val="both"/>
        <w:rPr>
          <w:rFonts w:ascii="Garamond" w:eastAsia="Times New Roman" w:hAnsi="Garamond"/>
          <w:lang w:val="en-US"/>
        </w:rPr>
      </w:pPr>
      <w:r w:rsidRPr="00CE3921">
        <w:rPr>
          <w:rFonts w:ascii="Garamond" w:eastAsia="Times New Roman" w:hAnsi="Garamond"/>
          <w:lang w:val="en-US"/>
        </w:rPr>
        <w:t xml:space="preserve">The </w:t>
      </w:r>
      <w:r w:rsidR="00FB7BCB">
        <w:rPr>
          <w:rFonts w:ascii="Garamond" w:eastAsia="Times New Roman" w:hAnsi="Garamond"/>
          <w:lang w:val="en-US"/>
        </w:rPr>
        <w:t>g</w:t>
      </w:r>
      <w:r w:rsidR="00FB7BCB" w:rsidRPr="00CE3921">
        <w:rPr>
          <w:rFonts w:ascii="Garamond" w:eastAsia="Times New Roman" w:hAnsi="Garamond"/>
          <w:lang w:val="en-US"/>
        </w:rPr>
        <w:t xml:space="preserve">lobal </w:t>
      </w:r>
      <w:r w:rsidR="009735F2" w:rsidRPr="00CE3921">
        <w:rPr>
          <w:rFonts w:ascii="Garamond" w:eastAsia="Times New Roman" w:hAnsi="Garamond"/>
          <w:lang w:val="en-US"/>
        </w:rPr>
        <w:t xml:space="preserve">monthly report of World Bank </w:t>
      </w:r>
      <w:r w:rsidR="00FB7BCB">
        <w:rPr>
          <w:rFonts w:ascii="Garamond" w:eastAsia="Times New Roman" w:hAnsi="Garamond"/>
          <w:lang w:val="en-US"/>
        </w:rPr>
        <w:t xml:space="preserve">has reported </w:t>
      </w:r>
      <w:r w:rsidR="000C5CF4" w:rsidRPr="00CE3921">
        <w:rPr>
          <w:rFonts w:ascii="Garamond" w:eastAsia="Times New Roman" w:hAnsi="Garamond"/>
          <w:lang w:val="en-US"/>
        </w:rPr>
        <w:t>a firming up of global economic activities in October</w:t>
      </w:r>
      <w:r w:rsidR="00FB7BCB">
        <w:rPr>
          <w:rFonts w:ascii="Garamond" w:eastAsia="Times New Roman" w:hAnsi="Garamond"/>
          <w:lang w:val="en-US"/>
        </w:rPr>
        <w:t xml:space="preserve"> 2021</w:t>
      </w:r>
      <w:r w:rsidR="000C5CF4" w:rsidRPr="00CE3921">
        <w:rPr>
          <w:rFonts w:ascii="Garamond" w:eastAsia="Times New Roman" w:hAnsi="Garamond"/>
          <w:lang w:val="en-US"/>
        </w:rPr>
        <w:t xml:space="preserve"> supported by rebound in services sector </w:t>
      </w:r>
      <w:r w:rsidR="006037D2" w:rsidRPr="00CE3921">
        <w:rPr>
          <w:rFonts w:ascii="Garamond" w:eastAsia="Times New Roman" w:hAnsi="Garamond"/>
          <w:lang w:val="en-US"/>
        </w:rPr>
        <w:t>despite a nascent</w:t>
      </w:r>
      <w:r w:rsidR="000C5CF4" w:rsidRPr="00CE3921">
        <w:rPr>
          <w:rFonts w:ascii="Garamond" w:eastAsia="Times New Roman" w:hAnsi="Garamond"/>
          <w:lang w:val="en-US"/>
        </w:rPr>
        <w:t xml:space="preserve"> resurgence of Covid-19 and supply bottlenecks</w:t>
      </w:r>
      <w:r w:rsidR="006037D2" w:rsidRPr="00CE3921">
        <w:rPr>
          <w:rFonts w:ascii="Garamond" w:eastAsia="Times New Roman" w:hAnsi="Garamond"/>
          <w:lang w:val="en-US"/>
        </w:rPr>
        <w:t>. High frequency indicators reflect improvement in US and emerging markets, but moderation in Euro area</w:t>
      </w:r>
      <w:r w:rsidR="004A1B8E">
        <w:rPr>
          <w:rFonts w:ascii="Garamond" w:eastAsia="Times New Roman" w:hAnsi="Garamond"/>
          <w:lang w:val="en-US"/>
        </w:rPr>
        <w:t xml:space="preserve"> in October 2021</w:t>
      </w:r>
      <w:r w:rsidR="006037D2" w:rsidRPr="00CE3921">
        <w:rPr>
          <w:rFonts w:ascii="Garamond" w:eastAsia="Times New Roman" w:hAnsi="Garamond"/>
          <w:lang w:val="en-US"/>
        </w:rPr>
        <w:t>.</w:t>
      </w:r>
    </w:p>
    <w:p w:rsidR="003B453C" w:rsidRPr="00CE3921" w:rsidRDefault="009E705F" w:rsidP="00456F4D">
      <w:pPr>
        <w:numPr>
          <w:ilvl w:val="0"/>
          <w:numId w:val="7"/>
        </w:numPr>
        <w:spacing w:before="100" w:beforeAutospacing="1" w:line="276" w:lineRule="auto"/>
        <w:ind w:right="107"/>
        <w:contextualSpacing/>
        <w:jc w:val="both"/>
        <w:rPr>
          <w:rFonts w:ascii="Garamond" w:eastAsia="Times New Roman" w:hAnsi="Garamond"/>
          <w:lang w:val="en-US"/>
        </w:rPr>
      </w:pPr>
      <w:r w:rsidRPr="00CE3921">
        <w:rPr>
          <w:rFonts w:ascii="Garamond" w:hAnsi="Garamond"/>
        </w:rPr>
        <w:t>The rate of expansion in global manufacturing production was weak in October 2021 stymied by persistent supply</w:t>
      </w:r>
      <w:r w:rsidR="004A1B8E">
        <w:rPr>
          <w:rFonts w:ascii="Garamond" w:hAnsi="Garamond"/>
        </w:rPr>
        <w:t xml:space="preserve"> </w:t>
      </w:r>
      <w:r w:rsidRPr="00CE3921">
        <w:rPr>
          <w:rFonts w:ascii="Garamond" w:hAnsi="Garamond"/>
        </w:rPr>
        <w:t>chain disruptions, rising energy prices</w:t>
      </w:r>
      <w:r w:rsidR="006037D2" w:rsidRPr="00CE3921">
        <w:rPr>
          <w:rFonts w:ascii="Garamond" w:hAnsi="Garamond"/>
        </w:rPr>
        <w:t>, elevated inflation</w:t>
      </w:r>
      <w:r w:rsidRPr="00CE3921">
        <w:rPr>
          <w:rFonts w:ascii="Garamond" w:hAnsi="Garamond"/>
        </w:rPr>
        <w:t xml:space="preserve"> and a near-stalling of international trade flows. </w:t>
      </w:r>
      <w:r w:rsidR="003B453C" w:rsidRPr="00CE3921">
        <w:rPr>
          <w:rFonts w:ascii="Garamond" w:eastAsia="Times New Roman" w:hAnsi="Garamond"/>
          <w:lang w:val="en-US"/>
        </w:rPr>
        <w:t xml:space="preserve">The JPMorgan Global Manufacturing Purchasing Managers’ Index (PMI), compiled by IHS Markit, was </w:t>
      </w:r>
      <w:r w:rsidRPr="00CE3921">
        <w:rPr>
          <w:rFonts w:ascii="Garamond" w:eastAsia="Times New Roman" w:hAnsi="Garamond"/>
          <w:lang w:val="en-US"/>
        </w:rPr>
        <w:t>marginally up</w:t>
      </w:r>
      <w:r w:rsidR="003B453C" w:rsidRPr="00CE3921">
        <w:rPr>
          <w:rFonts w:ascii="Garamond" w:eastAsia="Times New Roman" w:hAnsi="Garamond"/>
          <w:lang w:val="en-US"/>
        </w:rPr>
        <w:t xml:space="preserve"> at 54.</w:t>
      </w:r>
      <w:r w:rsidRPr="00CE3921">
        <w:rPr>
          <w:rFonts w:ascii="Garamond" w:eastAsia="Times New Roman" w:hAnsi="Garamond"/>
          <w:lang w:val="en-US"/>
        </w:rPr>
        <w:t>3</w:t>
      </w:r>
      <w:r w:rsidR="003B453C" w:rsidRPr="00CE3921">
        <w:rPr>
          <w:rFonts w:ascii="Garamond" w:eastAsia="Times New Roman" w:hAnsi="Garamond"/>
          <w:lang w:val="en-US"/>
        </w:rPr>
        <w:t xml:space="preserve"> in </w:t>
      </w:r>
      <w:r w:rsidRPr="00CE3921">
        <w:rPr>
          <w:rFonts w:ascii="Garamond" w:eastAsia="Times New Roman" w:hAnsi="Garamond"/>
          <w:lang w:val="en-US"/>
        </w:rPr>
        <w:t>Octo</w:t>
      </w:r>
      <w:r w:rsidR="003B453C" w:rsidRPr="00CE3921">
        <w:rPr>
          <w:rFonts w:ascii="Garamond" w:eastAsia="Times New Roman" w:hAnsi="Garamond"/>
          <w:lang w:val="en-US"/>
        </w:rPr>
        <w:t xml:space="preserve">ber 2021, </w:t>
      </w:r>
      <w:r w:rsidRPr="00CE3921">
        <w:rPr>
          <w:rFonts w:ascii="Garamond" w:eastAsia="Times New Roman" w:hAnsi="Garamond"/>
          <w:lang w:val="en-US"/>
        </w:rPr>
        <w:t>from 54.1 in September 2021.</w:t>
      </w:r>
    </w:p>
    <w:p w:rsidR="003B453C" w:rsidRPr="00CE3921" w:rsidRDefault="003B453C" w:rsidP="003B453C">
      <w:pPr>
        <w:spacing w:before="100" w:beforeAutospacing="1" w:line="276" w:lineRule="auto"/>
        <w:ind w:left="360" w:right="107"/>
        <w:contextualSpacing/>
        <w:jc w:val="both"/>
        <w:rPr>
          <w:rFonts w:ascii="Garamond" w:eastAsia="Times New Roman" w:hAnsi="Garamond"/>
          <w:lang w:val="en-US"/>
        </w:rPr>
      </w:pPr>
    </w:p>
    <w:p w:rsidR="003B453C" w:rsidRPr="00CE3921" w:rsidRDefault="003B453C" w:rsidP="003B453C">
      <w:pPr>
        <w:spacing w:before="100" w:beforeAutospacing="1" w:line="276" w:lineRule="auto"/>
        <w:ind w:left="360" w:right="107"/>
        <w:contextualSpacing/>
        <w:jc w:val="both"/>
        <w:rPr>
          <w:rFonts w:ascii="Garamond" w:eastAsia="Times New Roman" w:hAnsi="Garamond"/>
          <w:b/>
          <w:bCs/>
          <w:lang w:val="en-US"/>
        </w:rPr>
      </w:pPr>
      <w:r w:rsidRPr="00CE3921">
        <w:rPr>
          <w:rFonts w:ascii="Garamond" w:eastAsia="Times New Roman" w:hAnsi="Garamond"/>
          <w:b/>
          <w:bCs/>
          <w:lang w:val="en-US"/>
        </w:rPr>
        <w:t>United States</w:t>
      </w:r>
    </w:p>
    <w:p w:rsidR="003B453C" w:rsidRPr="00CE3921" w:rsidRDefault="003B453C" w:rsidP="00456F4D">
      <w:pPr>
        <w:numPr>
          <w:ilvl w:val="0"/>
          <w:numId w:val="7"/>
        </w:numPr>
        <w:spacing w:before="100" w:beforeAutospacing="1" w:line="276" w:lineRule="auto"/>
        <w:ind w:right="107"/>
        <w:contextualSpacing/>
        <w:jc w:val="both"/>
        <w:rPr>
          <w:rFonts w:ascii="Garamond" w:eastAsia="Times New Roman" w:hAnsi="Garamond"/>
          <w:lang w:val="en-US"/>
        </w:rPr>
      </w:pPr>
      <w:r w:rsidRPr="00CE3921">
        <w:rPr>
          <w:rFonts w:ascii="Garamond" w:eastAsia="Times New Roman" w:hAnsi="Garamond"/>
          <w:lang w:val="en-US"/>
        </w:rPr>
        <w:t xml:space="preserve">As per third </w:t>
      </w:r>
      <w:r w:rsidR="00396457" w:rsidRPr="00CE3921">
        <w:rPr>
          <w:rFonts w:ascii="Garamond" w:eastAsia="Times New Roman" w:hAnsi="Garamond"/>
          <w:lang w:val="en-US"/>
        </w:rPr>
        <w:t xml:space="preserve">advance </w:t>
      </w:r>
      <w:r w:rsidRPr="00CE3921">
        <w:rPr>
          <w:rFonts w:ascii="Garamond" w:eastAsia="Times New Roman" w:hAnsi="Garamond"/>
          <w:lang w:val="en-US"/>
        </w:rPr>
        <w:t xml:space="preserve">estimates released by Bureau of Economic Analysis, US Department of Commerce, US real GDP </w:t>
      </w:r>
      <w:r w:rsidR="00396457" w:rsidRPr="00CE3921">
        <w:rPr>
          <w:rFonts w:ascii="Garamond" w:eastAsia="Times New Roman" w:hAnsi="Garamond"/>
          <w:lang w:val="en-US"/>
        </w:rPr>
        <w:t>decelerated sharply from 6.7 per cent in Q2 of 2021 to 2</w:t>
      </w:r>
      <w:r w:rsidR="004A1B8E">
        <w:rPr>
          <w:rFonts w:ascii="Garamond" w:eastAsia="Times New Roman" w:hAnsi="Garamond"/>
          <w:lang w:val="en-US"/>
        </w:rPr>
        <w:t>.0</w:t>
      </w:r>
      <w:r w:rsidR="00396457" w:rsidRPr="00CE3921">
        <w:rPr>
          <w:rFonts w:ascii="Garamond" w:eastAsia="Times New Roman" w:hAnsi="Garamond"/>
          <w:lang w:val="en-US"/>
        </w:rPr>
        <w:t xml:space="preserve"> per cent in Q3</w:t>
      </w:r>
      <w:r w:rsidR="009735F2" w:rsidRPr="00CE3921">
        <w:rPr>
          <w:rFonts w:ascii="Garamond" w:hAnsi="Garamond" w:cs="Arial"/>
          <w:color w:val="333333"/>
          <w:shd w:val="clear" w:color="auto" w:fill="FFFFFF"/>
        </w:rPr>
        <w:t xml:space="preserve"> reflecting the continued economic impact of the COVID-19 pandemic. </w:t>
      </w:r>
      <w:r w:rsidR="00396457" w:rsidRPr="00CE3921">
        <w:rPr>
          <w:rFonts w:ascii="Garamond" w:eastAsia="Times New Roman" w:hAnsi="Garamond"/>
          <w:lang w:val="en-US"/>
        </w:rPr>
        <w:t xml:space="preserve">. </w:t>
      </w:r>
    </w:p>
    <w:p w:rsidR="00396457" w:rsidRPr="00CE3921" w:rsidRDefault="009735F2" w:rsidP="00456F4D">
      <w:pPr>
        <w:numPr>
          <w:ilvl w:val="0"/>
          <w:numId w:val="7"/>
        </w:numPr>
        <w:spacing w:before="100" w:beforeAutospacing="1" w:line="276" w:lineRule="auto"/>
        <w:ind w:right="107"/>
        <w:contextualSpacing/>
        <w:jc w:val="both"/>
        <w:rPr>
          <w:rFonts w:ascii="Garamond" w:eastAsia="Times New Roman" w:hAnsi="Garamond"/>
          <w:lang w:val="en-US"/>
        </w:rPr>
      </w:pPr>
      <w:r w:rsidRPr="00CE3921">
        <w:rPr>
          <w:rFonts w:ascii="Garamond" w:hAnsi="Garamond"/>
        </w:rPr>
        <w:t>Inflation</w:t>
      </w:r>
      <w:r w:rsidR="00396457" w:rsidRPr="00CE3921">
        <w:rPr>
          <w:rFonts w:ascii="Garamond" w:hAnsi="Garamond"/>
        </w:rPr>
        <w:t xml:space="preserve"> cont</w:t>
      </w:r>
      <w:r w:rsidRPr="00CE3921">
        <w:rPr>
          <w:rFonts w:ascii="Garamond" w:hAnsi="Garamond"/>
        </w:rPr>
        <w:t>inued to surge in October, with headline inflation (CPI-All Urban Consumers)</w:t>
      </w:r>
      <w:r w:rsidR="00396457" w:rsidRPr="00CE3921">
        <w:rPr>
          <w:rFonts w:ascii="Garamond" w:hAnsi="Garamond"/>
        </w:rPr>
        <w:t xml:space="preserve"> </w:t>
      </w:r>
      <w:r w:rsidRPr="00CE3921">
        <w:rPr>
          <w:rFonts w:ascii="Garamond" w:hAnsi="Garamond"/>
        </w:rPr>
        <w:t xml:space="preserve">increasing </w:t>
      </w:r>
      <w:r w:rsidR="00CE3921" w:rsidRPr="00CE3921">
        <w:rPr>
          <w:rFonts w:ascii="Garamond" w:hAnsi="Garamond"/>
        </w:rPr>
        <w:t>to 6.2</w:t>
      </w:r>
      <w:r w:rsidR="00396457" w:rsidRPr="00CE3921">
        <w:rPr>
          <w:rFonts w:ascii="Garamond" w:hAnsi="Garamond"/>
        </w:rPr>
        <w:t xml:space="preserve"> per</w:t>
      </w:r>
      <w:r w:rsidR="00545C71">
        <w:rPr>
          <w:rFonts w:ascii="Garamond" w:hAnsi="Garamond"/>
        </w:rPr>
        <w:t xml:space="preserve"> </w:t>
      </w:r>
      <w:r w:rsidR="00396457" w:rsidRPr="00CE3921">
        <w:rPr>
          <w:rFonts w:ascii="Garamond" w:hAnsi="Garamond"/>
        </w:rPr>
        <w:t>cent (</w:t>
      </w:r>
      <w:r w:rsidR="00CE3921">
        <w:rPr>
          <w:rFonts w:ascii="Garamond" w:hAnsi="Garamond"/>
        </w:rPr>
        <w:t>Y</w:t>
      </w:r>
      <w:r w:rsidRPr="00CE3921">
        <w:rPr>
          <w:rFonts w:ascii="Garamond" w:hAnsi="Garamond"/>
        </w:rPr>
        <w:t>-o-</w:t>
      </w:r>
      <w:r w:rsidR="00CE3921">
        <w:rPr>
          <w:rFonts w:ascii="Garamond" w:hAnsi="Garamond"/>
        </w:rPr>
        <w:t>Y</w:t>
      </w:r>
      <w:r w:rsidR="00396457" w:rsidRPr="00CE3921">
        <w:rPr>
          <w:rFonts w:ascii="Garamond" w:hAnsi="Garamond"/>
        </w:rPr>
        <w:t>)—its highest rate in over 30 years.</w:t>
      </w:r>
    </w:p>
    <w:p w:rsidR="003B453C" w:rsidRPr="00CE3921" w:rsidRDefault="006037D2" w:rsidP="00456F4D">
      <w:pPr>
        <w:numPr>
          <w:ilvl w:val="0"/>
          <w:numId w:val="7"/>
        </w:numPr>
        <w:spacing w:before="100" w:beforeAutospacing="1" w:line="276" w:lineRule="auto"/>
        <w:ind w:right="107"/>
        <w:contextualSpacing/>
        <w:jc w:val="both"/>
        <w:rPr>
          <w:rFonts w:ascii="Garamond" w:eastAsia="Times New Roman" w:hAnsi="Garamond"/>
          <w:lang w:val="en-US"/>
        </w:rPr>
      </w:pPr>
      <w:r w:rsidRPr="00CE3921">
        <w:rPr>
          <w:rFonts w:ascii="Garamond" w:hAnsi="Garamond"/>
        </w:rPr>
        <w:t>On 3</w:t>
      </w:r>
      <w:r w:rsidRPr="00CE3921">
        <w:rPr>
          <w:rFonts w:ascii="Garamond" w:hAnsi="Garamond"/>
          <w:vertAlign w:val="superscript"/>
        </w:rPr>
        <w:t>rd</w:t>
      </w:r>
      <w:r w:rsidRPr="00CE3921">
        <w:rPr>
          <w:rFonts w:ascii="Garamond" w:hAnsi="Garamond"/>
        </w:rPr>
        <w:t xml:space="preserve"> November</w:t>
      </w:r>
      <w:r w:rsidR="00396457" w:rsidRPr="00CE3921">
        <w:rPr>
          <w:rFonts w:ascii="Garamond" w:hAnsi="Garamond"/>
        </w:rPr>
        <w:t>, the FOMC announced the tapering of asset purchases amid "substantial further progress" in achieving its goals while Congress passed a long-awaited infrastructure package worth $1.2 trillion (5.6 per</w:t>
      </w:r>
      <w:r w:rsidR="00545C71">
        <w:rPr>
          <w:rFonts w:ascii="Garamond" w:hAnsi="Garamond"/>
        </w:rPr>
        <w:t xml:space="preserve"> </w:t>
      </w:r>
      <w:r w:rsidR="00396457" w:rsidRPr="00CE3921">
        <w:rPr>
          <w:rFonts w:ascii="Garamond" w:hAnsi="Garamond"/>
        </w:rPr>
        <w:t>cent of GDP) over 10 years.</w:t>
      </w:r>
    </w:p>
    <w:p w:rsidR="003B453C" w:rsidRPr="00CE3921" w:rsidRDefault="003B453C" w:rsidP="003B453C">
      <w:pPr>
        <w:spacing w:before="100" w:beforeAutospacing="1" w:line="276" w:lineRule="auto"/>
        <w:ind w:left="360" w:right="107"/>
        <w:contextualSpacing/>
        <w:jc w:val="both"/>
        <w:rPr>
          <w:rFonts w:ascii="Garamond" w:eastAsia="Times New Roman" w:hAnsi="Garamond"/>
          <w:lang w:val="en-US"/>
        </w:rPr>
      </w:pPr>
    </w:p>
    <w:p w:rsidR="003B453C" w:rsidRPr="00CE3921" w:rsidRDefault="003B453C" w:rsidP="003B453C">
      <w:pPr>
        <w:spacing w:before="100" w:beforeAutospacing="1" w:line="276" w:lineRule="auto"/>
        <w:ind w:left="360" w:right="107"/>
        <w:contextualSpacing/>
        <w:jc w:val="both"/>
        <w:rPr>
          <w:rFonts w:ascii="Garamond" w:eastAsia="Times New Roman" w:hAnsi="Garamond"/>
          <w:b/>
          <w:bCs/>
          <w:lang w:val="en-US"/>
        </w:rPr>
      </w:pPr>
      <w:r w:rsidRPr="00CE3921">
        <w:rPr>
          <w:rFonts w:ascii="Garamond" w:eastAsia="Times New Roman" w:hAnsi="Garamond"/>
          <w:b/>
          <w:bCs/>
          <w:lang w:val="en-US"/>
        </w:rPr>
        <w:t>United Kingdom</w:t>
      </w:r>
    </w:p>
    <w:p w:rsidR="009735F2" w:rsidRPr="00CE3921" w:rsidRDefault="003B453C" w:rsidP="00456F4D">
      <w:pPr>
        <w:numPr>
          <w:ilvl w:val="0"/>
          <w:numId w:val="7"/>
        </w:numPr>
        <w:spacing w:before="100" w:beforeAutospacing="1" w:line="276" w:lineRule="auto"/>
        <w:ind w:right="107"/>
        <w:contextualSpacing/>
        <w:jc w:val="both"/>
        <w:rPr>
          <w:rFonts w:ascii="Garamond" w:eastAsia="Times New Roman" w:hAnsi="Garamond"/>
          <w:lang w:val="en-US"/>
        </w:rPr>
      </w:pPr>
      <w:r w:rsidRPr="00CE3921">
        <w:rPr>
          <w:rFonts w:ascii="Garamond" w:eastAsia="Times New Roman" w:hAnsi="Garamond"/>
          <w:lang w:val="en-US"/>
        </w:rPr>
        <w:t xml:space="preserve">As per quarterly estimates of GDP released by Office of National Statistics, UK GDP increased by </w:t>
      </w:r>
      <w:r w:rsidR="009735F2" w:rsidRPr="00CE3921">
        <w:rPr>
          <w:rFonts w:ascii="Garamond" w:eastAsia="Times New Roman" w:hAnsi="Garamond"/>
          <w:lang w:val="en-US"/>
        </w:rPr>
        <w:t>1.3</w:t>
      </w:r>
      <w:r w:rsidRPr="00CE3921">
        <w:rPr>
          <w:rFonts w:ascii="Garamond" w:eastAsia="Times New Roman" w:hAnsi="Garamond"/>
          <w:lang w:val="en-US"/>
        </w:rPr>
        <w:t xml:space="preserve"> per cent (Q-o-Q) in Q</w:t>
      </w:r>
      <w:r w:rsidR="009735F2" w:rsidRPr="00CE3921">
        <w:rPr>
          <w:rFonts w:ascii="Garamond" w:eastAsia="Times New Roman" w:hAnsi="Garamond"/>
          <w:lang w:val="en-US"/>
        </w:rPr>
        <w:t xml:space="preserve">3 2021 </w:t>
      </w:r>
      <w:r w:rsidR="009735F2" w:rsidRPr="00CE3921">
        <w:rPr>
          <w:rFonts w:ascii="Garamond" w:hAnsi="Garamond" w:cs="Helvetica"/>
          <w:color w:val="323132"/>
          <w:shd w:val="clear" w:color="auto" w:fill="FFFFFF"/>
        </w:rPr>
        <w:t>following the continued easing of COVID</w:t>
      </w:r>
      <w:r w:rsidR="006037D2" w:rsidRPr="00CE3921">
        <w:rPr>
          <w:rFonts w:ascii="Garamond" w:hAnsi="Garamond" w:cs="Helvetica"/>
          <w:color w:val="323132"/>
          <w:shd w:val="clear" w:color="auto" w:fill="FFFFFF"/>
        </w:rPr>
        <w:t xml:space="preserve"> </w:t>
      </w:r>
      <w:r w:rsidR="009735F2" w:rsidRPr="00CE3921">
        <w:rPr>
          <w:rFonts w:ascii="Garamond" w:hAnsi="Garamond" w:cs="Helvetica"/>
          <w:color w:val="323132"/>
          <w:shd w:val="clear" w:color="auto" w:fill="FFFFFF"/>
        </w:rPr>
        <w:t>restrictions.</w:t>
      </w:r>
    </w:p>
    <w:p w:rsidR="009735F2" w:rsidRPr="00CE3921" w:rsidRDefault="000C5CF4" w:rsidP="00456F4D">
      <w:pPr>
        <w:numPr>
          <w:ilvl w:val="0"/>
          <w:numId w:val="7"/>
        </w:numPr>
        <w:spacing w:before="100" w:beforeAutospacing="1" w:line="276" w:lineRule="auto"/>
        <w:ind w:right="107"/>
        <w:contextualSpacing/>
        <w:jc w:val="both"/>
        <w:rPr>
          <w:rFonts w:ascii="Garamond" w:eastAsia="Times New Roman" w:hAnsi="Garamond"/>
          <w:lang w:val="en-US"/>
        </w:rPr>
      </w:pPr>
      <w:r w:rsidRPr="00CE3921">
        <w:rPr>
          <w:rFonts w:ascii="Garamond" w:hAnsi="Garamond"/>
        </w:rPr>
        <w:t xml:space="preserve">Annual </w:t>
      </w:r>
      <w:r w:rsidR="006037D2" w:rsidRPr="00CE3921">
        <w:rPr>
          <w:rFonts w:ascii="Garamond" w:hAnsi="Garamond"/>
        </w:rPr>
        <w:t>CPI for</w:t>
      </w:r>
      <w:r w:rsidR="009735F2" w:rsidRPr="00CE3921">
        <w:rPr>
          <w:rFonts w:ascii="Garamond" w:hAnsi="Garamond"/>
        </w:rPr>
        <w:t xml:space="preserve"> UK accelerated further to </w:t>
      </w:r>
      <w:r w:rsidRPr="00CE3921">
        <w:rPr>
          <w:rFonts w:ascii="Garamond" w:hAnsi="Garamond"/>
        </w:rPr>
        <w:t>4.2</w:t>
      </w:r>
      <w:r w:rsidR="009735F2" w:rsidRPr="00CE3921">
        <w:rPr>
          <w:rFonts w:ascii="Garamond" w:hAnsi="Garamond"/>
        </w:rPr>
        <w:t xml:space="preserve"> per</w:t>
      </w:r>
      <w:r w:rsidR="00545C71">
        <w:rPr>
          <w:rFonts w:ascii="Garamond" w:hAnsi="Garamond"/>
        </w:rPr>
        <w:t xml:space="preserve"> </w:t>
      </w:r>
      <w:r w:rsidR="009735F2" w:rsidRPr="00CE3921">
        <w:rPr>
          <w:rFonts w:ascii="Garamond" w:hAnsi="Garamond"/>
        </w:rPr>
        <w:t>cent in October</w:t>
      </w:r>
      <w:r w:rsidR="00CE3921">
        <w:rPr>
          <w:rFonts w:ascii="Garamond" w:hAnsi="Garamond"/>
        </w:rPr>
        <w:t xml:space="preserve"> 2021</w:t>
      </w:r>
      <w:r w:rsidR="009735F2" w:rsidRPr="00CE3921">
        <w:rPr>
          <w:rFonts w:ascii="Garamond" w:hAnsi="Garamond"/>
        </w:rPr>
        <w:t xml:space="preserve"> from </w:t>
      </w:r>
      <w:r w:rsidRPr="00CE3921">
        <w:rPr>
          <w:rFonts w:ascii="Garamond" w:hAnsi="Garamond"/>
        </w:rPr>
        <w:t>3.1</w:t>
      </w:r>
      <w:r w:rsidR="009735F2" w:rsidRPr="00CE3921">
        <w:rPr>
          <w:rFonts w:ascii="Garamond" w:hAnsi="Garamond"/>
        </w:rPr>
        <w:t xml:space="preserve"> per </w:t>
      </w:r>
      <w:r w:rsidR="006037D2" w:rsidRPr="00CE3921">
        <w:rPr>
          <w:rFonts w:ascii="Garamond" w:hAnsi="Garamond"/>
        </w:rPr>
        <w:t>cent</w:t>
      </w:r>
      <w:r w:rsidR="009735F2" w:rsidRPr="00CE3921">
        <w:rPr>
          <w:rFonts w:ascii="Garamond" w:hAnsi="Garamond"/>
        </w:rPr>
        <w:t xml:space="preserve"> in </w:t>
      </w:r>
      <w:r w:rsidR="006037D2" w:rsidRPr="00CE3921">
        <w:rPr>
          <w:rFonts w:ascii="Garamond" w:hAnsi="Garamond"/>
        </w:rPr>
        <w:t>September</w:t>
      </w:r>
      <w:r w:rsidR="009735F2" w:rsidRPr="00CE3921">
        <w:rPr>
          <w:rFonts w:ascii="Garamond" w:hAnsi="Garamond"/>
        </w:rPr>
        <w:t xml:space="preserve"> </w:t>
      </w:r>
      <w:r w:rsidR="00CE3921">
        <w:rPr>
          <w:rFonts w:ascii="Garamond" w:hAnsi="Garamond"/>
        </w:rPr>
        <w:t xml:space="preserve">2021 - </w:t>
      </w:r>
      <w:r w:rsidRPr="00CE3921">
        <w:rPr>
          <w:rFonts w:ascii="Garamond" w:hAnsi="Garamond"/>
        </w:rPr>
        <w:t>highest 12 month inflation rate since November 2011</w:t>
      </w:r>
      <w:r w:rsidR="009735F2" w:rsidRPr="00CE3921">
        <w:rPr>
          <w:rFonts w:ascii="Garamond" w:hAnsi="Garamond"/>
        </w:rPr>
        <w:t>.</w:t>
      </w:r>
    </w:p>
    <w:p w:rsidR="003B453C" w:rsidRPr="006037D2" w:rsidRDefault="003B453C" w:rsidP="003B453C">
      <w:pPr>
        <w:spacing w:before="100" w:beforeAutospacing="1" w:line="276" w:lineRule="auto"/>
        <w:ind w:left="360" w:right="107"/>
        <w:contextualSpacing/>
        <w:jc w:val="both"/>
        <w:rPr>
          <w:rFonts w:ascii="Garamond" w:eastAsia="Times New Roman" w:hAnsi="Garamond"/>
          <w:highlight w:val="yellow"/>
          <w:lang w:val="en-US"/>
        </w:rPr>
      </w:pPr>
    </w:p>
    <w:p w:rsidR="003B453C" w:rsidRPr="00B636BE" w:rsidRDefault="00B636BE" w:rsidP="00B636BE">
      <w:pPr>
        <w:spacing w:before="100" w:beforeAutospacing="1" w:line="276" w:lineRule="auto"/>
        <w:ind w:right="107"/>
        <w:contextualSpacing/>
        <w:jc w:val="both"/>
        <w:rPr>
          <w:rFonts w:ascii="Garamond" w:eastAsia="Times New Roman" w:hAnsi="Garamond"/>
          <w:b/>
          <w:bCs/>
          <w:lang w:val="en-US"/>
        </w:rPr>
      </w:pPr>
      <w:r>
        <w:rPr>
          <w:rFonts w:ascii="Garamond" w:eastAsia="Times New Roman" w:hAnsi="Garamond"/>
          <w:b/>
          <w:bCs/>
          <w:lang w:val="en-US"/>
        </w:rPr>
        <w:t>Euro area</w:t>
      </w:r>
    </w:p>
    <w:p w:rsidR="00FB7BCB" w:rsidRDefault="00FB7BCB" w:rsidP="00456F4D">
      <w:pPr>
        <w:numPr>
          <w:ilvl w:val="0"/>
          <w:numId w:val="7"/>
        </w:numPr>
        <w:spacing w:before="100" w:beforeAutospacing="1" w:line="276" w:lineRule="auto"/>
        <w:ind w:right="107"/>
        <w:contextualSpacing/>
        <w:jc w:val="both"/>
        <w:rPr>
          <w:rFonts w:ascii="Garamond" w:eastAsia="Times New Roman" w:hAnsi="Garamond"/>
          <w:lang w:val="en-US"/>
        </w:rPr>
      </w:pPr>
      <w:r w:rsidRPr="004A1B8E">
        <w:rPr>
          <w:rFonts w:ascii="Garamond" w:eastAsia="Times New Roman" w:hAnsi="Garamond"/>
          <w:lang w:val="en-US"/>
        </w:rPr>
        <w:t>In the third quarter of 2021, seasonally adjusted GDP increased by 2.2</w:t>
      </w:r>
      <w:r>
        <w:rPr>
          <w:rFonts w:ascii="Garamond" w:eastAsia="Times New Roman" w:hAnsi="Garamond"/>
          <w:lang w:val="en-US"/>
        </w:rPr>
        <w:t xml:space="preserve"> per </w:t>
      </w:r>
      <w:r w:rsidR="004A1B8E">
        <w:rPr>
          <w:rFonts w:ascii="Garamond" w:eastAsia="Times New Roman" w:hAnsi="Garamond"/>
          <w:lang w:val="en-US"/>
        </w:rPr>
        <w:t xml:space="preserve">cent </w:t>
      </w:r>
      <w:r w:rsidR="004A1B8E" w:rsidRPr="004A1B8E">
        <w:rPr>
          <w:rFonts w:ascii="Garamond" w:eastAsia="Times New Roman" w:hAnsi="Garamond"/>
          <w:lang w:val="en-US"/>
        </w:rPr>
        <w:t>in</w:t>
      </w:r>
      <w:r w:rsidRPr="004A1B8E">
        <w:rPr>
          <w:rFonts w:ascii="Garamond" w:eastAsia="Times New Roman" w:hAnsi="Garamond"/>
          <w:lang w:val="en-US"/>
        </w:rPr>
        <w:t xml:space="preserve"> the </w:t>
      </w:r>
      <w:r w:rsidR="004A1B8E">
        <w:rPr>
          <w:rFonts w:ascii="Garamond" w:eastAsia="Times New Roman" w:hAnsi="Garamond"/>
          <w:lang w:val="en-US"/>
        </w:rPr>
        <w:t>E</w:t>
      </w:r>
      <w:r w:rsidRPr="004A1B8E">
        <w:rPr>
          <w:rFonts w:ascii="Garamond" w:eastAsia="Times New Roman" w:hAnsi="Garamond"/>
          <w:lang w:val="en-US"/>
        </w:rPr>
        <w:t>uro area and by 2.1</w:t>
      </w:r>
      <w:r>
        <w:rPr>
          <w:rFonts w:ascii="Garamond" w:eastAsia="Times New Roman" w:hAnsi="Garamond"/>
          <w:lang w:val="en-US"/>
        </w:rPr>
        <w:t xml:space="preserve"> per cent</w:t>
      </w:r>
      <w:r w:rsidRPr="004A1B8E">
        <w:rPr>
          <w:rFonts w:ascii="Garamond" w:eastAsia="Times New Roman" w:hAnsi="Garamond"/>
          <w:lang w:val="en-US"/>
        </w:rPr>
        <w:t xml:space="preserve"> in the </w:t>
      </w:r>
      <w:r w:rsidR="004A1B8E" w:rsidRPr="004A1B8E">
        <w:rPr>
          <w:rFonts w:ascii="Garamond" w:eastAsia="Times New Roman" w:hAnsi="Garamond"/>
          <w:lang w:val="en-US"/>
        </w:rPr>
        <w:t>E</w:t>
      </w:r>
      <w:r w:rsidR="004A1B8E">
        <w:rPr>
          <w:rFonts w:ascii="Garamond" w:eastAsia="Times New Roman" w:hAnsi="Garamond"/>
          <w:lang w:val="en-US"/>
        </w:rPr>
        <w:t xml:space="preserve">uropean </w:t>
      </w:r>
      <w:r w:rsidRPr="004A1B8E">
        <w:rPr>
          <w:rFonts w:ascii="Garamond" w:eastAsia="Times New Roman" w:hAnsi="Garamond"/>
          <w:lang w:val="en-US"/>
        </w:rPr>
        <w:t>U</w:t>
      </w:r>
      <w:r w:rsidR="004A1B8E">
        <w:rPr>
          <w:rFonts w:ascii="Garamond" w:eastAsia="Times New Roman" w:hAnsi="Garamond"/>
          <w:lang w:val="en-US"/>
        </w:rPr>
        <w:t>nion</w:t>
      </w:r>
      <w:r w:rsidRPr="004A1B8E">
        <w:rPr>
          <w:rFonts w:ascii="Garamond" w:eastAsia="Times New Roman" w:hAnsi="Garamond"/>
          <w:lang w:val="en-US"/>
        </w:rPr>
        <w:t>, compared with the previous quarter</w:t>
      </w:r>
      <w:r w:rsidRPr="00FB7BCB">
        <w:t xml:space="preserve"> </w:t>
      </w:r>
      <w:r w:rsidRPr="004A1B8E">
        <w:rPr>
          <w:rFonts w:ascii="Garamond" w:eastAsia="Times New Roman" w:hAnsi="Garamond"/>
          <w:lang w:val="en-US"/>
        </w:rPr>
        <w:t xml:space="preserve">according </w:t>
      </w:r>
      <w:r w:rsidR="004A1B8E">
        <w:rPr>
          <w:rFonts w:ascii="Garamond" w:eastAsia="Times New Roman" w:hAnsi="Garamond"/>
          <w:lang w:val="en-US"/>
        </w:rPr>
        <w:t xml:space="preserve">to the </w:t>
      </w:r>
      <w:r w:rsidR="004A1B8E" w:rsidRPr="004A1B8E">
        <w:rPr>
          <w:rFonts w:ascii="Garamond" w:eastAsia="Times New Roman" w:hAnsi="Garamond"/>
          <w:lang w:val="en-US"/>
        </w:rPr>
        <w:t>preliminary</w:t>
      </w:r>
      <w:r w:rsidRPr="004A1B8E">
        <w:rPr>
          <w:rFonts w:ascii="Garamond" w:eastAsia="Times New Roman" w:hAnsi="Garamond"/>
          <w:lang w:val="en-US"/>
        </w:rPr>
        <w:t xml:space="preserve"> estimate published by Eurostat</w:t>
      </w:r>
      <w:r>
        <w:rPr>
          <w:rFonts w:ascii="Garamond" w:eastAsia="Times New Roman" w:hAnsi="Garamond"/>
          <w:lang w:val="en-US"/>
        </w:rPr>
        <w:t>.</w:t>
      </w:r>
      <w:r w:rsidRPr="00CE3921" w:rsidDel="00FB7BCB">
        <w:rPr>
          <w:rFonts w:ascii="Garamond" w:eastAsia="Times New Roman" w:hAnsi="Garamond"/>
          <w:lang w:val="en-US"/>
        </w:rPr>
        <w:t xml:space="preserve"> </w:t>
      </w:r>
    </w:p>
    <w:p w:rsidR="003B453C" w:rsidRPr="00CE3921" w:rsidRDefault="00CE3921" w:rsidP="00456F4D">
      <w:pPr>
        <w:numPr>
          <w:ilvl w:val="0"/>
          <w:numId w:val="7"/>
        </w:numPr>
        <w:spacing w:before="100" w:beforeAutospacing="1" w:line="276" w:lineRule="auto"/>
        <w:ind w:right="107"/>
        <w:contextualSpacing/>
        <w:jc w:val="both"/>
        <w:rPr>
          <w:rFonts w:ascii="Garamond" w:eastAsia="Times New Roman" w:hAnsi="Garamond"/>
          <w:lang w:val="en-US"/>
        </w:rPr>
      </w:pPr>
      <w:r w:rsidRPr="004A1B8E">
        <w:rPr>
          <w:rFonts w:ascii="Garamond" w:eastAsia="Times New Roman" w:hAnsi="Garamond"/>
          <w:lang w:val="en-US"/>
        </w:rPr>
        <w:t>Annual</w:t>
      </w:r>
      <w:r w:rsidR="000C5CF4" w:rsidRPr="004A1B8E">
        <w:rPr>
          <w:rFonts w:ascii="Garamond" w:eastAsia="Times New Roman" w:hAnsi="Garamond"/>
          <w:lang w:val="en-US"/>
        </w:rPr>
        <w:t xml:space="preserve"> inflation accelerated further from 3.4 per</w:t>
      </w:r>
      <w:r w:rsidR="00545C71" w:rsidRPr="004A1B8E">
        <w:rPr>
          <w:rFonts w:ascii="Garamond" w:eastAsia="Times New Roman" w:hAnsi="Garamond"/>
          <w:lang w:val="en-US"/>
        </w:rPr>
        <w:t xml:space="preserve"> </w:t>
      </w:r>
      <w:r w:rsidR="000C5CF4" w:rsidRPr="004A1B8E">
        <w:rPr>
          <w:rFonts w:ascii="Garamond" w:eastAsia="Times New Roman" w:hAnsi="Garamond"/>
          <w:lang w:val="en-US"/>
        </w:rPr>
        <w:t>cent (</w:t>
      </w:r>
      <w:r w:rsidRPr="004A1B8E">
        <w:rPr>
          <w:rFonts w:ascii="Garamond" w:eastAsia="Times New Roman" w:hAnsi="Garamond"/>
          <w:lang w:val="en-US"/>
        </w:rPr>
        <w:t>Y-o-Y</w:t>
      </w:r>
      <w:r w:rsidR="000C5CF4" w:rsidRPr="004A1B8E">
        <w:rPr>
          <w:rFonts w:ascii="Garamond" w:eastAsia="Times New Roman" w:hAnsi="Garamond"/>
          <w:lang w:val="en-US"/>
        </w:rPr>
        <w:t>) to 4.1 per</w:t>
      </w:r>
      <w:r w:rsidR="00545C71" w:rsidRPr="004A1B8E">
        <w:rPr>
          <w:rFonts w:ascii="Garamond" w:eastAsia="Times New Roman" w:hAnsi="Garamond"/>
          <w:lang w:val="en-US"/>
        </w:rPr>
        <w:t xml:space="preserve"> </w:t>
      </w:r>
      <w:r w:rsidR="000C5CF4" w:rsidRPr="004A1B8E">
        <w:rPr>
          <w:rFonts w:ascii="Garamond" w:eastAsia="Times New Roman" w:hAnsi="Garamond"/>
          <w:lang w:val="en-US"/>
        </w:rPr>
        <w:t>cent in October</w:t>
      </w:r>
      <w:r w:rsidRPr="004A1B8E">
        <w:rPr>
          <w:rFonts w:ascii="Garamond" w:eastAsia="Times New Roman" w:hAnsi="Garamond"/>
          <w:lang w:val="en-US"/>
        </w:rPr>
        <w:t xml:space="preserve"> 2021- </w:t>
      </w:r>
      <w:r w:rsidR="000C5CF4" w:rsidRPr="004A1B8E">
        <w:rPr>
          <w:rFonts w:ascii="Garamond" w:eastAsia="Times New Roman" w:hAnsi="Garamond"/>
          <w:lang w:val="en-US"/>
        </w:rPr>
        <w:t xml:space="preserve">the fastest </w:t>
      </w:r>
      <w:r w:rsidRPr="004A1B8E">
        <w:rPr>
          <w:rFonts w:ascii="Garamond" w:eastAsia="Times New Roman" w:hAnsi="Garamond"/>
          <w:lang w:val="en-US"/>
        </w:rPr>
        <w:t>rise</w:t>
      </w:r>
      <w:r w:rsidR="000C5CF4" w:rsidRPr="004A1B8E">
        <w:rPr>
          <w:rFonts w:ascii="Garamond" w:eastAsia="Times New Roman" w:hAnsi="Garamond"/>
          <w:lang w:val="en-US"/>
        </w:rPr>
        <w:t xml:space="preserve"> since July 2008</w:t>
      </w:r>
      <w:r w:rsidRPr="004A1B8E">
        <w:rPr>
          <w:rFonts w:ascii="Garamond" w:eastAsia="Times New Roman" w:hAnsi="Garamond"/>
          <w:lang w:val="en-US"/>
        </w:rPr>
        <w:t>.</w:t>
      </w:r>
    </w:p>
    <w:p w:rsidR="003B453C" w:rsidRPr="00CE3921" w:rsidRDefault="003B453C" w:rsidP="000C6BCB">
      <w:pPr>
        <w:spacing w:before="100" w:beforeAutospacing="1" w:line="276" w:lineRule="auto"/>
        <w:ind w:right="107"/>
        <w:contextualSpacing/>
        <w:jc w:val="both"/>
        <w:rPr>
          <w:rFonts w:ascii="Garamond" w:eastAsia="Times New Roman" w:hAnsi="Garamond"/>
          <w:b/>
          <w:bCs/>
          <w:lang w:val="en-US"/>
        </w:rPr>
      </w:pPr>
      <w:r w:rsidRPr="00CE3921">
        <w:rPr>
          <w:rFonts w:ascii="Garamond" w:eastAsia="Times New Roman" w:hAnsi="Garamond"/>
          <w:b/>
          <w:bCs/>
          <w:lang w:val="en-US"/>
        </w:rPr>
        <w:t>India</w:t>
      </w:r>
    </w:p>
    <w:p w:rsidR="003B453C" w:rsidRPr="00B22BCD" w:rsidRDefault="003B453C" w:rsidP="00456F4D">
      <w:pPr>
        <w:numPr>
          <w:ilvl w:val="0"/>
          <w:numId w:val="7"/>
        </w:numPr>
        <w:spacing w:before="100" w:beforeAutospacing="1" w:line="276" w:lineRule="auto"/>
        <w:ind w:right="107"/>
        <w:contextualSpacing/>
        <w:jc w:val="both"/>
        <w:rPr>
          <w:rFonts w:ascii="Garamond" w:eastAsia="Times New Roman" w:hAnsi="Garamond"/>
          <w:lang w:val="en-US"/>
        </w:rPr>
      </w:pPr>
      <w:r w:rsidRPr="00B22BCD">
        <w:rPr>
          <w:rFonts w:ascii="Garamond" w:eastAsia="Times New Roman" w:hAnsi="Garamond"/>
          <w:lang w:val="en-US"/>
        </w:rPr>
        <w:t>As per World Economic Outlook projections by IMF</w:t>
      </w:r>
      <w:r w:rsidR="003B0112">
        <w:rPr>
          <w:rFonts w:ascii="Garamond" w:eastAsia="Times New Roman" w:hAnsi="Garamond"/>
          <w:lang w:val="en-US"/>
        </w:rPr>
        <w:t xml:space="preserve"> in October 2021</w:t>
      </w:r>
      <w:r w:rsidRPr="00B22BCD">
        <w:rPr>
          <w:rFonts w:ascii="Garamond" w:eastAsia="Times New Roman" w:hAnsi="Garamond"/>
          <w:lang w:val="en-US"/>
        </w:rPr>
        <w:t>, India’s GDP is estimated to increase by 9.5 per cent in 2021-22 and 8.5 per cent in 2022-23.</w:t>
      </w:r>
      <w:r w:rsidR="00B22BCD" w:rsidRPr="00B22BCD">
        <w:rPr>
          <w:rFonts w:ascii="Garamond" w:eastAsia="Times New Roman" w:hAnsi="Garamond"/>
          <w:lang w:val="en-US"/>
        </w:rPr>
        <w:t xml:space="preserve"> India’s projected growth rate</w:t>
      </w:r>
      <w:r w:rsidR="004A1B8E">
        <w:rPr>
          <w:rFonts w:ascii="Garamond" w:eastAsia="Times New Roman" w:hAnsi="Garamond"/>
          <w:lang w:val="en-US"/>
        </w:rPr>
        <w:t>s</w:t>
      </w:r>
      <w:r w:rsidR="00B22BCD" w:rsidRPr="00B22BCD">
        <w:rPr>
          <w:rFonts w:ascii="Garamond" w:eastAsia="Times New Roman" w:hAnsi="Garamond"/>
          <w:lang w:val="en-US"/>
        </w:rPr>
        <w:t xml:space="preserve"> </w:t>
      </w:r>
      <w:r w:rsidR="004A1B8E">
        <w:rPr>
          <w:rFonts w:ascii="Garamond" w:eastAsia="Times New Roman" w:hAnsi="Garamond"/>
          <w:lang w:val="en-US"/>
        </w:rPr>
        <w:t>are</w:t>
      </w:r>
      <w:r w:rsidR="004A1B8E" w:rsidRPr="00B22BCD">
        <w:rPr>
          <w:rFonts w:ascii="Garamond" w:eastAsia="Times New Roman" w:hAnsi="Garamond"/>
          <w:lang w:val="en-US"/>
        </w:rPr>
        <w:t xml:space="preserve"> </w:t>
      </w:r>
      <w:r w:rsidR="00B22BCD" w:rsidRPr="00B22BCD">
        <w:rPr>
          <w:rFonts w:ascii="Garamond" w:eastAsia="Times New Roman" w:hAnsi="Garamond"/>
          <w:lang w:val="en-US"/>
        </w:rPr>
        <w:t xml:space="preserve">the highest among all economies for both the years. </w:t>
      </w:r>
    </w:p>
    <w:p w:rsidR="003B453C" w:rsidRPr="00CE3921" w:rsidRDefault="00CE3921" w:rsidP="00456F4D">
      <w:pPr>
        <w:numPr>
          <w:ilvl w:val="0"/>
          <w:numId w:val="7"/>
        </w:numPr>
        <w:spacing w:before="100" w:beforeAutospacing="1" w:line="276" w:lineRule="auto"/>
        <w:ind w:right="107"/>
        <w:contextualSpacing/>
        <w:jc w:val="both"/>
        <w:rPr>
          <w:rFonts w:ascii="Garamond" w:eastAsia="Times New Roman" w:hAnsi="Garamond"/>
          <w:lang w:val="en-US"/>
        </w:rPr>
      </w:pPr>
      <w:r w:rsidRPr="00CE3921">
        <w:rPr>
          <w:rFonts w:ascii="Garamond" w:eastAsia="Times New Roman" w:hAnsi="Garamond"/>
          <w:lang w:val="en-US"/>
        </w:rPr>
        <w:lastRenderedPageBreak/>
        <w:t>Consumer Price Index increased</w:t>
      </w:r>
      <w:r w:rsidR="003B453C" w:rsidRPr="00CE3921">
        <w:rPr>
          <w:rFonts w:ascii="Garamond" w:eastAsia="Times New Roman" w:hAnsi="Garamond"/>
          <w:lang w:val="en-US"/>
        </w:rPr>
        <w:t xml:space="preserve"> </w:t>
      </w:r>
      <w:r w:rsidRPr="00CE3921">
        <w:rPr>
          <w:rFonts w:ascii="Garamond" w:eastAsia="Times New Roman" w:hAnsi="Garamond"/>
          <w:lang w:val="en-US"/>
        </w:rPr>
        <w:t xml:space="preserve">marginally </w:t>
      </w:r>
      <w:r w:rsidR="003B453C" w:rsidRPr="00CE3921">
        <w:rPr>
          <w:rFonts w:ascii="Garamond" w:eastAsia="Times New Roman" w:hAnsi="Garamond"/>
          <w:lang w:val="en-US"/>
        </w:rPr>
        <w:t>to 4.</w:t>
      </w:r>
      <w:r w:rsidRPr="00CE3921">
        <w:rPr>
          <w:rFonts w:ascii="Garamond" w:eastAsia="Times New Roman" w:hAnsi="Garamond"/>
          <w:lang w:val="en-US"/>
        </w:rPr>
        <w:t>48</w:t>
      </w:r>
      <w:r w:rsidR="003B453C" w:rsidRPr="00CE3921">
        <w:rPr>
          <w:rFonts w:ascii="Garamond" w:eastAsia="Times New Roman" w:hAnsi="Garamond"/>
          <w:lang w:val="en-US"/>
        </w:rPr>
        <w:t xml:space="preserve"> per cent</w:t>
      </w:r>
      <w:r w:rsidRPr="00CE3921">
        <w:rPr>
          <w:rFonts w:ascii="Garamond" w:eastAsia="Times New Roman" w:hAnsi="Garamond"/>
          <w:lang w:val="en-US"/>
        </w:rPr>
        <w:t xml:space="preserve"> in </w:t>
      </w:r>
      <w:r w:rsidR="00777D27">
        <w:rPr>
          <w:rFonts w:ascii="Garamond" w:eastAsia="Times New Roman" w:hAnsi="Garamond"/>
          <w:lang w:val="en-US"/>
        </w:rPr>
        <w:t>October</w:t>
      </w:r>
      <w:r w:rsidRPr="00CE3921">
        <w:rPr>
          <w:rFonts w:ascii="Garamond" w:eastAsia="Times New Roman" w:hAnsi="Garamond"/>
          <w:lang w:val="en-US"/>
        </w:rPr>
        <w:t xml:space="preserve"> 2021</w:t>
      </w:r>
      <w:r w:rsidR="003B453C" w:rsidRPr="00CE3921">
        <w:rPr>
          <w:rFonts w:ascii="Garamond" w:eastAsia="Times New Roman" w:hAnsi="Garamond"/>
          <w:lang w:val="en-US"/>
        </w:rPr>
        <w:t xml:space="preserve"> </w:t>
      </w:r>
      <w:r w:rsidRPr="00CE3921">
        <w:rPr>
          <w:rFonts w:ascii="Garamond" w:eastAsia="Times New Roman" w:hAnsi="Garamond"/>
          <w:lang w:val="en-US"/>
        </w:rPr>
        <w:t xml:space="preserve">(Y-o-Y) </w:t>
      </w:r>
      <w:r w:rsidR="003B453C" w:rsidRPr="00CE3921">
        <w:rPr>
          <w:rFonts w:ascii="Garamond" w:eastAsia="Times New Roman" w:hAnsi="Garamond"/>
          <w:lang w:val="en-US"/>
        </w:rPr>
        <w:t xml:space="preserve">from </w:t>
      </w:r>
      <w:r w:rsidRPr="00CE3921">
        <w:rPr>
          <w:rFonts w:ascii="Garamond" w:eastAsia="Times New Roman" w:hAnsi="Garamond"/>
          <w:lang w:val="en-US"/>
        </w:rPr>
        <w:t>4.35 per</w:t>
      </w:r>
      <w:r w:rsidR="003B453C" w:rsidRPr="00CE3921">
        <w:rPr>
          <w:rFonts w:ascii="Garamond" w:eastAsia="Times New Roman" w:hAnsi="Garamond"/>
          <w:lang w:val="en-US"/>
        </w:rPr>
        <w:t xml:space="preserve"> cent in previous month.</w:t>
      </w:r>
    </w:p>
    <w:p w:rsidR="003B453C" w:rsidRPr="00CE3921" w:rsidRDefault="003B453C" w:rsidP="00456F4D">
      <w:pPr>
        <w:numPr>
          <w:ilvl w:val="0"/>
          <w:numId w:val="7"/>
        </w:numPr>
        <w:spacing w:before="100" w:beforeAutospacing="1" w:line="276" w:lineRule="auto"/>
        <w:ind w:right="107"/>
        <w:contextualSpacing/>
        <w:jc w:val="both"/>
        <w:rPr>
          <w:rFonts w:ascii="Garamond" w:eastAsia="Times New Roman" w:hAnsi="Garamond"/>
          <w:lang w:val="en-US"/>
        </w:rPr>
      </w:pPr>
      <w:r w:rsidRPr="00CE3921">
        <w:rPr>
          <w:rFonts w:ascii="Garamond" w:eastAsia="Times New Roman" w:hAnsi="Garamond"/>
          <w:lang w:val="en-US"/>
        </w:rPr>
        <w:t xml:space="preserve">As per quick estimates released by MOSPI, IIP increased by </w:t>
      </w:r>
      <w:r w:rsidR="00CE3921" w:rsidRPr="00CE3921">
        <w:rPr>
          <w:rFonts w:ascii="Garamond" w:eastAsia="Times New Roman" w:hAnsi="Garamond"/>
          <w:lang w:val="en-US"/>
        </w:rPr>
        <w:t>3.1</w:t>
      </w:r>
      <w:r w:rsidRPr="00CE3921">
        <w:rPr>
          <w:rFonts w:ascii="Garamond" w:eastAsia="Times New Roman" w:hAnsi="Garamond"/>
          <w:lang w:val="en-US"/>
        </w:rPr>
        <w:t xml:space="preserve"> per cent (Y-o-Y) in </w:t>
      </w:r>
      <w:r w:rsidR="00CE3921" w:rsidRPr="00CE3921">
        <w:rPr>
          <w:rFonts w:ascii="Garamond" w:eastAsia="Times New Roman" w:hAnsi="Garamond"/>
          <w:lang w:val="en-US"/>
        </w:rPr>
        <w:t>September</w:t>
      </w:r>
      <w:r w:rsidRPr="00CE3921">
        <w:rPr>
          <w:rFonts w:ascii="Garamond" w:eastAsia="Times New Roman" w:hAnsi="Garamond"/>
          <w:lang w:val="en-US"/>
        </w:rPr>
        <w:t xml:space="preserve"> 2021 as compared to </w:t>
      </w:r>
      <w:r w:rsidR="00CE3921" w:rsidRPr="00CE3921">
        <w:rPr>
          <w:rFonts w:ascii="Garamond" w:eastAsia="Times New Roman" w:hAnsi="Garamond"/>
          <w:lang w:val="en-US"/>
        </w:rPr>
        <w:t>12.0</w:t>
      </w:r>
      <w:r w:rsidRPr="00CE3921">
        <w:rPr>
          <w:rFonts w:ascii="Garamond" w:eastAsia="Times New Roman" w:hAnsi="Garamond"/>
          <w:lang w:val="en-US"/>
        </w:rPr>
        <w:t xml:space="preserve"> per cent increase in previous month.</w:t>
      </w:r>
    </w:p>
    <w:p w:rsidR="003B453C" w:rsidRPr="006037D2" w:rsidRDefault="003B453C" w:rsidP="003B453C">
      <w:pPr>
        <w:spacing w:before="100" w:beforeAutospacing="1" w:line="276" w:lineRule="auto"/>
        <w:ind w:left="360" w:right="107"/>
        <w:contextualSpacing/>
        <w:jc w:val="both"/>
        <w:rPr>
          <w:rFonts w:ascii="Garamond" w:eastAsia="Times New Roman" w:hAnsi="Garamond"/>
          <w:lang w:val="en-US"/>
        </w:rPr>
      </w:pPr>
    </w:p>
    <w:p w:rsidR="003B453C" w:rsidRPr="006037D2" w:rsidRDefault="003B453C" w:rsidP="003B453C">
      <w:pPr>
        <w:spacing w:before="100" w:beforeAutospacing="1" w:line="276" w:lineRule="auto"/>
        <w:ind w:left="360" w:right="107"/>
        <w:contextualSpacing/>
        <w:jc w:val="both"/>
        <w:rPr>
          <w:rFonts w:ascii="Garamond" w:eastAsia="Times New Roman" w:hAnsi="Garamond"/>
          <w:lang w:val="en-US"/>
        </w:rPr>
      </w:pPr>
    </w:p>
    <w:p w:rsidR="003B453C" w:rsidRPr="006037D2" w:rsidRDefault="003B453C" w:rsidP="00456F4D">
      <w:pPr>
        <w:numPr>
          <w:ilvl w:val="0"/>
          <w:numId w:val="13"/>
        </w:numPr>
        <w:spacing w:before="100" w:beforeAutospacing="1" w:line="276" w:lineRule="auto"/>
        <w:ind w:right="107"/>
        <w:contextualSpacing/>
        <w:jc w:val="both"/>
        <w:rPr>
          <w:rFonts w:ascii="Garamond" w:eastAsia="Times New Roman" w:hAnsi="Garamond"/>
          <w:b/>
          <w:lang w:val="en-US" w:eastAsia="en-GB"/>
        </w:rPr>
      </w:pPr>
      <w:r w:rsidRPr="006037D2">
        <w:rPr>
          <w:rFonts w:ascii="Garamond" w:eastAsia="Times New Roman" w:hAnsi="Garamond"/>
          <w:b/>
          <w:bCs/>
          <w:lang w:val="en-US"/>
        </w:rPr>
        <w:t>Market</w:t>
      </w:r>
      <w:r w:rsidRPr="006037D2">
        <w:rPr>
          <w:rFonts w:ascii="Garamond" w:eastAsia="Times New Roman" w:hAnsi="Garamond"/>
          <w:b/>
          <w:lang w:val="en-US" w:eastAsia="en-GB"/>
        </w:rPr>
        <w:t xml:space="preserve"> Trends – </w:t>
      </w:r>
    </w:p>
    <w:p w:rsidR="003B453C" w:rsidRPr="006037D2" w:rsidRDefault="003B453C" w:rsidP="003B453C">
      <w:pPr>
        <w:spacing w:line="23" w:lineRule="atLeast"/>
        <w:ind w:left="180"/>
        <w:contextualSpacing/>
        <w:rPr>
          <w:rFonts w:ascii="Garamond" w:eastAsia="Times New Roman" w:hAnsi="Garamond"/>
          <w:b/>
          <w:lang w:val="en-US" w:eastAsia="en-GB"/>
        </w:rPr>
      </w:pPr>
    </w:p>
    <w:p w:rsidR="003B453C" w:rsidRPr="006037D2" w:rsidRDefault="00777D27" w:rsidP="003B453C">
      <w:pPr>
        <w:spacing w:line="360" w:lineRule="auto"/>
        <w:ind w:left="720"/>
        <w:contextualSpacing/>
        <w:rPr>
          <w:rFonts w:ascii="Garamond" w:eastAsia="Times New Roman" w:hAnsi="Garamond"/>
          <w:b/>
          <w:lang w:val="en-US" w:eastAsia="en-GB"/>
        </w:rPr>
      </w:pPr>
      <w:r>
        <w:rPr>
          <w:rFonts w:ascii="Garamond" w:eastAsia="Times New Roman" w:hAnsi="Garamond"/>
          <w:b/>
          <w:u w:val="single"/>
          <w:lang w:val="en-US" w:eastAsia="en-GB"/>
        </w:rPr>
        <w:t xml:space="preserve">Equity Markets (Table </w:t>
      </w:r>
      <w:r w:rsidR="003B453C" w:rsidRPr="006037D2">
        <w:rPr>
          <w:rFonts w:ascii="Garamond" w:eastAsia="Times New Roman" w:hAnsi="Garamond"/>
          <w:b/>
          <w:u w:val="single"/>
          <w:lang w:val="en-US" w:eastAsia="en-GB"/>
        </w:rPr>
        <w:t>1)</w:t>
      </w:r>
    </w:p>
    <w:p w:rsidR="003B453C" w:rsidRPr="006037D2" w:rsidRDefault="003B453C" w:rsidP="00456F4D">
      <w:pPr>
        <w:numPr>
          <w:ilvl w:val="0"/>
          <w:numId w:val="8"/>
        </w:numPr>
        <w:spacing w:line="276" w:lineRule="auto"/>
        <w:jc w:val="both"/>
        <w:rPr>
          <w:rFonts w:ascii="Garamond" w:eastAsia="Times New Roman" w:hAnsi="Garamond"/>
          <w:bCs/>
          <w:lang w:val="en-US" w:eastAsia="en-GB"/>
        </w:rPr>
      </w:pPr>
      <w:r w:rsidRPr="006037D2">
        <w:rPr>
          <w:rFonts w:ascii="Garamond" w:eastAsia="Times New Roman" w:hAnsi="Garamond"/>
          <w:bCs/>
          <w:lang w:val="en-US" w:eastAsia="en-GB"/>
        </w:rPr>
        <w:t>During October 2021, amongst the BRICS countries, highest annualized monthly volatility was observed in Russian Traded index (22.8 per cent), while Shanghai SE Composite index (China) recorded the lowest volatility of 9.1 per cent.</w:t>
      </w:r>
    </w:p>
    <w:p w:rsidR="003B453C" w:rsidRPr="006037D2" w:rsidRDefault="003B453C" w:rsidP="00456F4D">
      <w:pPr>
        <w:numPr>
          <w:ilvl w:val="0"/>
          <w:numId w:val="8"/>
        </w:numPr>
        <w:spacing w:line="276" w:lineRule="auto"/>
        <w:jc w:val="both"/>
        <w:rPr>
          <w:rFonts w:ascii="Garamond" w:eastAsia="Times New Roman" w:hAnsi="Garamond"/>
          <w:bCs/>
          <w:lang w:val="en-US" w:eastAsia="en-GB"/>
        </w:rPr>
      </w:pPr>
      <w:r w:rsidRPr="006037D2">
        <w:rPr>
          <w:rFonts w:ascii="Garamond" w:eastAsia="Times New Roman" w:hAnsi="Garamond"/>
          <w:bCs/>
          <w:lang w:val="en-US" w:eastAsia="en-GB"/>
        </w:rPr>
        <w:t>In terms of monthly movement in indices, FTSE/JSE Africa index of South Africa recorded highest increase of 5.0 per cent, while Brazil’s IBOVESPA reco</w:t>
      </w:r>
      <w:r w:rsidR="004A1B8E">
        <w:rPr>
          <w:rFonts w:ascii="Garamond" w:eastAsia="Times New Roman" w:hAnsi="Garamond"/>
          <w:bCs/>
          <w:lang w:val="en-US" w:eastAsia="en-GB"/>
        </w:rPr>
        <w:t>r</w:t>
      </w:r>
      <w:r w:rsidRPr="006037D2">
        <w:rPr>
          <w:rFonts w:ascii="Garamond" w:eastAsia="Times New Roman" w:hAnsi="Garamond"/>
          <w:bCs/>
          <w:lang w:val="en-US" w:eastAsia="en-GB"/>
        </w:rPr>
        <w:t>ded highest decline of 6.7 per cent during October 2021.</w:t>
      </w:r>
    </w:p>
    <w:p w:rsidR="003B453C" w:rsidRPr="000C6BCB" w:rsidRDefault="003B453C" w:rsidP="000C6BCB">
      <w:pPr>
        <w:rPr>
          <w:rFonts w:ascii="Garamond" w:eastAsia="Times New Roman" w:hAnsi="Garamond"/>
          <w:bCs/>
          <w:strike/>
          <w:lang w:eastAsia="en-GB"/>
        </w:rPr>
      </w:pPr>
    </w:p>
    <w:p w:rsidR="00777D27" w:rsidRPr="006037D2" w:rsidRDefault="00777D27" w:rsidP="00777D27">
      <w:pPr>
        <w:rPr>
          <w:rFonts w:ascii="Garamond" w:hAnsi="Garamond"/>
          <w:b/>
          <w:bCs/>
        </w:rPr>
      </w:pPr>
      <w:r>
        <w:rPr>
          <w:rFonts w:ascii="Garamond" w:hAnsi="Garamond"/>
          <w:b/>
          <w:bCs/>
        </w:rPr>
        <w:t xml:space="preserve">Table </w:t>
      </w:r>
      <w:r w:rsidRPr="006037D2">
        <w:rPr>
          <w:rFonts w:ascii="Garamond" w:hAnsi="Garamond"/>
          <w:b/>
          <w:bCs/>
        </w:rPr>
        <w:t>1: Performance of Stock Indices</w:t>
      </w:r>
    </w:p>
    <w:tbl>
      <w:tblPr>
        <w:tblW w:w="10196" w:type="dxa"/>
        <w:tblLayout w:type="fixed"/>
        <w:tblLook w:val="04A0" w:firstRow="1" w:lastRow="0" w:firstColumn="1" w:lastColumn="0" w:noHBand="0" w:noVBand="1"/>
      </w:tblPr>
      <w:tblGrid>
        <w:gridCol w:w="1398"/>
        <w:gridCol w:w="2112"/>
        <w:gridCol w:w="1276"/>
        <w:gridCol w:w="902"/>
        <w:gridCol w:w="902"/>
        <w:gridCol w:w="913"/>
        <w:gridCol w:w="709"/>
        <w:gridCol w:w="1139"/>
        <w:gridCol w:w="845"/>
      </w:tblGrid>
      <w:tr w:rsidR="00777D27" w:rsidRPr="003B0112" w:rsidTr="00FA77C2">
        <w:trPr>
          <w:trHeight w:val="188"/>
        </w:trPr>
        <w:tc>
          <w:tcPr>
            <w:tcW w:w="1398" w:type="dxa"/>
            <w:vMerge w:val="restart"/>
            <w:tcBorders>
              <w:top w:val="single" w:sz="8" w:space="0" w:color="auto"/>
              <w:left w:val="single" w:sz="8" w:space="0" w:color="auto"/>
              <w:bottom w:val="single" w:sz="8" w:space="0" w:color="000000"/>
              <w:right w:val="single" w:sz="8" w:space="0" w:color="auto"/>
            </w:tcBorders>
            <w:shd w:val="clear" w:color="000000" w:fill="B4C6E7"/>
            <w:hideMark/>
          </w:tcPr>
          <w:p w:rsidR="00777D27" w:rsidRPr="003B0112" w:rsidRDefault="00777D27" w:rsidP="00FA77C2">
            <w:pPr>
              <w:jc w:val="center"/>
              <w:rPr>
                <w:rFonts w:ascii="Garamond" w:eastAsia="Times New Roman" w:hAnsi="Garamond" w:cs="Calibri"/>
                <w:b/>
                <w:bCs/>
                <w:color w:val="000000"/>
                <w:sz w:val="20"/>
                <w:szCs w:val="20"/>
                <w:lang w:val="en-IN" w:eastAsia="en-IN" w:bidi="hi-IN"/>
              </w:rPr>
            </w:pPr>
            <w:r w:rsidRPr="003B0112">
              <w:rPr>
                <w:rFonts w:ascii="Garamond" w:eastAsia="Times New Roman" w:hAnsi="Garamond" w:cs="Calibri"/>
                <w:b/>
                <w:bCs/>
                <w:color w:val="000000"/>
                <w:sz w:val="20"/>
                <w:szCs w:val="20"/>
                <w:lang w:val="en-IN" w:eastAsia="en-IN" w:bidi="hi-IN"/>
              </w:rPr>
              <w:t>Country</w:t>
            </w:r>
          </w:p>
        </w:tc>
        <w:tc>
          <w:tcPr>
            <w:tcW w:w="2112" w:type="dxa"/>
            <w:vMerge w:val="restart"/>
            <w:tcBorders>
              <w:top w:val="single" w:sz="8" w:space="0" w:color="auto"/>
              <w:left w:val="single" w:sz="8" w:space="0" w:color="auto"/>
              <w:bottom w:val="single" w:sz="8" w:space="0" w:color="000000"/>
              <w:right w:val="single" w:sz="8" w:space="0" w:color="auto"/>
            </w:tcBorders>
            <w:shd w:val="clear" w:color="000000" w:fill="B4C6E7"/>
            <w:hideMark/>
          </w:tcPr>
          <w:p w:rsidR="00777D27" w:rsidRPr="003B0112" w:rsidRDefault="00777D27" w:rsidP="00FA77C2">
            <w:pPr>
              <w:jc w:val="center"/>
              <w:rPr>
                <w:rFonts w:ascii="Garamond" w:eastAsia="Times New Roman" w:hAnsi="Garamond" w:cs="Calibri"/>
                <w:b/>
                <w:bCs/>
                <w:color w:val="000000"/>
                <w:sz w:val="20"/>
                <w:szCs w:val="20"/>
                <w:lang w:val="en-IN" w:eastAsia="en-IN" w:bidi="hi-IN"/>
              </w:rPr>
            </w:pPr>
            <w:r w:rsidRPr="003B0112">
              <w:rPr>
                <w:rFonts w:ascii="Garamond" w:eastAsia="Times New Roman" w:hAnsi="Garamond" w:cs="Calibri"/>
                <w:b/>
                <w:bCs/>
                <w:color w:val="000000"/>
                <w:sz w:val="20"/>
                <w:szCs w:val="20"/>
                <w:lang w:val="en-IN" w:eastAsia="en-IN" w:bidi="hi-IN"/>
              </w:rPr>
              <w:t>Index</w:t>
            </w:r>
          </w:p>
        </w:tc>
        <w:tc>
          <w:tcPr>
            <w:tcW w:w="1276" w:type="dxa"/>
            <w:tcBorders>
              <w:top w:val="single" w:sz="8" w:space="0" w:color="auto"/>
              <w:left w:val="nil"/>
              <w:bottom w:val="nil"/>
              <w:right w:val="single" w:sz="8" w:space="0" w:color="auto"/>
            </w:tcBorders>
            <w:shd w:val="clear" w:color="000000" w:fill="B4C6E7"/>
            <w:noWrap/>
            <w:hideMark/>
          </w:tcPr>
          <w:p w:rsidR="00777D27" w:rsidRPr="003B0112" w:rsidRDefault="00777D27" w:rsidP="00FA77C2">
            <w:pPr>
              <w:jc w:val="center"/>
              <w:rPr>
                <w:rFonts w:ascii="Garamond" w:eastAsia="Times New Roman" w:hAnsi="Garamond" w:cs="Calibri"/>
                <w:b/>
                <w:bCs/>
                <w:color w:val="000000"/>
                <w:sz w:val="20"/>
                <w:szCs w:val="20"/>
                <w:lang w:val="en-IN" w:eastAsia="en-IN" w:bidi="hi-IN"/>
              </w:rPr>
            </w:pPr>
            <w:r w:rsidRPr="003B0112">
              <w:rPr>
                <w:rFonts w:ascii="Garamond" w:eastAsia="Times New Roman" w:hAnsi="Garamond" w:cs="Calibri"/>
                <w:b/>
                <w:bCs/>
                <w:color w:val="000000"/>
                <w:sz w:val="20"/>
                <w:szCs w:val="20"/>
                <w:lang w:val="en-IN" w:eastAsia="en-IN" w:bidi="hi-IN"/>
              </w:rPr>
              <w:t>Closing Value as on</w:t>
            </w:r>
          </w:p>
        </w:tc>
        <w:tc>
          <w:tcPr>
            <w:tcW w:w="3426" w:type="dxa"/>
            <w:gridSpan w:val="4"/>
            <w:tcBorders>
              <w:top w:val="single" w:sz="8" w:space="0" w:color="auto"/>
              <w:left w:val="nil"/>
              <w:bottom w:val="single" w:sz="8" w:space="0" w:color="auto"/>
              <w:right w:val="single" w:sz="8" w:space="0" w:color="000000"/>
            </w:tcBorders>
            <w:shd w:val="clear" w:color="000000" w:fill="B4C6E7"/>
            <w:hideMark/>
          </w:tcPr>
          <w:p w:rsidR="00777D27" w:rsidRPr="003B0112" w:rsidRDefault="00777D27" w:rsidP="00FA77C2">
            <w:pPr>
              <w:jc w:val="center"/>
              <w:rPr>
                <w:rFonts w:ascii="Garamond" w:eastAsia="Times New Roman" w:hAnsi="Garamond" w:cs="Calibri"/>
                <w:b/>
                <w:bCs/>
                <w:color w:val="000000"/>
                <w:sz w:val="20"/>
                <w:szCs w:val="20"/>
                <w:lang w:val="en-IN" w:eastAsia="en-IN" w:bidi="hi-IN"/>
              </w:rPr>
            </w:pPr>
            <w:r w:rsidRPr="003B0112">
              <w:rPr>
                <w:rFonts w:ascii="Garamond" w:eastAsia="Times New Roman" w:hAnsi="Garamond" w:cs="Calibri"/>
                <w:b/>
                <w:bCs/>
                <w:color w:val="000000"/>
                <w:sz w:val="20"/>
                <w:szCs w:val="20"/>
                <w:lang w:val="en-IN" w:eastAsia="en-IN" w:bidi="hi-IN"/>
              </w:rPr>
              <w:t>Percentage Change in Closing Value over period</w:t>
            </w:r>
          </w:p>
        </w:tc>
        <w:tc>
          <w:tcPr>
            <w:tcW w:w="1139" w:type="dxa"/>
            <w:tcBorders>
              <w:top w:val="single" w:sz="8" w:space="0" w:color="auto"/>
              <w:left w:val="single" w:sz="8" w:space="0" w:color="auto"/>
              <w:right w:val="single" w:sz="8" w:space="0" w:color="auto"/>
            </w:tcBorders>
            <w:shd w:val="clear" w:color="auto" w:fill="BDD6EE"/>
            <w:hideMark/>
          </w:tcPr>
          <w:p w:rsidR="00777D27" w:rsidRPr="003B0112" w:rsidRDefault="00777D27" w:rsidP="00FA77C2">
            <w:pPr>
              <w:jc w:val="center"/>
              <w:rPr>
                <w:rFonts w:ascii="Garamond" w:eastAsia="Times New Roman" w:hAnsi="Garamond" w:cs="Calibri"/>
                <w:b/>
                <w:bCs/>
                <w:color w:val="000000"/>
                <w:sz w:val="20"/>
                <w:szCs w:val="20"/>
                <w:lang w:val="en-IN" w:eastAsia="en-IN" w:bidi="hi-IN"/>
              </w:rPr>
            </w:pPr>
            <w:r w:rsidRPr="003B0112">
              <w:rPr>
                <w:rFonts w:ascii="Garamond" w:eastAsia="Times New Roman" w:hAnsi="Garamond" w:cs="Calibri"/>
                <w:b/>
                <w:bCs/>
                <w:color w:val="000000"/>
                <w:sz w:val="20"/>
                <w:szCs w:val="20"/>
                <w:lang w:val="en-IN" w:eastAsia="en-IN" w:bidi="hi-IN"/>
              </w:rPr>
              <w:t>Volatility (%)</w:t>
            </w:r>
          </w:p>
        </w:tc>
        <w:tc>
          <w:tcPr>
            <w:tcW w:w="845" w:type="dxa"/>
            <w:tcBorders>
              <w:top w:val="single" w:sz="8" w:space="0" w:color="auto"/>
              <w:left w:val="single" w:sz="8" w:space="0" w:color="auto"/>
              <w:right w:val="single" w:sz="8" w:space="0" w:color="auto"/>
            </w:tcBorders>
            <w:shd w:val="clear" w:color="auto" w:fill="BDD6EE"/>
            <w:hideMark/>
          </w:tcPr>
          <w:p w:rsidR="00777D27" w:rsidRPr="003B0112" w:rsidRDefault="00777D27" w:rsidP="00FA77C2">
            <w:pPr>
              <w:jc w:val="center"/>
              <w:rPr>
                <w:rFonts w:ascii="Garamond" w:eastAsia="Times New Roman" w:hAnsi="Garamond" w:cs="Calibri"/>
                <w:b/>
                <w:bCs/>
                <w:color w:val="000000"/>
                <w:sz w:val="20"/>
                <w:szCs w:val="20"/>
                <w:lang w:val="en-IN" w:eastAsia="en-IN" w:bidi="hi-IN"/>
              </w:rPr>
            </w:pPr>
            <w:r w:rsidRPr="003B0112">
              <w:rPr>
                <w:rFonts w:ascii="Garamond" w:eastAsia="Times New Roman" w:hAnsi="Garamond" w:cs="Calibri"/>
                <w:b/>
                <w:bCs/>
                <w:color w:val="000000"/>
                <w:sz w:val="20"/>
                <w:szCs w:val="20"/>
                <w:lang w:val="en-IN" w:eastAsia="en-IN" w:bidi="hi-IN"/>
              </w:rPr>
              <w:t>P/E Ratio</w:t>
            </w:r>
          </w:p>
        </w:tc>
      </w:tr>
      <w:tr w:rsidR="00777D27" w:rsidRPr="003B0112" w:rsidTr="00FA77C2">
        <w:trPr>
          <w:trHeight w:val="288"/>
        </w:trPr>
        <w:tc>
          <w:tcPr>
            <w:tcW w:w="1398" w:type="dxa"/>
            <w:vMerge/>
            <w:tcBorders>
              <w:top w:val="single" w:sz="8" w:space="0" w:color="auto"/>
              <w:left w:val="single" w:sz="8" w:space="0" w:color="auto"/>
              <w:bottom w:val="single" w:sz="8" w:space="0" w:color="000000"/>
              <w:right w:val="single" w:sz="8" w:space="0" w:color="auto"/>
            </w:tcBorders>
            <w:hideMark/>
          </w:tcPr>
          <w:p w:rsidR="00777D27" w:rsidRPr="003B0112" w:rsidRDefault="00777D27" w:rsidP="00FA77C2">
            <w:pPr>
              <w:jc w:val="center"/>
              <w:rPr>
                <w:rFonts w:ascii="Garamond" w:eastAsia="Times New Roman" w:hAnsi="Garamond" w:cs="Calibri"/>
                <w:b/>
                <w:bCs/>
                <w:color w:val="000000"/>
                <w:sz w:val="20"/>
                <w:szCs w:val="20"/>
                <w:lang w:val="en-IN" w:eastAsia="en-IN" w:bidi="hi-IN"/>
              </w:rPr>
            </w:pPr>
          </w:p>
        </w:tc>
        <w:tc>
          <w:tcPr>
            <w:tcW w:w="2112" w:type="dxa"/>
            <w:vMerge/>
            <w:tcBorders>
              <w:top w:val="single" w:sz="8" w:space="0" w:color="auto"/>
              <w:left w:val="single" w:sz="8" w:space="0" w:color="auto"/>
              <w:bottom w:val="single" w:sz="8" w:space="0" w:color="000000"/>
              <w:right w:val="single" w:sz="8" w:space="0" w:color="auto"/>
            </w:tcBorders>
            <w:hideMark/>
          </w:tcPr>
          <w:p w:rsidR="00777D27" w:rsidRPr="003B0112" w:rsidRDefault="00777D27" w:rsidP="00FA77C2">
            <w:pPr>
              <w:jc w:val="center"/>
              <w:rPr>
                <w:rFonts w:ascii="Garamond" w:eastAsia="Times New Roman" w:hAnsi="Garamond" w:cs="Calibri"/>
                <w:b/>
                <w:bCs/>
                <w:color w:val="000000"/>
                <w:sz w:val="20"/>
                <w:szCs w:val="20"/>
                <w:lang w:val="en-IN" w:eastAsia="en-IN" w:bidi="hi-IN"/>
              </w:rPr>
            </w:pPr>
          </w:p>
        </w:tc>
        <w:tc>
          <w:tcPr>
            <w:tcW w:w="1276" w:type="dxa"/>
            <w:tcBorders>
              <w:top w:val="nil"/>
              <w:left w:val="nil"/>
              <w:bottom w:val="single" w:sz="8" w:space="0" w:color="auto"/>
              <w:right w:val="single" w:sz="8" w:space="0" w:color="auto"/>
            </w:tcBorders>
            <w:shd w:val="clear" w:color="000000" w:fill="B4C6E7"/>
            <w:noWrap/>
            <w:hideMark/>
          </w:tcPr>
          <w:p w:rsidR="00777D27" w:rsidRPr="003B0112" w:rsidRDefault="00777D27" w:rsidP="00FA77C2">
            <w:pPr>
              <w:jc w:val="center"/>
              <w:rPr>
                <w:rFonts w:ascii="Garamond" w:eastAsia="Times New Roman" w:hAnsi="Garamond" w:cs="Calibri"/>
                <w:b/>
                <w:bCs/>
                <w:color w:val="000000"/>
                <w:sz w:val="20"/>
                <w:szCs w:val="20"/>
                <w:lang w:val="en-IN" w:eastAsia="en-IN" w:bidi="hi-IN"/>
              </w:rPr>
            </w:pPr>
            <w:r w:rsidRPr="003B0112">
              <w:rPr>
                <w:rFonts w:ascii="Garamond" w:eastAsia="Times New Roman" w:hAnsi="Garamond" w:cs="Calibri"/>
                <w:b/>
                <w:bCs/>
                <w:color w:val="000000"/>
                <w:sz w:val="20"/>
                <w:szCs w:val="20"/>
                <w:lang w:val="en-IN" w:eastAsia="en-IN" w:bidi="hi-IN"/>
              </w:rPr>
              <w:t>29-Oct-21</w:t>
            </w:r>
          </w:p>
        </w:tc>
        <w:tc>
          <w:tcPr>
            <w:tcW w:w="902" w:type="dxa"/>
            <w:tcBorders>
              <w:top w:val="nil"/>
              <w:left w:val="nil"/>
              <w:bottom w:val="single" w:sz="8" w:space="0" w:color="auto"/>
              <w:right w:val="single" w:sz="8" w:space="0" w:color="auto"/>
            </w:tcBorders>
            <w:shd w:val="clear" w:color="000000" w:fill="B4C6E7"/>
            <w:noWrap/>
            <w:hideMark/>
          </w:tcPr>
          <w:p w:rsidR="00777D27" w:rsidRPr="003B0112" w:rsidRDefault="00777D27" w:rsidP="00FA77C2">
            <w:pPr>
              <w:jc w:val="center"/>
              <w:rPr>
                <w:rFonts w:ascii="Garamond" w:eastAsia="Times New Roman" w:hAnsi="Garamond" w:cs="Calibri"/>
                <w:b/>
                <w:bCs/>
                <w:color w:val="000000"/>
                <w:sz w:val="20"/>
                <w:szCs w:val="20"/>
                <w:lang w:val="en-IN" w:eastAsia="en-IN" w:bidi="hi-IN"/>
              </w:rPr>
            </w:pPr>
            <w:r w:rsidRPr="003B0112">
              <w:rPr>
                <w:rFonts w:ascii="Garamond" w:eastAsia="Times New Roman" w:hAnsi="Garamond" w:cs="Calibri"/>
                <w:b/>
                <w:bCs/>
                <w:color w:val="000000"/>
                <w:sz w:val="20"/>
                <w:szCs w:val="20"/>
                <w:lang w:val="en-IN" w:eastAsia="en-IN" w:bidi="hi-IN"/>
              </w:rPr>
              <w:t>1-Month</w:t>
            </w:r>
          </w:p>
        </w:tc>
        <w:tc>
          <w:tcPr>
            <w:tcW w:w="902" w:type="dxa"/>
            <w:tcBorders>
              <w:top w:val="nil"/>
              <w:left w:val="nil"/>
              <w:bottom w:val="single" w:sz="8" w:space="0" w:color="auto"/>
              <w:right w:val="single" w:sz="8" w:space="0" w:color="auto"/>
            </w:tcBorders>
            <w:shd w:val="clear" w:color="000000" w:fill="B4C6E7"/>
            <w:noWrap/>
            <w:hideMark/>
          </w:tcPr>
          <w:p w:rsidR="00777D27" w:rsidRPr="003B0112" w:rsidRDefault="00777D27" w:rsidP="00FA77C2">
            <w:pPr>
              <w:jc w:val="center"/>
              <w:rPr>
                <w:rFonts w:ascii="Garamond" w:eastAsia="Times New Roman" w:hAnsi="Garamond" w:cs="Calibri"/>
                <w:b/>
                <w:bCs/>
                <w:color w:val="000000"/>
                <w:sz w:val="20"/>
                <w:szCs w:val="20"/>
                <w:lang w:val="en-IN" w:eastAsia="en-IN" w:bidi="hi-IN"/>
              </w:rPr>
            </w:pPr>
            <w:r w:rsidRPr="003B0112">
              <w:rPr>
                <w:rFonts w:ascii="Garamond" w:eastAsia="Times New Roman" w:hAnsi="Garamond" w:cs="Calibri"/>
                <w:b/>
                <w:bCs/>
                <w:color w:val="000000"/>
                <w:sz w:val="20"/>
                <w:szCs w:val="20"/>
                <w:lang w:val="en-IN" w:eastAsia="en-IN" w:bidi="hi-IN"/>
              </w:rPr>
              <w:t>3-Month</w:t>
            </w:r>
          </w:p>
        </w:tc>
        <w:tc>
          <w:tcPr>
            <w:tcW w:w="913" w:type="dxa"/>
            <w:tcBorders>
              <w:top w:val="nil"/>
              <w:left w:val="nil"/>
              <w:bottom w:val="single" w:sz="8" w:space="0" w:color="auto"/>
              <w:right w:val="single" w:sz="8" w:space="0" w:color="auto"/>
            </w:tcBorders>
            <w:shd w:val="clear" w:color="000000" w:fill="B4C6E7"/>
            <w:noWrap/>
            <w:hideMark/>
          </w:tcPr>
          <w:p w:rsidR="00777D27" w:rsidRPr="003B0112" w:rsidRDefault="00777D27" w:rsidP="00FA77C2">
            <w:pPr>
              <w:jc w:val="center"/>
              <w:rPr>
                <w:rFonts w:ascii="Garamond" w:eastAsia="Times New Roman" w:hAnsi="Garamond" w:cs="Calibri"/>
                <w:b/>
                <w:bCs/>
                <w:color w:val="000000"/>
                <w:sz w:val="20"/>
                <w:szCs w:val="20"/>
                <w:lang w:val="en-IN" w:eastAsia="en-IN" w:bidi="hi-IN"/>
              </w:rPr>
            </w:pPr>
            <w:r w:rsidRPr="003B0112">
              <w:rPr>
                <w:rFonts w:ascii="Garamond" w:eastAsia="Times New Roman" w:hAnsi="Garamond" w:cs="Calibri"/>
                <w:b/>
                <w:bCs/>
                <w:color w:val="000000"/>
                <w:sz w:val="20"/>
                <w:szCs w:val="20"/>
                <w:lang w:val="en-IN" w:eastAsia="en-IN" w:bidi="hi-IN"/>
              </w:rPr>
              <w:t>6-</w:t>
            </w:r>
          </w:p>
          <w:p w:rsidR="00777D27" w:rsidRPr="003B0112" w:rsidRDefault="00777D27" w:rsidP="00FA77C2">
            <w:pPr>
              <w:jc w:val="center"/>
              <w:rPr>
                <w:rFonts w:ascii="Garamond" w:eastAsia="Times New Roman" w:hAnsi="Garamond" w:cs="Calibri"/>
                <w:b/>
                <w:bCs/>
                <w:color w:val="000000"/>
                <w:sz w:val="20"/>
                <w:szCs w:val="20"/>
                <w:lang w:val="en-IN" w:eastAsia="en-IN" w:bidi="hi-IN"/>
              </w:rPr>
            </w:pPr>
            <w:r w:rsidRPr="003B0112">
              <w:rPr>
                <w:rFonts w:ascii="Garamond" w:eastAsia="Times New Roman" w:hAnsi="Garamond" w:cs="Calibri"/>
                <w:b/>
                <w:bCs/>
                <w:color w:val="000000"/>
                <w:sz w:val="20"/>
                <w:szCs w:val="20"/>
                <w:lang w:val="en-IN" w:eastAsia="en-IN" w:bidi="hi-IN"/>
              </w:rPr>
              <w:t>Month</w:t>
            </w:r>
          </w:p>
        </w:tc>
        <w:tc>
          <w:tcPr>
            <w:tcW w:w="709" w:type="dxa"/>
            <w:tcBorders>
              <w:top w:val="nil"/>
              <w:left w:val="nil"/>
              <w:bottom w:val="single" w:sz="8" w:space="0" w:color="auto"/>
              <w:right w:val="single" w:sz="8" w:space="0" w:color="auto"/>
            </w:tcBorders>
            <w:shd w:val="clear" w:color="000000" w:fill="B4C6E7"/>
            <w:noWrap/>
            <w:hideMark/>
          </w:tcPr>
          <w:p w:rsidR="00777D27" w:rsidRPr="003B0112" w:rsidRDefault="00777D27" w:rsidP="00FA77C2">
            <w:pPr>
              <w:jc w:val="center"/>
              <w:rPr>
                <w:rFonts w:ascii="Garamond" w:eastAsia="Times New Roman" w:hAnsi="Garamond" w:cs="Calibri"/>
                <w:b/>
                <w:bCs/>
                <w:color w:val="000000"/>
                <w:sz w:val="20"/>
                <w:szCs w:val="20"/>
                <w:lang w:val="en-IN" w:eastAsia="en-IN" w:bidi="hi-IN"/>
              </w:rPr>
            </w:pPr>
            <w:r w:rsidRPr="003B0112">
              <w:rPr>
                <w:rFonts w:ascii="Garamond" w:eastAsia="Times New Roman" w:hAnsi="Garamond" w:cs="Calibri"/>
                <w:b/>
                <w:bCs/>
                <w:color w:val="000000"/>
                <w:sz w:val="20"/>
                <w:szCs w:val="20"/>
                <w:lang w:val="en-IN" w:eastAsia="en-IN" w:bidi="hi-IN"/>
              </w:rPr>
              <w:t>1-Year</w:t>
            </w:r>
          </w:p>
        </w:tc>
        <w:tc>
          <w:tcPr>
            <w:tcW w:w="1139" w:type="dxa"/>
            <w:tcBorders>
              <w:left w:val="single" w:sz="8" w:space="0" w:color="auto"/>
              <w:bottom w:val="single" w:sz="8" w:space="0" w:color="000000"/>
              <w:right w:val="single" w:sz="8" w:space="0" w:color="auto"/>
            </w:tcBorders>
            <w:shd w:val="clear" w:color="auto" w:fill="BDD6EE"/>
            <w:hideMark/>
          </w:tcPr>
          <w:p w:rsidR="00777D27" w:rsidRPr="003B0112" w:rsidRDefault="00777D27" w:rsidP="00FA77C2">
            <w:pPr>
              <w:jc w:val="center"/>
              <w:rPr>
                <w:rFonts w:ascii="Garamond" w:eastAsia="Times New Roman" w:hAnsi="Garamond" w:cs="Calibri"/>
                <w:b/>
                <w:bCs/>
                <w:color w:val="000000"/>
                <w:sz w:val="20"/>
                <w:szCs w:val="20"/>
                <w:lang w:val="en-IN" w:eastAsia="en-IN" w:bidi="hi-IN"/>
              </w:rPr>
            </w:pPr>
          </w:p>
        </w:tc>
        <w:tc>
          <w:tcPr>
            <w:tcW w:w="845" w:type="dxa"/>
            <w:tcBorders>
              <w:left w:val="single" w:sz="8" w:space="0" w:color="auto"/>
              <w:bottom w:val="single" w:sz="8" w:space="0" w:color="000000"/>
              <w:right w:val="single" w:sz="8" w:space="0" w:color="auto"/>
            </w:tcBorders>
            <w:shd w:val="clear" w:color="auto" w:fill="BDD6EE"/>
            <w:hideMark/>
          </w:tcPr>
          <w:p w:rsidR="00777D27" w:rsidRPr="003B0112" w:rsidRDefault="00777D27" w:rsidP="00FA77C2">
            <w:pPr>
              <w:jc w:val="center"/>
              <w:rPr>
                <w:rFonts w:ascii="Garamond" w:eastAsia="Times New Roman" w:hAnsi="Garamond" w:cs="Calibri"/>
                <w:b/>
                <w:bCs/>
                <w:color w:val="000000"/>
                <w:sz w:val="20"/>
                <w:szCs w:val="20"/>
                <w:lang w:val="en-IN" w:eastAsia="en-IN" w:bidi="hi-IN"/>
              </w:rPr>
            </w:pPr>
          </w:p>
        </w:tc>
      </w:tr>
      <w:tr w:rsidR="00777D27" w:rsidRPr="003B0112" w:rsidTr="00FA77C2">
        <w:trPr>
          <w:trHeight w:val="384"/>
        </w:trPr>
        <w:tc>
          <w:tcPr>
            <w:tcW w:w="10196" w:type="dxa"/>
            <w:gridSpan w:val="9"/>
            <w:tcBorders>
              <w:top w:val="single" w:sz="8" w:space="0" w:color="auto"/>
              <w:left w:val="single" w:sz="8" w:space="0" w:color="auto"/>
              <w:bottom w:val="single" w:sz="8" w:space="0" w:color="auto"/>
              <w:right w:val="single" w:sz="8" w:space="0" w:color="000000"/>
            </w:tcBorders>
            <w:shd w:val="clear" w:color="000000" w:fill="D9E1F2"/>
            <w:noWrap/>
            <w:hideMark/>
          </w:tcPr>
          <w:p w:rsidR="00777D27" w:rsidRPr="003B0112" w:rsidRDefault="00777D27" w:rsidP="00FA77C2">
            <w:pPr>
              <w:jc w:val="center"/>
              <w:rPr>
                <w:rFonts w:ascii="Garamond" w:eastAsia="Times New Roman" w:hAnsi="Garamond" w:cs="Calibri"/>
                <w:b/>
                <w:bCs/>
                <w:color w:val="000000"/>
                <w:sz w:val="20"/>
                <w:szCs w:val="20"/>
                <w:lang w:val="en-IN" w:eastAsia="en-IN" w:bidi="hi-IN"/>
              </w:rPr>
            </w:pPr>
            <w:r w:rsidRPr="003B0112">
              <w:rPr>
                <w:rFonts w:ascii="Garamond" w:eastAsia="Times New Roman" w:hAnsi="Garamond" w:cs="Calibri"/>
                <w:b/>
                <w:bCs/>
                <w:color w:val="000000"/>
                <w:sz w:val="20"/>
                <w:szCs w:val="20"/>
                <w:lang w:val="en-IN" w:eastAsia="en-IN" w:bidi="hi-IN"/>
              </w:rPr>
              <w:t>BRICS Nations</w:t>
            </w:r>
          </w:p>
        </w:tc>
      </w:tr>
      <w:tr w:rsidR="00777D27" w:rsidRPr="003B0112" w:rsidTr="00FA77C2">
        <w:trPr>
          <w:trHeight w:val="179"/>
        </w:trPr>
        <w:tc>
          <w:tcPr>
            <w:tcW w:w="1398" w:type="dxa"/>
            <w:tcBorders>
              <w:top w:val="nil"/>
              <w:left w:val="single" w:sz="8" w:space="0" w:color="auto"/>
              <w:bottom w:val="nil"/>
              <w:right w:val="single" w:sz="8" w:space="0" w:color="auto"/>
            </w:tcBorders>
            <w:shd w:val="clear" w:color="000000" w:fill="D9E1F2"/>
            <w:noWrap/>
            <w:hideMark/>
          </w:tcPr>
          <w:p w:rsidR="00777D27" w:rsidRPr="003B0112" w:rsidRDefault="00777D27" w:rsidP="00FA77C2">
            <w:pPr>
              <w:rPr>
                <w:rFonts w:ascii="Garamond" w:eastAsia="Times New Roman" w:hAnsi="Garamond" w:cs="Calibri"/>
                <w:color w:val="000000"/>
                <w:sz w:val="20"/>
                <w:szCs w:val="20"/>
                <w:lang w:val="en-IN" w:eastAsia="en-IN" w:bidi="hi-IN"/>
              </w:rPr>
            </w:pPr>
            <w:r w:rsidRPr="003B0112">
              <w:rPr>
                <w:rFonts w:ascii="Garamond" w:eastAsia="Times New Roman" w:hAnsi="Garamond" w:cs="Calibri"/>
                <w:color w:val="000000"/>
                <w:sz w:val="20"/>
                <w:szCs w:val="20"/>
                <w:lang w:val="en-IN" w:eastAsia="en-IN" w:bidi="hi-IN"/>
              </w:rPr>
              <w:t>Brazil</w:t>
            </w:r>
          </w:p>
        </w:tc>
        <w:tc>
          <w:tcPr>
            <w:tcW w:w="2112" w:type="dxa"/>
            <w:tcBorders>
              <w:top w:val="nil"/>
              <w:left w:val="nil"/>
              <w:bottom w:val="nil"/>
              <w:right w:val="single" w:sz="8" w:space="0" w:color="auto"/>
            </w:tcBorders>
            <w:shd w:val="clear" w:color="000000" w:fill="D9E1F2"/>
            <w:noWrap/>
            <w:hideMark/>
          </w:tcPr>
          <w:p w:rsidR="00777D27" w:rsidRPr="003B0112" w:rsidRDefault="00777D27" w:rsidP="00FA77C2">
            <w:pPr>
              <w:rPr>
                <w:rFonts w:ascii="Garamond" w:eastAsia="Times New Roman" w:hAnsi="Garamond" w:cs="Calibri"/>
                <w:color w:val="000000"/>
                <w:sz w:val="20"/>
                <w:szCs w:val="20"/>
                <w:lang w:val="en-IN" w:eastAsia="en-IN" w:bidi="hi-IN"/>
              </w:rPr>
            </w:pPr>
            <w:r w:rsidRPr="003B0112">
              <w:rPr>
                <w:rFonts w:ascii="Garamond" w:eastAsia="Times New Roman" w:hAnsi="Garamond" w:cs="Calibri"/>
                <w:color w:val="000000"/>
                <w:sz w:val="20"/>
                <w:szCs w:val="20"/>
                <w:lang w:val="en-IN" w:eastAsia="en-IN" w:bidi="hi-IN"/>
              </w:rPr>
              <w:t>BRAZIL IBOVESPA</w:t>
            </w:r>
          </w:p>
        </w:tc>
        <w:tc>
          <w:tcPr>
            <w:tcW w:w="1276" w:type="dxa"/>
            <w:tcBorders>
              <w:top w:val="nil"/>
              <w:left w:val="nil"/>
              <w:bottom w:val="nil"/>
              <w:right w:val="single" w:sz="8" w:space="0" w:color="auto"/>
            </w:tcBorders>
            <w:shd w:val="clear" w:color="000000" w:fill="9BC2E6"/>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 xml:space="preserve"> 1,03,501 </w:t>
            </w:r>
          </w:p>
        </w:tc>
        <w:tc>
          <w:tcPr>
            <w:tcW w:w="902"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-6.7</w:t>
            </w:r>
          </w:p>
        </w:tc>
        <w:tc>
          <w:tcPr>
            <w:tcW w:w="902"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-15.0</w:t>
            </w:r>
          </w:p>
        </w:tc>
        <w:tc>
          <w:tcPr>
            <w:tcW w:w="913"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-12.9</w:t>
            </w:r>
          </w:p>
        </w:tc>
        <w:tc>
          <w:tcPr>
            <w:tcW w:w="709"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10.2</w:t>
            </w:r>
          </w:p>
        </w:tc>
        <w:tc>
          <w:tcPr>
            <w:tcW w:w="1139"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24.1</w:t>
            </w:r>
          </w:p>
        </w:tc>
        <w:tc>
          <w:tcPr>
            <w:tcW w:w="845"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7.7</w:t>
            </w:r>
          </w:p>
        </w:tc>
      </w:tr>
      <w:tr w:rsidR="00777D27" w:rsidRPr="003B0112" w:rsidTr="00FA77C2">
        <w:trPr>
          <w:trHeight w:val="179"/>
        </w:trPr>
        <w:tc>
          <w:tcPr>
            <w:tcW w:w="1398" w:type="dxa"/>
            <w:tcBorders>
              <w:top w:val="nil"/>
              <w:left w:val="single" w:sz="8" w:space="0" w:color="auto"/>
              <w:bottom w:val="nil"/>
              <w:right w:val="single" w:sz="8" w:space="0" w:color="auto"/>
            </w:tcBorders>
            <w:shd w:val="clear" w:color="000000" w:fill="D9E1F2"/>
            <w:noWrap/>
            <w:hideMark/>
          </w:tcPr>
          <w:p w:rsidR="00777D27" w:rsidRPr="003B0112" w:rsidRDefault="00777D27" w:rsidP="00FA77C2">
            <w:pPr>
              <w:rPr>
                <w:rFonts w:ascii="Garamond" w:eastAsia="Times New Roman" w:hAnsi="Garamond" w:cs="Calibri"/>
                <w:color w:val="000000"/>
                <w:sz w:val="20"/>
                <w:szCs w:val="20"/>
                <w:lang w:val="en-IN" w:eastAsia="en-IN" w:bidi="hi-IN"/>
              </w:rPr>
            </w:pPr>
            <w:r w:rsidRPr="003B0112">
              <w:rPr>
                <w:rFonts w:ascii="Garamond" w:eastAsia="Times New Roman" w:hAnsi="Garamond" w:cs="Calibri"/>
                <w:color w:val="000000"/>
                <w:sz w:val="20"/>
                <w:szCs w:val="20"/>
                <w:lang w:val="en-IN" w:eastAsia="en-IN" w:bidi="hi-IN"/>
              </w:rPr>
              <w:t>Russia</w:t>
            </w:r>
          </w:p>
        </w:tc>
        <w:tc>
          <w:tcPr>
            <w:tcW w:w="2112" w:type="dxa"/>
            <w:tcBorders>
              <w:top w:val="nil"/>
              <w:left w:val="nil"/>
              <w:bottom w:val="nil"/>
              <w:right w:val="single" w:sz="8" w:space="0" w:color="auto"/>
            </w:tcBorders>
            <w:shd w:val="clear" w:color="000000" w:fill="D9E1F2"/>
            <w:noWrap/>
            <w:hideMark/>
          </w:tcPr>
          <w:p w:rsidR="00777D27" w:rsidRPr="003B0112" w:rsidRDefault="00777D27" w:rsidP="00FA77C2">
            <w:pPr>
              <w:rPr>
                <w:rFonts w:ascii="Garamond" w:eastAsia="Times New Roman" w:hAnsi="Garamond" w:cs="Calibri"/>
                <w:color w:val="000000"/>
                <w:sz w:val="20"/>
                <w:szCs w:val="20"/>
                <w:lang w:val="en-IN" w:eastAsia="en-IN" w:bidi="hi-IN"/>
              </w:rPr>
            </w:pPr>
            <w:r w:rsidRPr="003B0112">
              <w:rPr>
                <w:rFonts w:ascii="Garamond" w:eastAsia="Times New Roman" w:hAnsi="Garamond" w:cs="Calibri"/>
                <w:color w:val="000000"/>
                <w:sz w:val="20"/>
                <w:szCs w:val="20"/>
                <w:lang w:val="en-IN" w:eastAsia="en-IN" w:bidi="hi-IN"/>
              </w:rPr>
              <w:t>RUSSIAN TRADED</w:t>
            </w:r>
          </w:p>
        </w:tc>
        <w:tc>
          <w:tcPr>
            <w:tcW w:w="1276" w:type="dxa"/>
            <w:tcBorders>
              <w:top w:val="nil"/>
              <w:left w:val="nil"/>
              <w:bottom w:val="nil"/>
              <w:right w:val="single" w:sz="8" w:space="0" w:color="auto"/>
            </w:tcBorders>
            <w:shd w:val="clear" w:color="000000" w:fill="9BC2E6"/>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 xml:space="preserve"> 2,455 </w:t>
            </w:r>
          </w:p>
        </w:tc>
        <w:tc>
          <w:tcPr>
            <w:tcW w:w="902"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4.1</w:t>
            </w:r>
          </w:p>
        </w:tc>
        <w:tc>
          <w:tcPr>
            <w:tcW w:w="902"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15.6</w:t>
            </w:r>
          </w:p>
        </w:tc>
        <w:tc>
          <w:tcPr>
            <w:tcW w:w="913"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27.9</w:t>
            </w:r>
          </w:p>
        </w:tc>
        <w:tc>
          <w:tcPr>
            <w:tcW w:w="709"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84.6</w:t>
            </w:r>
          </w:p>
        </w:tc>
        <w:tc>
          <w:tcPr>
            <w:tcW w:w="1139"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22.8</w:t>
            </w:r>
          </w:p>
        </w:tc>
        <w:tc>
          <w:tcPr>
            <w:tcW w:w="845"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8.4</w:t>
            </w:r>
          </w:p>
        </w:tc>
      </w:tr>
      <w:tr w:rsidR="00777D27" w:rsidRPr="003B0112" w:rsidTr="00FA77C2">
        <w:trPr>
          <w:trHeight w:val="179"/>
        </w:trPr>
        <w:tc>
          <w:tcPr>
            <w:tcW w:w="1398" w:type="dxa"/>
            <w:tcBorders>
              <w:top w:val="nil"/>
              <w:left w:val="single" w:sz="8" w:space="0" w:color="auto"/>
              <w:bottom w:val="nil"/>
              <w:right w:val="single" w:sz="8" w:space="0" w:color="auto"/>
            </w:tcBorders>
            <w:shd w:val="clear" w:color="000000" w:fill="D9E1F2"/>
            <w:noWrap/>
            <w:hideMark/>
          </w:tcPr>
          <w:p w:rsidR="00777D27" w:rsidRPr="003B0112" w:rsidRDefault="00777D27" w:rsidP="00FA77C2">
            <w:pPr>
              <w:rPr>
                <w:rFonts w:ascii="Garamond" w:eastAsia="Times New Roman" w:hAnsi="Garamond" w:cs="Calibri"/>
                <w:color w:val="000000"/>
                <w:sz w:val="20"/>
                <w:szCs w:val="20"/>
                <w:lang w:val="en-IN" w:eastAsia="en-IN" w:bidi="hi-IN"/>
              </w:rPr>
            </w:pPr>
            <w:r w:rsidRPr="003B0112">
              <w:rPr>
                <w:rFonts w:ascii="Garamond" w:eastAsia="Times New Roman" w:hAnsi="Garamond" w:cs="Calibri"/>
                <w:color w:val="000000"/>
                <w:sz w:val="20"/>
                <w:szCs w:val="20"/>
                <w:lang w:val="en-IN" w:eastAsia="en-IN" w:bidi="hi-IN"/>
              </w:rPr>
              <w:t>India</w:t>
            </w:r>
          </w:p>
        </w:tc>
        <w:tc>
          <w:tcPr>
            <w:tcW w:w="2112" w:type="dxa"/>
            <w:tcBorders>
              <w:top w:val="nil"/>
              <w:left w:val="nil"/>
              <w:bottom w:val="nil"/>
              <w:right w:val="single" w:sz="8" w:space="0" w:color="auto"/>
            </w:tcBorders>
            <w:shd w:val="clear" w:color="000000" w:fill="D9E1F2"/>
            <w:noWrap/>
            <w:hideMark/>
          </w:tcPr>
          <w:p w:rsidR="00777D27" w:rsidRPr="003B0112" w:rsidRDefault="00777D27" w:rsidP="00FA77C2">
            <w:pPr>
              <w:rPr>
                <w:rFonts w:ascii="Garamond" w:eastAsia="Times New Roman" w:hAnsi="Garamond" w:cs="Calibri"/>
                <w:color w:val="000000"/>
                <w:sz w:val="20"/>
                <w:szCs w:val="20"/>
                <w:lang w:val="en-IN" w:eastAsia="en-IN" w:bidi="hi-IN"/>
              </w:rPr>
            </w:pPr>
            <w:r w:rsidRPr="003B0112">
              <w:rPr>
                <w:rFonts w:ascii="Garamond" w:eastAsia="Times New Roman" w:hAnsi="Garamond" w:cs="Calibri"/>
                <w:color w:val="000000"/>
                <w:sz w:val="20"/>
                <w:szCs w:val="20"/>
                <w:lang w:val="en-IN" w:eastAsia="en-IN" w:bidi="hi-IN"/>
              </w:rPr>
              <w:t>Nifty 50</w:t>
            </w:r>
          </w:p>
        </w:tc>
        <w:tc>
          <w:tcPr>
            <w:tcW w:w="1276" w:type="dxa"/>
            <w:tcBorders>
              <w:top w:val="nil"/>
              <w:left w:val="nil"/>
              <w:bottom w:val="nil"/>
              <w:right w:val="single" w:sz="8" w:space="0" w:color="auto"/>
            </w:tcBorders>
            <w:shd w:val="clear" w:color="000000" w:fill="9BC2E6"/>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 xml:space="preserve"> 17,672 </w:t>
            </w:r>
          </w:p>
        </w:tc>
        <w:tc>
          <w:tcPr>
            <w:tcW w:w="902"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0.3</w:t>
            </w:r>
          </w:p>
        </w:tc>
        <w:tc>
          <w:tcPr>
            <w:tcW w:w="902"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12.1</w:t>
            </w:r>
          </w:p>
        </w:tc>
        <w:tc>
          <w:tcPr>
            <w:tcW w:w="913"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20.8</w:t>
            </w:r>
          </w:p>
        </w:tc>
        <w:tc>
          <w:tcPr>
            <w:tcW w:w="709"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51.8</w:t>
            </w:r>
          </w:p>
        </w:tc>
        <w:tc>
          <w:tcPr>
            <w:tcW w:w="1139"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12.5</w:t>
            </w:r>
          </w:p>
        </w:tc>
        <w:tc>
          <w:tcPr>
            <w:tcW w:w="845"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25.7</w:t>
            </w:r>
          </w:p>
        </w:tc>
      </w:tr>
      <w:tr w:rsidR="00777D27" w:rsidRPr="003B0112" w:rsidTr="00FA77C2">
        <w:trPr>
          <w:trHeight w:val="179"/>
        </w:trPr>
        <w:tc>
          <w:tcPr>
            <w:tcW w:w="1398" w:type="dxa"/>
            <w:tcBorders>
              <w:top w:val="nil"/>
              <w:left w:val="single" w:sz="8" w:space="0" w:color="auto"/>
              <w:bottom w:val="nil"/>
              <w:right w:val="single" w:sz="8" w:space="0" w:color="auto"/>
            </w:tcBorders>
            <w:shd w:val="clear" w:color="000000" w:fill="D9E1F2"/>
            <w:noWrap/>
            <w:hideMark/>
          </w:tcPr>
          <w:p w:rsidR="00777D27" w:rsidRPr="003B0112" w:rsidRDefault="00777D27" w:rsidP="00FA77C2">
            <w:pPr>
              <w:rPr>
                <w:rFonts w:ascii="Garamond" w:eastAsia="Times New Roman" w:hAnsi="Garamond" w:cs="Calibri"/>
                <w:color w:val="000000"/>
                <w:sz w:val="20"/>
                <w:szCs w:val="20"/>
                <w:lang w:val="en-IN" w:eastAsia="en-IN" w:bidi="hi-IN"/>
              </w:rPr>
            </w:pPr>
            <w:r w:rsidRPr="003B0112">
              <w:rPr>
                <w:rFonts w:ascii="Garamond" w:eastAsia="Times New Roman" w:hAnsi="Garamond" w:cs="Calibri"/>
                <w:color w:val="000000"/>
                <w:sz w:val="20"/>
                <w:szCs w:val="20"/>
                <w:lang w:val="en-IN" w:eastAsia="en-IN" w:bidi="hi-IN"/>
              </w:rPr>
              <w:t>India</w:t>
            </w:r>
          </w:p>
        </w:tc>
        <w:tc>
          <w:tcPr>
            <w:tcW w:w="2112" w:type="dxa"/>
            <w:tcBorders>
              <w:top w:val="nil"/>
              <w:left w:val="nil"/>
              <w:bottom w:val="nil"/>
              <w:right w:val="single" w:sz="8" w:space="0" w:color="auto"/>
            </w:tcBorders>
            <w:shd w:val="clear" w:color="000000" w:fill="D9E1F2"/>
            <w:noWrap/>
            <w:hideMark/>
          </w:tcPr>
          <w:p w:rsidR="00777D27" w:rsidRPr="003B0112" w:rsidRDefault="00777D27" w:rsidP="00FA77C2">
            <w:pPr>
              <w:rPr>
                <w:rFonts w:ascii="Garamond" w:eastAsia="Times New Roman" w:hAnsi="Garamond" w:cs="Calibri"/>
                <w:color w:val="000000"/>
                <w:sz w:val="20"/>
                <w:szCs w:val="20"/>
                <w:lang w:val="en-IN" w:eastAsia="en-IN" w:bidi="hi-IN"/>
              </w:rPr>
            </w:pPr>
            <w:r w:rsidRPr="003B0112">
              <w:rPr>
                <w:rFonts w:ascii="Garamond" w:eastAsia="Times New Roman" w:hAnsi="Garamond" w:cs="Calibri"/>
                <w:color w:val="000000"/>
                <w:sz w:val="20"/>
                <w:szCs w:val="20"/>
                <w:lang w:val="en-IN" w:eastAsia="en-IN" w:bidi="hi-IN"/>
              </w:rPr>
              <w:t>S&amp;P BSE SENSEX</w:t>
            </w:r>
          </w:p>
        </w:tc>
        <w:tc>
          <w:tcPr>
            <w:tcW w:w="1276" w:type="dxa"/>
            <w:tcBorders>
              <w:top w:val="nil"/>
              <w:left w:val="nil"/>
              <w:bottom w:val="nil"/>
              <w:right w:val="single" w:sz="8" w:space="0" w:color="auto"/>
            </w:tcBorders>
            <w:shd w:val="clear" w:color="000000" w:fill="9BC2E6"/>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 xml:space="preserve"> 59,307 </w:t>
            </w:r>
          </w:p>
        </w:tc>
        <w:tc>
          <w:tcPr>
            <w:tcW w:w="902"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0.3</w:t>
            </w:r>
          </w:p>
        </w:tc>
        <w:tc>
          <w:tcPr>
            <w:tcW w:w="902"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12.8</w:t>
            </w:r>
          </w:p>
        </w:tc>
        <w:tc>
          <w:tcPr>
            <w:tcW w:w="913"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21.6</w:t>
            </w:r>
          </w:p>
        </w:tc>
        <w:tc>
          <w:tcPr>
            <w:tcW w:w="709"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49.7</w:t>
            </w:r>
          </w:p>
        </w:tc>
        <w:tc>
          <w:tcPr>
            <w:tcW w:w="1139"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12.1</w:t>
            </w:r>
          </w:p>
        </w:tc>
        <w:tc>
          <w:tcPr>
            <w:tcW w:w="845"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29.6</w:t>
            </w:r>
          </w:p>
        </w:tc>
      </w:tr>
      <w:tr w:rsidR="00777D27" w:rsidRPr="003B0112" w:rsidTr="00FA77C2">
        <w:trPr>
          <w:trHeight w:val="179"/>
        </w:trPr>
        <w:tc>
          <w:tcPr>
            <w:tcW w:w="1398" w:type="dxa"/>
            <w:tcBorders>
              <w:top w:val="nil"/>
              <w:left w:val="single" w:sz="8" w:space="0" w:color="auto"/>
              <w:bottom w:val="nil"/>
              <w:right w:val="single" w:sz="8" w:space="0" w:color="auto"/>
            </w:tcBorders>
            <w:shd w:val="clear" w:color="000000" w:fill="D9E1F2"/>
            <w:noWrap/>
            <w:hideMark/>
          </w:tcPr>
          <w:p w:rsidR="00777D27" w:rsidRPr="003B0112" w:rsidRDefault="00777D27" w:rsidP="00FA77C2">
            <w:pPr>
              <w:rPr>
                <w:rFonts w:ascii="Garamond" w:eastAsia="Times New Roman" w:hAnsi="Garamond" w:cs="Calibri"/>
                <w:color w:val="000000"/>
                <w:sz w:val="20"/>
                <w:szCs w:val="20"/>
                <w:lang w:val="en-IN" w:eastAsia="en-IN" w:bidi="hi-IN"/>
              </w:rPr>
            </w:pPr>
            <w:r w:rsidRPr="003B0112">
              <w:rPr>
                <w:rFonts w:ascii="Garamond" w:eastAsia="Times New Roman" w:hAnsi="Garamond" w:cs="Calibri"/>
                <w:color w:val="000000"/>
                <w:sz w:val="20"/>
                <w:szCs w:val="20"/>
                <w:lang w:val="en-IN" w:eastAsia="en-IN" w:bidi="hi-IN"/>
              </w:rPr>
              <w:t>China</w:t>
            </w:r>
          </w:p>
        </w:tc>
        <w:tc>
          <w:tcPr>
            <w:tcW w:w="2112" w:type="dxa"/>
            <w:tcBorders>
              <w:top w:val="nil"/>
              <w:left w:val="nil"/>
              <w:bottom w:val="nil"/>
              <w:right w:val="single" w:sz="8" w:space="0" w:color="auto"/>
            </w:tcBorders>
            <w:shd w:val="clear" w:color="000000" w:fill="D9E1F2"/>
            <w:noWrap/>
            <w:hideMark/>
          </w:tcPr>
          <w:p w:rsidR="00777D27" w:rsidRPr="003B0112" w:rsidRDefault="00777D27" w:rsidP="00FA77C2">
            <w:pPr>
              <w:rPr>
                <w:rFonts w:ascii="Garamond" w:eastAsia="Times New Roman" w:hAnsi="Garamond" w:cs="Calibri"/>
                <w:color w:val="000000"/>
                <w:sz w:val="20"/>
                <w:szCs w:val="20"/>
                <w:lang w:val="en-IN" w:eastAsia="en-IN" w:bidi="hi-IN"/>
              </w:rPr>
            </w:pPr>
            <w:r w:rsidRPr="003B0112">
              <w:rPr>
                <w:rFonts w:ascii="Garamond" w:eastAsia="Times New Roman" w:hAnsi="Garamond" w:cs="Calibri"/>
                <w:color w:val="000000"/>
                <w:sz w:val="20"/>
                <w:szCs w:val="20"/>
                <w:lang w:val="en-IN" w:eastAsia="en-IN" w:bidi="hi-IN"/>
              </w:rPr>
              <w:t>SHANGHAI COMPOSITE</w:t>
            </w:r>
          </w:p>
        </w:tc>
        <w:tc>
          <w:tcPr>
            <w:tcW w:w="1276" w:type="dxa"/>
            <w:tcBorders>
              <w:top w:val="nil"/>
              <w:left w:val="nil"/>
              <w:bottom w:val="nil"/>
              <w:right w:val="single" w:sz="8" w:space="0" w:color="auto"/>
            </w:tcBorders>
            <w:shd w:val="clear" w:color="000000" w:fill="9BC2E6"/>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 xml:space="preserve"> 3,547 </w:t>
            </w:r>
          </w:p>
        </w:tc>
        <w:tc>
          <w:tcPr>
            <w:tcW w:w="902"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-0.6</w:t>
            </w:r>
          </w:p>
        </w:tc>
        <w:tc>
          <w:tcPr>
            <w:tcW w:w="902"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4.4</w:t>
            </w:r>
          </w:p>
        </w:tc>
        <w:tc>
          <w:tcPr>
            <w:tcW w:w="913"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2.9</w:t>
            </w:r>
          </w:p>
        </w:tc>
        <w:tc>
          <w:tcPr>
            <w:tcW w:w="709"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10.0</w:t>
            </w:r>
          </w:p>
        </w:tc>
        <w:tc>
          <w:tcPr>
            <w:tcW w:w="1139"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9.1</w:t>
            </w:r>
          </w:p>
        </w:tc>
        <w:tc>
          <w:tcPr>
            <w:tcW w:w="845"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12.0</w:t>
            </w:r>
          </w:p>
        </w:tc>
      </w:tr>
      <w:tr w:rsidR="00777D27" w:rsidRPr="003B0112" w:rsidTr="00FA77C2">
        <w:trPr>
          <w:trHeight w:val="188"/>
        </w:trPr>
        <w:tc>
          <w:tcPr>
            <w:tcW w:w="1398" w:type="dxa"/>
            <w:tcBorders>
              <w:top w:val="nil"/>
              <w:left w:val="single" w:sz="8" w:space="0" w:color="auto"/>
              <w:bottom w:val="single" w:sz="8" w:space="0" w:color="auto"/>
              <w:right w:val="single" w:sz="8" w:space="0" w:color="auto"/>
            </w:tcBorders>
            <w:shd w:val="clear" w:color="000000" w:fill="D9E1F2"/>
            <w:noWrap/>
            <w:hideMark/>
          </w:tcPr>
          <w:p w:rsidR="00777D27" w:rsidRPr="003B0112" w:rsidRDefault="00777D27" w:rsidP="00FA77C2">
            <w:pPr>
              <w:rPr>
                <w:rFonts w:ascii="Garamond" w:eastAsia="Times New Roman" w:hAnsi="Garamond" w:cs="Calibri"/>
                <w:color w:val="000000"/>
                <w:sz w:val="20"/>
                <w:szCs w:val="20"/>
                <w:lang w:val="en-IN" w:eastAsia="en-IN" w:bidi="hi-IN"/>
              </w:rPr>
            </w:pPr>
            <w:r w:rsidRPr="003B0112">
              <w:rPr>
                <w:rFonts w:ascii="Garamond" w:eastAsia="Times New Roman" w:hAnsi="Garamond" w:cs="Calibri"/>
                <w:color w:val="000000"/>
                <w:sz w:val="20"/>
                <w:szCs w:val="20"/>
                <w:lang w:val="en-IN" w:eastAsia="en-IN" w:bidi="hi-IN"/>
              </w:rPr>
              <w:t>South Africa</w:t>
            </w:r>
          </w:p>
        </w:tc>
        <w:tc>
          <w:tcPr>
            <w:tcW w:w="2112" w:type="dxa"/>
            <w:tcBorders>
              <w:top w:val="nil"/>
              <w:left w:val="nil"/>
              <w:bottom w:val="single" w:sz="8" w:space="0" w:color="auto"/>
              <w:right w:val="single" w:sz="8" w:space="0" w:color="auto"/>
            </w:tcBorders>
            <w:shd w:val="clear" w:color="000000" w:fill="D9E1F2"/>
            <w:noWrap/>
            <w:hideMark/>
          </w:tcPr>
          <w:p w:rsidR="00777D27" w:rsidRPr="003B0112" w:rsidRDefault="00777D27" w:rsidP="00FA77C2">
            <w:pPr>
              <w:rPr>
                <w:rFonts w:ascii="Garamond" w:eastAsia="Times New Roman" w:hAnsi="Garamond" w:cs="Calibri"/>
                <w:color w:val="000000"/>
                <w:sz w:val="20"/>
                <w:szCs w:val="20"/>
                <w:lang w:val="en-IN" w:eastAsia="en-IN" w:bidi="hi-IN"/>
              </w:rPr>
            </w:pPr>
            <w:r w:rsidRPr="003B0112">
              <w:rPr>
                <w:rFonts w:ascii="Garamond" w:eastAsia="Times New Roman" w:hAnsi="Garamond" w:cs="Calibri"/>
                <w:color w:val="000000"/>
                <w:sz w:val="20"/>
                <w:szCs w:val="20"/>
                <w:lang w:val="en-IN" w:eastAsia="en-IN" w:bidi="hi-IN"/>
              </w:rPr>
              <w:t>FTSE/JSE AFRICA</w:t>
            </w:r>
          </w:p>
        </w:tc>
        <w:tc>
          <w:tcPr>
            <w:tcW w:w="1276" w:type="dxa"/>
            <w:tcBorders>
              <w:top w:val="nil"/>
              <w:left w:val="nil"/>
              <w:bottom w:val="nil"/>
              <w:right w:val="single" w:sz="8" w:space="0" w:color="auto"/>
            </w:tcBorders>
            <w:shd w:val="clear" w:color="000000" w:fill="9BC2E6"/>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 xml:space="preserve"> 67,465 </w:t>
            </w:r>
          </w:p>
        </w:tc>
        <w:tc>
          <w:tcPr>
            <w:tcW w:w="902"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5.0</w:t>
            </w:r>
          </w:p>
        </w:tc>
        <w:tc>
          <w:tcPr>
            <w:tcW w:w="902"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-2.2</w:t>
            </w:r>
          </w:p>
        </w:tc>
        <w:tc>
          <w:tcPr>
            <w:tcW w:w="913"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0.8</w:t>
            </w:r>
          </w:p>
        </w:tc>
        <w:tc>
          <w:tcPr>
            <w:tcW w:w="709"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30.5</w:t>
            </w:r>
          </w:p>
        </w:tc>
        <w:tc>
          <w:tcPr>
            <w:tcW w:w="1139"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12.7</w:t>
            </w:r>
          </w:p>
        </w:tc>
        <w:tc>
          <w:tcPr>
            <w:tcW w:w="845"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10.9</w:t>
            </w:r>
          </w:p>
        </w:tc>
      </w:tr>
      <w:tr w:rsidR="00777D27" w:rsidRPr="003B0112" w:rsidTr="00FA77C2">
        <w:trPr>
          <w:trHeight w:val="384"/>
        </w:trPr>
        <w:tc>
          <w:tcPr>
            <w:tcW w:w="10196" w:type="dxa"/>
            <w:gridSpan w:val="9"/>
            <w:tcBorders>
              <w:top w:val="single" w:sz="8" w:space="0" w:color="auto"/>
              <w:left w:val="single" w:sz="8" w:space="0" w:color="auto"/>
              <w:bottom w:val="single" w:sz="8" w:space="0" w:color="auto"/>
              <w:right w:val="single" w:sz="8" w:space="0" w:color="000000"/>
            </w:tcBorders>
            <w:shd w:val="clear" w:color="000000" w:fill="D9E1F2"/>
            <w:hideMark/>
          </w:tcPr>
          <w:p w:rsidR="00777D27" w:rsidRPr="003B0112" w:rsidRDefault="00777D27" w:rsidP="00FA77C2">
            <w:pPr>
              <w:jc w:val="center"/>
              <w:rPr>
                <w:rFonts w:ascii="Garamond" w:eastAsia="Times New Roman" w:hAnsi="Garamond" w:cs="Calibri"/>
                <w:b/>
                <w:bCs/>
                <w:color w:val="000000"/>
                <w:sz w:val="20"/>
                <w:szCs w:val="20"/>
                <w:lang w:val="en-IN" w:eastAsia="en-IN" w:bidi="hi-IN"/>
              </w:rPr>
            </w:pPr>
            <w:r w:rsidRPr="003B0112">
              <w:rPr>
                <w:rFonts w:ascii="Garamond" w:eastAsia="Times New Roman" w:hAnsi="Garamond" w:cs="Calibri"/>
                <w:b/>
                <w:bCs/>
                <w:color w:val="000000"/>
                <w:sz w:val="20"/>
                <w:szCs w:val="20"/>
                <w:lang w:val="en-IN" w:eastAsia="en-IN" w:bidi="hi-IN"/>
              </w:rPr>
              <w:t>Developed Markets</w:t>
            </w:r>
          </w:p>
        </w:tc>
      </w:tr>
      <w:tr w:rsidR="00777D27" w:rsidRPr="003B0112" w:rsidTr="00FA77C2">
        <w:trPr>
          <w:trHeight w:val="179"/>
        </w:trPr>
        <w:tc>
          <w:tcPr>
            <w:tcW w:w="1398" w:type="dxa"/>
            <w:tcBorders>
              <w:top w:val="nil"/>
              <w:left w:val="single" w:sz="8" w:space="0" w:color="auto"/>
              <w:bottom w:val="nil"/>
              <w:right w:val="single" w:sz="8" w:space="0" w:color="auto"/>
            </w:tcBorders>
            <w:shd w:val="clear" w:color="000000" w:fill="D9E1F2"/>
            <w:noWrap/>
            <w:hideMark/>
          </w:tcPr>
          <w:p w:rsidR="00777D27" w:rsidRPr="003B0112" w:rsidRDefault="00777D27" w:rsidP="00FA77C2">
            <w:pPr>
              <w:rPr>
                <w:rFonts w:ascii="Garamond" w:eastAsia="Times New Roman" w:hAnsi="Garamond" w:cs="Calibri"/>
                <w:color w:val="000000"/>
                <w:sz w:val="20"/>
                <w:szCs w:val="20"/>
                <w:lang w:val="en-IN" w:eastAsia="en-IN" w:bidi="hi-IN"/>
              </w:rPr>
            </w:pPr>
            <w:r w:rsidRPr="003B0112">
              <w:rPr>
                <w:rFonts w:ascii="Garamond" w:eastAsia="Times New Roman" w:hAnsi="Garamond" w:cs="Calibri"/>
                <w:color w:val="000000"/>
                <w:sz w:val="20"/>
                <w:szCs w:val="20"/>
                <w:lang w:val="en-IN" w:eastAsia="en-IN" w:bidi="hi-IN"/>
              </w:rPr>
              <w:t>USA</w:t>
            </w:r>
          </w:p>
        </w:tc>
        <w:tc>
          <w:tcPr>
            <w:tcW w:w="2112" w:type="dxa"/>
            <w:tcBorders>
              <w:top w:val="nil"/>
              <w:left w:val="nil"/>
              <w:bottom w:val="nil"/>
              <w:right w:val="single" w:sz="8" w:space="0" w:color="auto"/>
            </w:tcBorders>
            <w:shd w:val="clear" w:color="000000" w:fill="D9E1F2"/>
            <w:noWrap/>
            <w:hideMark/>
          </w:tcPr>
          <w:p w:rsidR="00777D27" w:rsidRPr="003B0112" w:rsidRDefault="00777D27" w:rsidP="00FA77C2">
            <w:pPr>
              <w:rPr>
                <w:rFonts w:ascii="Garamond" w:eastAsia="Times New Roman" w:hAnsi="Garamond" w:cs="Calibri"/>
                <w:color w:val="000000"/>
                <w:sz w:val="20"/>
                <w:szCs w:val="20"/>
                <w:lang w:val="en-IN" w:eastAsia="en-IN" w:bidi="hi-IN"/>
              </w:rPr>
            </w:pPr>
            <w:r w:rsidRPr="003B0112">
              <w:rPr>
                <w:rFonts w:ascii="Garamond" w:eastAsia="Times New Roman" w:hAnsi="Garamond" w:cs="Calibri"/>
                <w:color w:val="000000"/>
                <w:sz w:val="20"/>
                <w:szCs w:val="20"/>
                <w:lang w:val="en-IN" w:eastAsia="en-IN" w:bidi="hi-IN"/>
              </w:rPr>
              <w:t>NASDAQ COMPOSITE</w:t>
            </w:r>
          </w:p>
        </w:tc>
        <w:tc>
          <w:tcPr>
            <w:tcW w:w="1276" w:type="dxa"/>
            <w:tcBorders>
              <w:top w:val="nil"/>
              <w:left w:val="nil"/>
              <w:bottom w:val="nil"/>
              <w:right w:val="single" w:sz="8" w:space="0" w:color="auto"/>
            </w:tcBorders>
            <w:shd w:val="clear" w:color="000000" w:fill="9BC2E6"/>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 xml:space="preserve"> 15,498 </w:t>
            </w:r>
          </w:p>
        </w:tc>
        <w:tc>
          <w:tcPr>
            <w:tcW w:w="902"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7.3</w:t>
            </w:r>
          </w:p>
        </w:tc>
        <w:tc>
          <w:tcPr>
            <w:tcW w:w="902"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5.6</w:t>
            </w:r>
          </w:p>
        </w:tc>
        <w:tc>
          <w:tcPr>
            <w:tcW w:w="913"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11.0</w:t>
            </w:r>
          </w:p>
        </w:tc>
        <w:tc>
          <w:tcPr>
            <w:tcW w:w="709"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42.0</w:t>
            </w:r>
          </w:p>
        </w:tc>
        <w:tc>
          <w:tcPr>
            <w:tcW w:w="1139"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13.6</w:t>
            </w:r>
          </w:p>
        </w:tc>
        <w:tc>
          <w:tcPr>
            <w:tcW w:w="845"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NA</w:t>
            </w:r>
          </w:p>
        </w:tc>
      </w:tr>
      <w:tr w:rsidR="00777D27" w:rsidRPr="003B0112" w:rsidTr="00FA77C2">
        <w:trPr>
          <w:trHeight w:val="179"/>
        </w:trPr>
        <w:tc>
          <w:tcPr>
            <w:tcW w:w="1398" w:type="dxa"/>
            <w:tcBorders>
              <w:top w:val="nil"/>
              <w:left w:val="single" w:sz="8" w:space="0" w:color="auto"/>
              <w:bottom w:val="nil"/>
              <w:right w:val="single" w:sz="8" w:space="0" w:color="auto"/>
            </w:tcBorders>
            <w:shd w:val="clear" w:color="000000" w:fill="D9E1F2"/>
            <w:noWrap/>
            <w:hideMark/>
          </w:tcPr>
          <w:p w:rsidR="00777D27" w:rsidRPr="003B0112" w:rsidRDefault="00777D27" w:rsidP="00FA77C2">
            <w:pPr>
              <w:rPr>
                <w:rFonts w:ascii="Garamond" w:eastAsia="Times New Roman" w:hAnsi="Garamond" w:cs="Calibri"/>
                <w:color w:val="000000"/>
                <w:sz w:val="20"/>
                <w:szCs w:val="20"/>
                <w:lang w:val="en-IN" w:eastAsia="en-IN" w:bidi="hi-IN"/>
              </w:rPr>
            </w:pPr>
            <w:r w:rsidRPr="003B0112">
              <w:rPr>
                <w:rFonts w:ascii="Garamond" w:eastAsia="Times New Roman" w:hAnsi="Garamond" w:cs="Calibri"/>
                <w:color w:val="000000"/>
                <w:sz w:val="20"/>
                <w:szCs w:val="20"/>
                <w:lang w:val="en-IN" w:eastAsia="en-IN" w:bidi="hi-IN"/>
              </w:rPr>
              <w:t>USA</w:t>
            </w:r>
          </w:p>
        </w:tc>
        <w:tc>
          <w:tcPr>
            <w:tcW w:w="2112" w:type="dxa"/>
            <w:tcBorders>
              <w:top w:val="nil"/>
              <w:left w:val="nil"/>
              <w:bottom w:val="nil"/>
              <w:right w:val="single" w:sz="8" w:space="0" w:color="auto"/>
            </w:tcBorders>
            <w:shd w:val="clear" w:color="000000" w:fill="D9E1F2"/>
            <w:noWrap/>
            <w:hideMark/>
          </w:tcPr>
          <w:p w:rsidR="00777D27" w:rsidRPr="003B0112" w:rsidRDefault="00777D27" w:rsidP="00FA77C2">
            <w:pPr>
              <w:rPr>
                <w:rFonts w:ascii="Garamond" w:eastAsia="Times New Roman" w:hAnsi="Garamond" w:cs="Calibri"/>
                <w:color w:val="000000"/>
                <w:sz w:val="20"/>
                <w:szCs w:val="20"/>
                <w:lang w:val="en-IN" w:eastAsia="en-IN" w:bidi="hi-IN"/>
              </w:rPr>
            </w:pPr>
            <w:r w:rsidRPr="003B0112">
              <w:rPr>
                <w:rFonts w:ascii="Garamond" w:eastAsia="Times New Roman" w:hAnsi="Garamond" w:cs="Calibri"/>
                <w:color w:val="000000"/>
                <w:sz w:val="20"/>
                <w:szCs w:val="20"/>
                <w:lang w:val="en-IN" w:eastAsia="en-IN" w:bidi="hi-IN"/>
              </w:rPr>
              <w:t>DOW JONES INDUS. AVG</w:t>
            </w:r>
          </w:p>
        </w:tc>
        <w:tc>
          <w:tcPr>
            <w:tcW w:w="1276" w:type="dxa"/>
            <w:tcBorders>
              <w:top w:val="nil"/>
              <w:left w:val="nil"/>
              <w:bottom w:val="nil"/>
              <w:right w:val="single" w:sz="8" w:space="0" w:color="auto"/>
            </w:tcBorders>
            <w:shd w:val="clear" w:color="000000" w:fill="9BC2E6"/>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 xml:space="preserve"> 35,820 </w:t>
            </w:r>
          </w:p>
        </w:tc>
        <w:tc>
          <w:tcPr>
            <w:tcW w:w="902"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5.8</w:t>
            </w:r>
          </w:p>
        </w:tc>
        <w:tc>
          <w:tcPr>
            <w:tcW w:w="902"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2.5</w:t>
            </w:r>
          </w:p>
        </w:tc>
        <w:tc>
          <w:tcPr>
            <w:tcW w:w="913"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5.7</w:t>
            </w:r>
          </w:p>
        </w:tc>
        <w:tc>
          <w:tcPr>
            <w:tcW w:w="709"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35.2</w:t>
            </w:r>
          </w:p>
        </w:tc>
        <w:tc>
          <w:tcPr>
            <w:tcW w:w="1139"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10.5</w:t>
            </w:r>
          </w:p>
        </w:tc>
        <w:tc>
          <w:tcPr>
            <w:tcW w:w="845"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20.3</w:t>
            </w:r>
          </w:p>
        </w:tc>
      </w:tr>
      <w:tr w:rsidR="00777D27" w:rsidRPr="003B0112" w:rsidTr="00FA77C2">
        <w:trPr>
          <w:trHeight w:val="179"/>
        </w:trPr>
        <w:tc>
          <w:tcPr>
            <w:tcW w:w="1398" w:type="dxa"/>
            <w:tcBorders>
              <w:top w:val="nil"/>
              <w:left w:val="single" w:sz="8" w:space="0" w:color="auto"/>
              <w:bottom w:val="nil"/>
              <w:right w:val="single" w:sz="8" w:space="0" w:color="auto"/>
            </w:tcBorders>
            <w:shd w:val="clear" w:color="000000" w:fill="D9E1F2"/>
            <w:noWrap/>
            <w:hideMark/>
          </w:tcPr>
          <w:p w:rsidR="00777D27" w:rsidRPr="003B0112" w:rsidRDefault="00777D27" w:rsidP="00FA77C2">
            <w:pPr>
              <w:rPr>
                <w:rFonts w:ascii="Garamond" w:eastAsia="Times New Roman" w:hAnsi="Garamond" w:cs="Calibri"/>
                <w:color w:val="000000"/>
                <w:sz w:val="20"/>
                <w:szCs w:val="20"/>
                <w:lang w:val="en-IN" w:eastAsia="en-IN" w:bidi="hi-IN"/>
              </w:rPr>
            </w:pPr>
            <w:r w:rsidRPr="003B0112">
              <w:rPr>
                <w:rFonts w:ascii="Garamond" w:eastAsia="Times New Roman" w:hAnsi="Garamond" w:cs="Calibri"/>
                <w:color w:val="000000"/>
                <w:sz w:val="20"/>
                <w:szCs w:val="20"/>
                <w:lang w:val="en-IN" w:eastAsia="en-IN" w:bidi="hi-IN"/>
              </w:rPr>
              <w:t>France</w:t>
            </w:r>
          </w:p>
        </w:tc>
        <w:tc>
          <w:tcPr>
            <w:tcW w:w="2112" w:type="dxa"/>
            <w:tcBorders>
              <w:top w:val="nil"/>
              <w:left w:val="nil"/>
              <w:bottom w:val="nil"/>
              <w:right w:val="single" w:sz="8" w:space="0" w:color="auto"/>
            </w:tcBorders>
            <w:shd w:val="clear" w:color="000000" w:fill="D9E1F2"/>
            <w:noWrap/>
            <w:hideMark/>
          </w:tcPr>
          <w:p w:rsidR="00777D27" w:rsidRPr="003B0112" w:rsidRDefault="00777D27" w:rsidP="00FA77C2">
            <w:pPr>
              <w:rPr>
                <w:rFonts w:ascii="Garamond" w:eastAsia="Times New Roman" w:hAnsi="Garamond" w:cs="Calibri"/>
                <w:color w:val="000000"/>
                <w:sz w:val="20"/>
                <w:szCs w:val="20"/>
                <w:lang w:val="en-IN" w:eastAsia="en-IN" w:bidi="hi-IN"/>
              </w:rPr>
            </w:pPr>
            <w:r w:rsidRPr="003B0112">
              <w:rPr>
                <w:rFonts w:ascii="Garamond" w:eastAsia="Times New Roman" w:hAnsi="Garamond" w:cs="Calibri"/>
                <w:color w:val="000000"/>
                <w:sz w:val="20"/>
                <w:szCs w:val="20"/>
                <w:lang w:val="en-IN" w:eastAsia="en-IN" w:bidi="hi-IN"/>
              </w:rPr>
              <w:t>CAC 40</w:t>
            </w:r>
          </w:p>
        </w:tc>
        <w:tc>
          <w:tcPr>
            <w:tcW w:w="1276" w:type="dxa"/>
            <w:tcBorders>
              <w:top w:val="nil"/>
              <w:left w:val="nil"/>
              <w:bottom w:val="nil"/>
              <w:right w:val="single" w:sz="8" w:space="0" w:color="auto"/>
            </w:tcBorders>
            <w:shd w:val="clear" w:color="000000" w:fill="9BC2E6"/>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 xml:space="preserve"> 6,830 </w:t>
            </w:r>
          </w:p>
        </w:tc>
        <w:tc>
          <w:tcPr>
            <w:tcW w:w="902"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4.8</w:t>
            </w:r>
          </w:p>
        </w:tc>
        <w:tc>
          <w:tcPr>
            <w:tcW w:w="902"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3.3</w:t>
            </w:r>
          </w:p>
        </w:tc>
        <w:tc>
          <w:tcPr>
            <w:tcW w:w="913"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8.9</w:t>
            </w:r>
          </w:p>
        </w:tc>
        <w:tc>
          <w:tcPr>
            <w:tcW w:w="709"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48.7</w:t>
            </w:r>
          </w:p>
        </w:tc>
        <w:tc>
          <w:tcPr>
            <w:tcW w:w="1139"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12.1</w:t>
            </w:r>
          </w:p>
        </w:tc>
        <w:tc>
          <w:tcPr>
            <w:tcW w:w="845"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19.3</w:t>
            </w:r>
          </w:p>
        </w:tc>
      </w:tr>
      <w:tr w:rsidR="00777D27" w:rsidRPr="003B0112" w:rsidTr="00FA77C2">
        <w:trPr>
          <w:trHeight w:val="179"/>
        </w:trPr>
        <w:tc>
          <w:tcPr>
            <w:tcW w:w="1398" w:type="dxa"/>
            <w:tcBorders>
              <w:top w:val="nil"/>
              <w:left w:val="single" w:sz="8" w:space="0" w:color="auto"/>
              <w:bottom w:val="nil"/>
              <w:right w:val="single" w:sz="8" w:space="0" w:color="auto"/>
            </w:tcBorders>
            <w:shd w:val="clear" w:color="000000" w:fill="D9E1F2"/>
            <w:noWrap/>
            <w:hideMark/>
          </w:tcPr>
          <w:p w:rsidR="00777D27" w:rsidRPr="003B0112" w:rsidRDefault="00777D27" w:rsidP="00FA77C2">
            <w:pPr>
              <w:rPr>
                <w:rFonts w:ascii="Garamond" w:eastAsia="Times New Roman" w:hAnsi="Garamond" w:cs="Calibri"/>
                <w:color w:val="000000"/>
                <w:sz w:val="20"/>
                <w:szCs w:val="20"/>
                <w:lang w:val="en-IN" w:eastAsia="en-IN" w:bidi="hi-IN"/>
              </w:rPr>
            </w:pPr>
            <w:r w:rsidRPr="003B0112">
              <w:rPr>
                <w:rFonts w:ascii="Garamond" w:eastAsia="Times New Roman" w:hAnsi="Garamond" w:cs="Calibri"/>
                <w:color w:val="000000"/>
                <w:sz w:val="20"/>
                <w:szCs w:val="20"/>
                <w:lang w:val="en-IN" w:eastAsia="en-IN" w:bidi="hi-IN"/>
              </w:rPr>
              <w:t>Germany</w:t>
            </w:r>
          </w:p>
        </w:tc>
        <w:tc>
          <w:tcPr>
            <w:tcW w:w="2112" w:type="dxa"/>
            <w:tcBorders>
              <w:top w:val="nil"/>
              <w:left w:val="nil"/>
              <w:bottom w:val="nil"/>
              <w:right w:val="single" w:sz="8" w:space="0" w:color="auto"/>
            </w:tcBorders>
            <w:shd w:val="clear" w:color="000000" w:fill="D9E1F2"/>
            <w:noWrap/>
            <w:hideMark/>
          </w:tcPr>
          <w:p w:rsidR="00777D27" w:rsidRPr="003B0112" w:rsidRDefault="00777D27" w:rsidP="00FA77C2">
            <w:pPr>
              <w:rPr>
                <w:rFonts w:ascii="Garamond" w:eastAsia="Times New Roman" w:hAnsi="Garamond" w:cs="Calibri"/>
                <w:color w:val="000000"/>
                <w:sz w:val="20"/>
                <w:szCs w:val="20"/>
                <w:lang w:val="en-IN" w:eastAsia="en-IN" w:bidi="hi-IN"/>
              </w:rPr>
            </w:pPr>
            <w:r w:rsidRPr="003B0112">
              <w:rPr>
                <w:rFonts w:ascii="Garamond" w:eastAsia="Times New Roman" w:hAnsi="Garamond" w:cs="Calibri"/>
                <w:color w:val="000000"/>
                <w:sz w:val="20"/>
                <w:szCs w:val="20"/>
                <w:lang w:val="en-IN" w:eastAsia="en-IN" w:bidi="hi-IN"/>
              </w:rPr>
              <w:t>DAX</w:t>
            </w:r>
          </w:p>
        </w:tc>
        <w:tc>
          <w:tcPr>
            <w:tcW w:w="1276" w:type="dxa"/>
            <w:tcBorders>
              <w:top w:val="nil"/>
              <w:left w:val="nil"/>
              <w:bottom w:val="nil"/>
              <w:right w:val="single" w:sz="8" w:space="0" w:color="auto"/>
            </w:tcBorders>
            <w:shd w:val="clear" w:color="000000" w:fill="9BC2E6"/>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 xml:space="preserve"> 15,689 </w:t>
            </w:r>
          </w:p>
        </w:tc>
        <w:tc>
          <w:tcPr>
            <w:tcW w:w="902"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2.8</w:t>
            </w:r>
          </w:p>
        </w:tc>
        <w:tc>
          <w:tcPr>
            <w:tcW w:w="902"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0.9</w:t>
            </w:r>
          </w:p>
        </w:tc>
        <w:tc>
          <w:tcPr>
            <w:tcW w:w="913"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3.7</w:t>
            </w:r>
          </w:p>
        </w:tc>
        <w:tc>
          <w:tcPr>
            <w:tcW w:w="709"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35.8</w:t>
            </w:r>
          </w:p>
        </w:tc>
        <w:tc>
          <w:tcPr>
            <w:tcW w:w="1139"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12.4</w:t>
            </w:r>
          </w:p>
        </w:tc>
        <w:tc>
          <w:tcPr>
            <w:tcW w:w="845"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15.3</w:t>
            </w:r>
          </w:p>
        </w:tc>
      </w:tr>
      <w:tr w:rsidR="00777D27" w:rsidRPr="003B0112" w:rsidTr="00FA77C2">
        <w:trPr>
          <w:trHeight w:val="179"/>
        </w:trPr>
        <w:tc>
          <w:tcPr>
            <w:tcW w:w="1398" w:type="dxa"/>
            <w:tcBorders>
              <w:top w:val="nil"/>
              <w:left w:val="single" w:sz="8" w:space="0" w:color="auto"/>
              <w:bottom w:val="nil"/>
              <w:right w:val="single" w:sz="8" w:space="0" w:color="auto"/>
            </w:tcBorders>
            <w:shd w:val="clear" w:color="000000" w:fill="D9E1F2"/>
            <w:noWrap/>
            <w:hideMark/>
          </w:tcPr>
          <w:p w:rsidR="00777D27" w:rsidRPr="003B0112" w:rsidRDefault="00777D27" w:rsidP="00FA77C2">
            <w:pPr>
              <w:rPr>
                <w:rFonts w:ascii="Garamond" w:eastAsia="Times New Roman" w:hAnsi="Garamond" w:cs="Calibri"/>
                <w:color w:val="000000"/>
                <w:sz w:val="20"/>
                <w:szCs w:val="20"/>
                <w:lang w:val="en-IN" w:eastAsia="en-IN" w:bidi="hi-IN"/>
              </w:rPr>
            </w:pPr>
            <w:r w:rsidRPr="003B0112">
              <w:rPr>
                <w:rFonts w:ascii="Garamond" w:eastAsia="Times New Roman" w:hAnsi="Garamond" w:cs="Calibri"/>
                <w:color w:val="000000"/>
                <w:sz w:val="20"/>
                <w:szCs w:val="20"/>
                <w:lang w:val="en-IN" w:eastAsia="en-IN" w:bidi="hi-IN"/>
              </w:rPr>
              <w:t>UK</w:t>
            </w:r>
          </w:p>
        </w:tc>
        <w:tc>
          <w:tcPr>
            <w:tcW w:w="2112" w:type="dxa"/>
            <w:tcBorders>
              <w:top w:val="nil"/>
              <w:left w:val="nil"/>
              <w:bottom w:val="nil"/>
              <w:right w:val="single" w:sz="8" w:space="0" w:color="auto"/>
            </w:tcBorders>
            <w:shd w:val="clear" w:color="000000" w:fill="D9E1F2"/>
            <w:noWrap/>
            <w:hideMark/>
          </w:tcPr>
          <w:p w:rsidR="00777D27" w:rsidRPr="003B0112" w:rsidRDefault="00777D27" w:rsidP="00FA77C2">
            <w:pPr>
              <w:rPr>
                <w:rFonts w:ascii="Garamond" w:eastAsia="Times New Roman" w:hAnsi="Garamond" w:cs="Calibri"/>
                <w:color w:val="000000"/>
                <w:sz w:val="20"/>
                <w:szCs w:val="20"/>
                <w:lang w:val="en-IN" w:eastAsia="en-IN" w:bidi="hi-IN"/>
              </w:rPr>
            </w:pPr>
            <w:r w:rsidRPr="003B0112">
              <w:rPr>
                <w:rFonts w:ascii="Garamond" w:eastAsia="Times New Roman" w:hAnsi="Garamond" w:cs="Calibri"/>
                <w:color w:val="000000"/>
                <w:sz w:val="20"/>
                <w:szCs w:val="20"/>
                <w:lang w:val="en-IN" w:eastAsia="en-IN" w:bidi="hi-IN"/>
              </w:rPr>
              <w:t>FTSE 100</w:t>
            </w:r>
          </w:p>
        </w:tc>
        <w:tc>
          <w:tcPr>
            <w:tcW w:w="1276" w:type="dxa"/>
            <w:tcBorders>
              <w:top w:val="nil"/>
              <w:left w:val="nil"/>
              <w:bottom w:val="nil"/>
              <w:right w:val="single" w:sz="8" w:space="0" w:color="auto"/>
            </w:tcBorders>
            <w:shd w:val="clear" w:color="000000" w:fill="9BC2E6"/>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 xml:space="preserve"> 7,238 </w:t>
            </w:r>
          </w:p>
        </w:tc>
        <w:tc>
          <w:tcPr>
            <w:tcW w:w="902"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2.1</w:t>
            </w:r>
          </w:p>
        </w:tc>
        <w:tc>
          <w:tcPr>
            <w:tcW w:w="902"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2.9</w:t>
            </w:r>
          </w:p>
        </w:tc>
        <w:tc>
          <w:tcPr>
            <w:tcW w:w="913"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3.8</w:t>
            </w:r>
          </w:p>
        </w:tc>
        <w:tc>
          <w:tcPr>
            <w:tcW w:w="709"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29.8</w:t>
            </w:r>
          </w:p>
        </w:tc>
        <w:tc>
          <w:tcPr>
            <w:tcW w:w="1139"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9.2</w:t>
            </w:r>
          </w:p>
        </w:tc>
        <w:tc>
          <w:tcPr>
            <w:tcW w:w="845"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14.3</w:t>
            </w:r>
          </w:p>
        </w:tc>
      </w:tr>
      <w:tr w:rsidR="00777D27" w:rsidRPr="003B0112" w:rsidTr="00FA77C2">
        <w:trPr>
          <w:trHeight w:val="179"/>
        </w:trPr>
        <w:tc>
          <w:tcPr>
            <w:tcW w:w="1398" w:type="dxa"/>
            <w:tcBorders>
              <w:top w:val="nil"/>
              <w:left w:val="single" w:sz="8" w:space="0" w:color="auto"/>
              <w:bottom w:val="nil"/>
              <w:right w:val="single" w:sz="8" w:space="0" w:color="auto"/>
            </w:tcBorders>
            <w:shd w:val="clear" w:color="000000" w:fill="D9E1F2"/>
            <w:noWrap/>
            <w:hideMark/>
          </w:tcPr>
          <w:p w:rsidR="00777D27" w:rsidRPr="003B0112" w:rsidRDefault="00777D27" w:rsidP="00FA77C2">
            <w:pPr>
              <w:rPr>
                <w:rFonts w:ascii="Garamond" w:eastAsia="Times New Roman" w:hAnsi="Garamond" w:cs="Calibri"/>
                <w:color w:val="000000"/>
                <w:sz w:val="20"/>
                <w:szCs w:val="20"/>
                <w:lang w:val="en-IN" w:eastAsia="en-IN" w:bidi="hi-IN"/>
              </w:rPr>
            </w:pPr>
            <w:r w:rsidRPr="003B0112">
              <w:rPr>
                <w:rFonts w:ascii="Garamond" w:eastAsia="Times New Roman" w:hAnsi="Garamond" w:cs="Calibri"/>
                <w:color w:val="000000"/>
                <w:sz w:val="20"/>
                <w:szCs w:val="20"/>
                <w:lang w:val="en-IN" w:eastAsia="en-IN" w:bidi="hi-IN"/>
              </w:rPr>
              <w:t>Hong Kong</w:t>
            </w:r>
          </w:p>
        </w:tc>
        <w:tc>
          <w:tcPr>
            <w:tcW w:w="2112" w:type="dxa"/>
            <w:tcBorders>
              <w:top w:val="nil"/>
              <w:left w:val="nil"/>
              <w:bottom w:val="nil"/>
              <w:right w:val="single" w:sz="8" w:space="0" w:color="auto"/>
            </w:tcBorders>
            <w:shd w:val="clear" w:color="000000" w:fill="D9E1F2"/>
            <w:noWrap/>
            <w:hideMark/>
          </w:tcPr>
          <w:p w:rsidR="00777D27" w:rsidRPr="003B0112" w:rsidRDefault="00777D27" w:rsidP="00FA77C2">
            <w:pPr>
              <w:rPr>
                <w:rFonts w:ascii="Garamond" w:eastAsia="Times New Roman" w:hAnsi="Garamond" w:cs="Calibri"/>
                <w:color w:val="000000"/>
                <w:sz w:val="20"/>
                <w:szCs w:val="20"/>
                <w:lang w:val="en-IN" w:eastAsia="en-IN" w:bidi="hi-IN"/>
              </w:rPr>
            </w:pPr>
            <w:r w:rsidRPr="003B0112">
              <w:rPr>
                <w:rFonts w:ascii="Garamond" w:eastAsia="Times New Roman" w:hAnsi="Garamond" w:cs="Calibri"/>
                <w:color w:val="000000"/>
                <w:sz w:val="20"/>
                <w:szCs w:val="20"/>
                <w:lang w:val="en-IN" w:eastAsia="en-IN" w:bidi="hi-IN"/>
              </w:rPr>
              <w:t>HANG SENG</w:t>
            </w:r>
          </w:p>
        </w:tc>
        <w:tc>
          <w:tcPr>
            <w:tcW w:w="1276" w:type="dxa"/>
            <w:tcBorders>
              <w:top w:val="nil"/>
              <w:left w:val="nil"/>
              <w:bottom w:val="nil"/>
              <w:right w:val="single" w:sz="8" w:space="0" w:color="auto"/>
            </w:tcBorders>
            <w:shd w:val="clear" w:color="000000" w:fill="9BC2E6"/>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 xml:space="preserve"> 25,377 </w:t>
            </w:r>
          </w:p>
        </w:tc>
        <w:tc>
          <w:tcPr>
            <w:tcW w:w="902"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3.3</w:t>
            </w:r>
          </w:p>
        </w:tc>
        <w:tc>
          <w:tcPr>
            <w:tcW w:w="902"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-2.2</w:t>
            </w:r>
          </w:p>
        </w:tc>
        <w:tc>
          <w:tcPr>
            <w:tcW w:w="913"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-11.7</w:t>
            </w:r>
          </w:p>
        </w:tc>
        <w:tc>
          <w:tcPr>
            <w:tcW w:w="709"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5.3</w:t>
            </w:r>
          </w:p>
        </w:tc>
        <w:tc>
          <w:tcPr>
            <w:tcW w:w="1139"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19.0</w:t>
            </w:r>
          </w:p>
        </w:tc>
        <w:tc>
          <w:tcPr>
            <w:tcW w:w="845"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11.6</w:t>
            </w:r>
          </w:p>
        </w:tc>
      </w:tr>
      <w:tr w:rsidR="00777D27" w:rsidRPr="003B0112" w:rsidTr="00FA77C2">
        <w:trPr>
          <w:trHeight w:val="179"/>
        </w:trPr>
        <w:tc>
          <w:tcPr>
            <w:tcW w:w="1398" w:type="dxa"/>
            <w:tcBorders>
              <w:top w:val="nil"/>
              <w:left w:val="single" w:sz="8" w:space="0" w:color="auto"/>
              <w:bottom w:val="nil"/>
              <w:right w:val="single" w:sz="8" w:space="0" w:color="auto"/>
            </w:tcBorders>
            <w:shd w:val="clear" w:color="000000" w:fill="D9E1F2"/>
            <w:noWrap/>
            <w:hideMark/>
          </w:tcPr>
          <w:p w:rsidR="00777D27" w:rsidRPr="003B0112" w:rsidRDefault="00777D27" w:rsidP="00FA77C2">
            <w:pPr>
              <w:rPr>
                <w:rFonts w:ascii="Garamond" w:eastAsia="Times New Roman" w:hAnsi="Garamond" w:cs="Calibri"/>
                <w:color w:val="000000"/>
                <w:sz w:val="20"/>
                <w:szCs w:val="20"/>
                <w:lang w:val="en-IN" w:eastAsia="en-IN" w:bidi="hi-IN"/>
              </w:rPr>
            </w:pPr>
            <w:r w:rsidRPr="003B0112">
              <w:rPr>
                <w:rFonts w:ascii="Garamond" w:eastAsia="Times New Roman" w:hAnsi="Garamond" w:cs="Calibri"/>
                <w:color w:val="000000"/>
                <w:sz w:val="20"/>
                <w:szCs w:val="20"/>
                <w:lang w:val="en-IN" w:eastAsia="en-IN" w:bidi="hi-IN"/>
              </w:rPr>
              <w:t>South Korea</w:t>
            </w:r>
          </w:p>
        </w:tc>
        <w:tc>
          <w:tcPr>
            <w:tcW w:w="2112" w:type="dxa"/>
            <w:tcBorders>
              <w:top w:val="nil"/>
              <w:left w:val="nil"/>
              <w:bottom w:val="nil"/>
              <w:right w:val="single" w:sz="8" w:space="0" w:color="auto"/>
            </w:tcBorders>
            <w:shd w:val="clear" w:color="000000" w:fill="D9E1F2"/>
            <w:noWrap/>
            <w:hideMark/>
          </w:tcPr>
          <w:p w:rsidR="00777D27" w:rsidRPr="003B0112" w:rsidRDefault="00777D27" w:rsidP="00FA77C2">
            <w:pPr>
              <w:rPr>
                <w:rFonts w:ascii="Garamond" w:eastAsia="Times New Roman" w:hAnsi="Garamond" w:cs="Calibri"/>
                <w:color w:val="000000"/>
                <w:sz w:val="20"/>
                <w:szCs w:val="20"/>
                <w:lang w:val="en-IN" w:eastAsia="en-IN" w:bidi="hi-IN"/>
              </w:rPr>
            </w:pPr>
            <w:r w:rsidRPr="003B0112">
              <w:rPr>
                <w:rFonts w:ascii="Garamond" w:eastAsia="Times New Roman" w:hAnsi="Garamond" w:cs="Calibri"/>
                <w:color w:val="000000"/>
                <w:sz w:val="20"/>
                <w:szCs w:val="20"/>
                <w:lang w:val="en-IN" w:eastAsia="en-IN" w:bidi="hi-IN"/>
              </w:rPr>
              <w:t>KOSPI</w:t>
            </w:r>
          </w:p>
        </w:tc>
        <w:tc>
          <w:tcPr>
            <w:tcW w:w="1276" w:type="dxa"/>
            <w:tcBorders>
              <w:top w:val="nil"/>
              <w:left w:val="nil"/>
              <w:bottom w:val="nil"/>
              <w:right w:val="single" w:sz="8" w:space="0" w:color="auto"/>
            </w:tcBorders>
            <w:shd w:val="clear" w:color="000000" w:fill="9BC2E6"/>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 xml:space="preserve"> 2,971 </w:t>
            </w:r>
          </w:p>
        </w:tc>
        <w:tc>
          <w:tcPr>
            <w:tcW w:w="902"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-3.2</w:t>
            </w:r>
          </w:p>
        </w:tc>
        <w:tc>
          <w:tcPr>
            <w:tcW w:w="902"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-7.2</w:t>
            </w:r>
          </w:p>
        </w:tc>
        <w:tc>
          <w:tcPr>
            <w:tcW w:w="913"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-5.6</w:t>
            </w:r>
          </w:p>
        </w:tc>
        <w:tc>
          <w:tcPr>
            <w:tcW w:w="709"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31.0</w:t>
            </w:r>
          </w:p>
        </w:tc>
        <w:tc>
          <w:tcPr>
            <w:tcW w:w="1139"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16.5</w:t>
            </w:r>
          </w:p>
        </w:tc>
        <w:tc>
          <w:tcPr>
            <w:tcW w:w="845"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NA</w:t>
            </w:r>
          </w:p>
        </w:tc>
      </w:tr>
      <w:tr w:rsidR="00777D27" w:rsidRPr="003B0112" w:rsidTr="00FA77C2">
        <w:trPr>
          <w:trHeight w:val="179"/>
        </w:trPr>
        <w:tc>
          <w:tcPr>
            <w:tcW w:w="1398" w:type="dxa"/>
            <w:tcBorders>
              <w:top w:val="nil"/>
              <w:left w:val="single" w:sz="8" w:space="0" w:color="auto"/>
              <w:bottom w:val="nil"/>
              <w:right w:val="single" w:sz="8" w:space="0" w:color="auto"/>
            </w:tcBorders>
            <w:shd w:val="clear" w:color="000000" w:fill="D9E1F2"/>
            <w:noWrap/>
            <w:hideMark/>
          </w:tcPr>
          <w:p w:rsidR="00777D27" w:rsidRPr="003B0112" w:rsidRDefault="00777D27" w:rsidP="00FA77C2">
            <w:pPr>
              <w:rPr>
                <w:rFonts w:ascii="Garamond" w:eastAsia="Times New Roman" w:hAnsi="Garamond" w:cs="Calibri"/>
                <w:color w:val="000000"/>
                <w:sz w:val="20"/>
                <w:szCs w:val="20"/>
                <w:lang w:val="en-IN" w:eastAsia="en-IN" w:bidi="hi-IN"/>
              </w:rPr>
            </w:pPr>
            <w:r w:rsidRPr="003B0112">
              <w:rPr>
                <w:rFonts w:ascii="Garamond" w:eastAsia="Times New Roman" w:hAnsi="Garamond" w:cs="Calibri"/>
                <w:color w:val="000000"/>
                <w:sz w:val="20"/>
                <w:szCs w:val="20"/>
                <w:lang w:val="en-IN" w:eastAsia="en-IN" w:bidi="hi-IN"/>
              </w:rPr>
              <w:t>Japan</w:t>
            </w:r>
          </w:p>
        </w:tc>
        <w:tc>
          <w:tcPr>
            <w:tcW w:w="2112" w:type="dxa"/>
            <w:tcBorders>
              <w:top w:val="nil"/>
              <w:left w:val="nil"/>
              <w:bottom w:val="nil"/>
              <w:right w:val="single" w:sz="8" w:space="0" w:color="auto"/>
            </w:tcBorders>
            <w:shd w:val="clear" w:color="000000" w:fill="D9E1F2"/>
            <w:noWrap/>
            <w:hideMark/>
          </w:tcPr>
          <w:p w:rsidR="00777D27" w:rsidRPr="003B0112" w:rsidRDefault="00777D27" w:rsidP="00FA77C2">
            <w:pPr>
              <w:rPr>
                <w:rFonts w:ascii="Garamond" w:eastAsia="Times New Roman" w:hAnsi="Garamond" w:cs="Calibri"/>
                <w:color w:val="000000"/>
                <w:sz w:val="20"/>
                <w:szCs w:val="20"/>
                <w:lang w:val="en-IN" w:eastAsia="en-IN" w:bidi="hi-IN"/>
              </w:rPr>
            </w:pPr>
            <w:r w:rsidRPr="003B0112">
              <w:rPr>
                <w:rFonts w:ascii="Garamond" w:eastAsia="Times New Roman" w:hAnsi="Garamond" w:cs="Calibri"/>
                <w:color w:val="000000"/>
                <w:sz w:val="20"/>
                <w:szCs w:val="20"/>
                <w:lang w:val="en-IN" w:eastAsia="en-IN" w:bidi="hi-IN"/>
              </w:rPr>
              <w:t>NIKKEI 225</w:t>
            </w:r>
          </w:p>
        </w:tc>
        <w:tc>
          <w:tcPr>
            <w:tcW w:w="1276" w:type="dxa"/>
            <w:tcBorders>
              <w:top w:val="nil"/>
              <w:left w:val="nil"/>
              <w:bottom w:val="nil"/>
              <w:right w:val="single" w:sz="8" w:space="0" w:color="auto"/>
            </w:tcBorders>
            <w:shd w:val="clear" w:color="000000" w:fill="9BC2E6"/>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 xml:space="preserve"> 28,893 </w:t>
            </w:r>
          </w:p>
        </w:tc>
        <w:tc>
          <w:tcPr>
            <w:tcW w:w="902"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-1.9</w:t>
            </w:r>
          </w:p>
        </w:tc>
        <w:tc>
          <w:tcPr>
            <w:tcW w:w="902"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5.9</w:t>
            </w:r>
          </w:p>
        </w:tc>
        <w:tc>
          <w:tcPr>
            <w:tcW w:w="913"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0.3</w:t>
            </w:r>
          </w:p>
        </w:tc>
        <w:tc>
          <w:tcPr>
            <w:tcW w:w="709"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25.7</w:t>
            </w:r>
          </w:p>
        </w:tc>
        <w:tc>
          <w:tcPr>
            <w:tcW w:w="1139"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19.7</w:t>
            </w:r>
          </w:p>
        </w:tc>
        <w:tc>
          <w:tcPr>
            <w:tcW w:w="845"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15.2</w:t>
            </w:r>
          </w:p>
        </w:tc>
      </w:tr>
      <w:tr w:rsidR="00777D27" w:rsidRPr="003B0112" w:rsidTr="00FA77C2">
        <w:trPr>
          <w:trHeight w:val="179"/>
        </w:trPr>
        <w:tc>
          <w:tcPr>
            <w:tcW w:w="1398" w:type="dxa"/>
            <w:tcBorders>
              <w:top w:val="nil"/>
              <w:left w:val="single" w:sz="8" w:space="0" w:color="auto"/>
              <w:bottom w:val="nil"/>
              <w:right w:val="single" w:sz="8" w:space="0" w:color="auto"/>
            </w:tcBorders>
            <w:shd w:val="clear" w:color="000000" w:fill="D9E1F2"/>
            <w:noWrap/>
            <w:hideMark/>
          </w:tcPr>
          <w:p w:rsidR="00777D27" w:rsidRPr="003B0112" w:rsidRDefault="00777D27" w:rsidP="00FA77C2">
            <w:pPr>
              <w:rPr>
                <w:rFonts w:ascii="Garamond" w:eastAsia="Times New Roman" w:hAnsi="Garamond" w:cs="Calibri"/>
                <w:color w:val="000000"/>
                <w:sz w:val="20"/>
                <w:szCs w:val="20"/>
                <w:lang w:val="en-IN" w:eastAsia="en-IN" w:bidi="hi-IN"/>
              </w:rPr>
            </w:pPr>
            <w:r w:rsidRPr="003B0112">
              <w:rPr>
                <w:rFonts w:ascii="Garamond" w:eastAsia="Times New Roman" w:hAnsi="Garamond" w:cs="Calibri"/>
                <w:color w:val="000000"/>
                <w:sz w:val="20"/>
                <w:szCs w:val="20"/>
                <w:lang w:val="en-IN" w:eastAsia="en-IN" w:bidi="hi-IN"/>
              </w:rPr>
              <w:t>Singapore</w:t>
            </w:r>
          </w:p>
        </w:tc>
        <w:tc>
          <w:tcPr>
            <w:tcW w:w="2112" w:type="dxa"/>
            <w:tcBorders>
              <w:top w:val="nil"/>
              <w:left w:val="nil"/>
              <w:bottom w:val="nil"/>
              <w:right w:val="single" w:sz="8" w:space="0" w:color="auto"/>
            </w:tcBorders>
            <w:shd w:val="clear" w:color="000000" w:fill="D9E1F2"/>
            <w:noWrap/>
            <w:hideMark/>
          </w:tcPr>
          <w:p w:rsidR="00777D27" w:rsidRPr="003B0112" w:rsidRDefault="00777D27" w:rsidP="00FA77C2">
            <w:pPr>
              <w:rPr>
                <w:rFonts w:ascii="Garamond" w:eastAsia="Times New Roman" w:hAnsi="Garamond" w:cs="Calibri"/>
                <w:color w:val="000000"/>
                <w:sz w:val="20"/>
                <w:szCs w:val="20"/>
                <w:lang w:val="en-IN" w:eastAsia="en-IN" w:bidi="hi-IN"/>
              </w:rPr>
            </w:pPr>
            <w:r w:rsidRPr="003B0112">
              <w:rPr>
                <w:rFonts w:ascii="Garamond" w:eastAsia="Times New Roman" w:hAnsi="Garamond" w:cs="Calibri"/>
                <w:color w:val="000000"/>
                <w:sz w:val="20"/>
                <w:szCs w:val="20"/>
                <w:lang w:val="en-IN" w:eastAsia="en-IN" w:bidi="hi-IN"/>
              </w:rPr>
              <w:t>STRAITS TIMES  STI</w:t>
            </w:r>
          </w:p>
        </w:tc>
        <w:tc>
          <w:tcPr>
            <w:tcW w:w="1276" w:type="dxa"/>
            <w:tcBorders>
              <w:top w:val="nil"/>
              <w:left w:val="nil"/>
              <w:bottom w:val="nil"/>
              <w:right w:val="single" w:sz="8" w:space="0" w:color="auto"/>
            </w:tcBorders>
            <w:shd w:val="clear" w:color="000000" w:fill="9BC2E6"/>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 xml:space="preserve"> 3,198 </w:t>
            </w:r>
          </w:p>
        </w:tc>
        <w:tc>
          <w:tcPr>
            <w:tcW w:w="902"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3.6</w:t>
            </w:r>
          </w:p>
        </w:tc>
        <w:tc>
          <w:tcPr>
            <w:tcW w:w="902"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1.0</w:t>
            </w:r>
          </w:p>
        </w:tc>
        <w:tc>
          <w:tcPr>
            <w:tcW w:w="913"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-0.6</w:t>
            </w:r>
          </w:p>
        </w:tc>
        <w:tc>
          <w:tcPr>
            <w:tcW w:w="709"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31.9</w:t>
            </w:r>
          </w:p>
        </w:tc>
        <w:tc>
          <w:tcPr>
            <w:tcW w:w="1139"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9.2</w:t>
            </w:r>
          </w:p>
        </w:tc>
        <w:tc>
          <w:tcPr>
            <w:tcW w:w="845" w:type="dxa"/>
            <w:tcBorders>
              <w:top w:val="nil"/>
              <w:left w:val="nil"/>
              <w:bottom w:val="nil"/>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14.8</w:t>
            </w:r>
          </w:p>
        </w:tc>
      </w:tr>
      <w:tr w:rsidR="00777D27" w:rsidRPr="003B0112" w:rsidTr="00FA77C2">
        <w:trPr>
          <w:trHeight w:val="188"/>
        </w:trPr>
        <w:tc>
          <w:tcPr>
            <w:tcW w:w="1398" w:type="dxa"/>
            <w:tcBorders>
              <w:top w:val="nil"/>
              <w:left w:val="single" w:sz="8" w:space="0" w:color="auto"/>
              <w:bottom w:val="single" w:sz="8" w:space="0" w:color="auto"/>
              <w:right w:val="single" w:sz="8" w:space="0" w:color="auto"/>
            </w:tcBorders>
            <w:shd w:val="clear" w:color="000000" w:fill="D9E1F2"/>
            <w:noWrap/>
            <w:hideMark/>
          </w:tcPr>
          <w:p w:rsidR="00777D27" w:rsidRPr="003B0112" w:rsidRDefault="00777D27" w:rsidP="00FA77C2">
            <w:pPr>
              <w:rPr>
                <w:rFonts w:ascii="Garamond" w:eastAsia="Times New Roman" w:hAnsi="Garamond" w:cs="Calibri"/>
                <w:color w:val="000000"/>
                <w:sz w:val="20"/>
                <w:szCs w:val="20"/>
                <w:lang w:val="en-IN" w:eastAsia="en-IN" w:bidi="hi-IN"/>
              </w:rPr>
            </w:pPr>
            <w:r w:rsidRPr="003B0112">
              <w:rPr>
                <w:rFonts w:ascii="Garamond" w:eastAsia="Times New Roman" w:hAnsi="Garamond" w:cs="Calibri"/>
                <w:color w:val="000000"/>
                <w:sz w:val="20"/>
                <w:szCs w:val="20"/>
                <w:lang w:val="en-IN" w:eastAsia="en-IN" w:bidi="hi-IN"/>
              </w:rPr>
              <w:t>Taiwan</w:t>
            </w:r>
          </w:p>
        </w:tc>
        <w:tc>
          <w:tcPr>
            <w:tcW w:w="2112" w:type="dxa"/>
            <w:tcBorders>
              <w:top w:val="nil"/>
              <w:left w:val="nil"/>
              <w:bottom w:val="single" w:sz="8" w:space="0" w:color="auto"/>
              <w:right w:val="single" w:sz="8" w:space="0" w:color="auto"/>
            </w:tcBorders>
            <w:shd w:val="clear" w:color="000000" w:fill="D9E1F2"/>
            <w:noWrap/>
            <w:hideMark/>
          </w:tcPr>
          <w:p w:rsidR="00777D27" w:rsidRPr="003B0112" w:rsidRDefault="00777D27" w:rsidP="00FA77C2">
            <w:pPr>
              <w:rPr>
                <w:rFonts w:ascii="Garamond" w:eastAsia="Times New Roman" w:hAnsi="Garamond" w:cs="Calibri"/>
                <w:color w:val="000000"/>
                <w:sz w:val="20"/>
                <w:szCs w:val="20"/>
                <w:lang w:val="en-IN" w:eastAsia="en-IN" w:bidi="hi-IN"/>
              </w:rPr>
            </w:pPr>
            <w:r w:rsidRPr="003B0112">
              <w:rPr>
                <w:rFonts w:ascii="Garamond" w:eastAsia="Times New Roman" w:hAnsi="Garamond" w:cs="Calibri"/>
                <w:color w:val="000000"/>
                <w:sz w:val="20"/>
                <w:szCs w:val="20"/>
                <w:lang w:val="en-IN" w:eastAsia="en-IN" w:bidi="hi-IN"/>
              </w:rPr>
              <w:t>TAIWAN TAIEX</w:t>
            </w:r>
          </w:p>
        </w:tc>
        <w:tc>
          <w:tcPr>
            <w:tcW w:w="1276" w:type="dxa"/>
            <w:tcBorders>
              <w:top w:val="nil"/>
              <w:left w:val="nil"/>
              <w:bottom w:val="single" w:sz="8" w:space="0" w:color="auto"/>
              <w:right w:val="single" w:sz="8" w:space="0" w:color="auto"/>
            </w:tcBorders>
            <w:shd w:val="clear" w:color="000000" w:fill="9BC2E6"/>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 xml:space="preserve"> 16,987 </w:t>
            </w:r>
          </w:p>
        </w:tc>
        <w:tc>
          <w:tcPr>
            <w:tcW w:w="902" w:type="dxa"/>
            <w:tcBorders>
              <w:top w:val="nil"/>
              <w:left w:val="nil"/>
              <w:bottom w:val="single" w:sz="8" w:space="0" w:color="auto"/>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0.3</w:t>
            </w:r>
          </w:p>
        </w:tc>
        <w:tc>
          <w:tcPr>
            <w:tcW w:w="902" w:type="dxa"/>
            <w:tcBorders>
              <w:top w:val="nil"/>
              <w:left w:val="nil"/>
              <w:bottom w:val="single" w:sz="8" w:space="0" w:color="auto"/>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-1.5</w:t>
            </w:r>
          </w:p>
        </w:tc>
        <w:tc>
          <w:tcPr>
            <w:tcW w:w="913" w:type="dxa"/>
            <w:tcBorders>
              <w:top w:val="nil"/>
              <w:left w:val="nil"/>
              <w:bottom w:val="single" w:sz="8" w:space="0" w:color="auto"/>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-3.3</w:t>
            </w:r>
          </w:p>
        </w:tc>
        <w:tc>
          <w:tcPr>
            <w:tcW w:w="709" w:type="dxa"/>
            <w:tcBorders>
              <w:top w:val="nil"/>
              <w:left w:val="nil"/>
              <w:bottom w:val="single" w:sz="8" w:space="0" w:color="auto"/>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35.4</w:t>
            </w:r>
          </w:p>
        </w:tc>
        <w:tc>
          <w:tcPr>
            <w:tcW w:w="1139" w:type="dxa"/>
            <w:tcBorders>
              <w:top w:val="nil"/>
              <w:left w:val="nil"/>
              <w:bottom w:val="single" w:sz="8" w:space="0" w:color="auto"/>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15.4</w:t>
            </w:r>
          </w:p>
        </w:tc>
        <w:tc>
          <w:tcPr>
            <w:tcW w:w="845" w:type="dxa"/>
            <w:tcBorders>
              <w:top w:val="nil"/>
              <w:left w:val="nil"/>
              <w:bottom w:val="single" w:sz="8" w:space="0" w:color="auto"/>
              <w:right w:val="single" w:sz="8" w:space="0" w:color="auto"/>
            </w:tcBorders>
            <w:shd w:val="clear" w:color="auto" w:fill="auto"/>
            <w:noWrap/>
            <w:hideMark/>
          </w:tcPr>
          <w:p w:rsidR="00777D27" w:rsidRPr="003B0112" w:rsidRDefault="00777D27" w:rsidP="00FA77C2">
            <w:pPr>
              <w:jc w:val="right"/>
              <w:rPr>
                <w:rFonts w:ascii="Garamond" w:hAnsi="Garamond"/>
                <w:sz w:val="20"/>
                <w:szCs w:val="20"/>
              </w:rPr>
            </w:pPr>
            <w:r w:rsidRPr="003B0112">
              <w:rPr>
                <w:rFonts w:ascii="Garamond" w:hAnsi="Garamond"/>
                <w:sz w:val="20"/>
                <w:szCs w:val="20"/>
              </w:rPr>
              <w:t>14.8</w:t>
            </w:r>
          </w:p>
        </w:tc>
      </w:tr>
    </w:tbl>
    <w:p w:rsidR="00777D27" w:rsidRPr="006037D2" w:rsidRDefault="00777D27" w:rsidP="00777D27">
      <w:pPr>
        <w:spacing w:line="23" w:lineRule="atLeast"/>
        <w:jc w:val="both"/>
        <w:rPr>
          <w:rFonts w:ascii="Garamond" w:hAnsi="Garamond"/>
          <w:bCs/>
        </w:rPr>
      </w:pPr>
    </w:p>
    <w:p w:rsidR="00777D27" w:rsidRPr="00545C71" w:rsidRDefault="00777D27" w:rsidP="00777D27">
      <w:pPr>
        <w:spacing w:line="23" w:lineRule="atLeast"/>
        <w:jc w:val="both"/>
        <w:rPr>
          <w:rFonts w:ascii="Garamond" w:hAnsi="Garamond"/>
          <w:bCs/>
          <w:sz w:val="20"/>
          <w:szCs w:val="20"/>
        </w:rPr>
      </w:pPr>
      <w:r w:rsidRPr="00545C71">
        <w:rPr>
          <w:rFonts w:ascii="Garamond" w:hAnsi="Garamond"/>
          <w:bCs/>
          <w:sz w:val="20"/>
          <w:szCs w:val="20"/>
        </w:rPr>
        <w:t>Note: P/E Ratios are as on the last trading day of month. Trailing PE ratio has been used from Refinitiv for all Indices apart from Sensex, Nifty 50, Kospi, Nikkei and Taiwan Taiex. Data for Sensex and Nifty was taken from respective exchange website</w:t>
      </w:r>
      <w:r w:rsidRPr="00545C71">
        <w:rPr>
          <w:rFonts w:ascii="Garamond" w:hAnsi="Garamond"/>
          <w:bCs/>
          <w:sz w:val="20"/>
          <w:szCs w:val="20"/>
          <w:lang w:val="en-US"/>
        </w:rPr>
        <w:t>.</w:t>
      </w:r>
    </w:p>
    <w:p w:rsidR="00777D27" w:rsidRPr="00545C71" w:rsidRDefault="00777D27" w:rsidP="00777D27">
      <w:pPr>
        <w:spacing w:line="23" w:lineRule="atLeast"/>
        <w:jc w:val="both"/>
        <w:rPr>
          <w:rFonts w:ascii="Garamond" w:hAnsi="Garamond"/>
          <w:b/>
          <w:bCs/>
          <w:sz w:val="20"/>
          <w:szCs w:val="20"/>
        </w:rPr>
      </w:pPr>
      <w:r w:rsidRPr="00545C71">
        <w:rPr>
          <w:rFonts w:ascii="Garamond" w:hAnsi="Garamond"/>
          <w:bCs/>
          <w:sz w:val="20"/>
          <w:szCs w:val="20"/>
        </w:rPr>
        <w:t>Source: Refinitiv, BSE and NSE</w:t>
      </w:r>
    </w:p>
    <w:p w:rsidR="004A1B8E" w:rsidRDefault="004A1B8E" w:rsidP="003B453C">
      <w:pPr>
        <w:pStyle w:val="ListParagraph"/>
        <w:rPr>
          <w:rFonts w:ascii="Garamond" w:eastAsia="Times New Roman" w:hAnsi="Garamond"/>
          <w:bCs/>
          <w:strike/>
          <w:sz w:val="24"/>
          <w:szCs w:val="24"/>
          <w:lang w:eastAsia="en-GB"/>
        </w:rPr>
      </w:pPr>
    </w:p>
    <w:p w:rsidR="000C6BCB" w:rsidRPr="006037D2" w:rsidRDefault="000C6BCB" w:rsidP="000C6BCB">
      <w:pPr>
        <w:numPr>
          <w:ilvl w:val="0"/>
          <w:numId w:val="8"/>
        </w:numPr>
        <w:spacing w:line="276" w:lineRule="auto"/>
        <w:jc w:val="both"/>
        <w:rPr>
          <w:rFonts w:ascii="Garamond" w:eastAsia="Times New Roman" w:hAnsi="Garamond"/>
          <w:bCs/>
          <w:color w:val="FF0000"/>
          <w:lang w:val="en-US" w:eastAsia="en-GB"/>
        </w:rPr>
      </w:pPr>
      <w:r w:rsidRPr="006037D2">
        <w:rPr>
          <w:rFonts w:ascii="Garamond" w:eastAsia="Times New Roman" w:hAnsi="Garamond"/>
          <w:bCs/>
          <w:lang w:val="en-US" w:eastAsia="en-GB"/>
        </w:rPr>
        <w:lastRenderedPageBreak/>
        <w:t>Among select developed markets</w:t>
      </w:r>
      <w:r w:rsidRPr="006037D2">
        <w:rPr>
          <w:rStyle w:val="FootnoteReference"/>
          <w:rFonts w:ascii="Garamond" w:eastAsia="Times New Roman" w:hAnsi="Garamond"/>
          <w:bCs/>
          <w:lang w:val="en-US" w:eastAsia="en-GB"/>
        </w:rPr>
        <w:footnoteReference w:id="79"/>
      </w:r>
      <w:r w:rsidRPr="006037D2">
        <w:rPr>
          <w:rFonts w:ascii="Garamond" w:eastAsia="Times New Roman" w:hAnsi="Garamond"/>
          <w:bCs/>
          <w:lang w:val="en-US" w:eastAsia="en-GB"/>
        </w:rPr>
        <w:t xml:space="preserve">, Nikkei 225 Index of Japan was </w:t>
      </w:r>
      <w:r>
        <w:rPr>
          <w:rFonts w:ascii="Garamond" w:eastAsia="Times New Roman" w:hAnsi="Garamond"/>
          <w:bCs/>
          <w:lang w:val="en-US" w:eastAsia="en-GB"/>
        </w:rPr>
        <w:t xml:space="preserve">the </w:t>
      </w:r>
      <w:r w:rsidRPr="006037D2">
        <w:rPr>
          <w:rFonts w:ascii="Garamond" w:eastAsia="Times New Roman" w:hAnsi="Garamond"/>
          <w:bCs/>
          <w:lang w:val="en-US" w:eastAsia="en-GB"/>
        </w:rPr>
        <w:t>most volatile index (19.7 per cent) during October 2021, while, Straits Times  Index of Singapore exhibited least volatility (9.2 per cent)</w:t>
      </w:r>
      <w:r>
        <w:rPr>
          <w:rFonts w:ascii="Garamond" w:eastAsia="Times New Roman" w:hAnsi="Garamond"/>
          <w:bCs/>
          <w:lang w:val="en-US" w:eastAsia="en-GB"/>
        </w:rPr>
        <w:t>.</w:t>
      </w:r>
      <w:r w:rsidRPr="006037D2">
        <w:rPr>
          <w:rFonts w:ascii="Garamond" w:eastAsia="Times New Roman" w:hAnsi="Garamond"/>
          <w:bCs/>
          <w:lang w:val="en-US" w:eastAsia="en-GB"/>
        </w:rPr>
        <w:t xml:space="preserve"> </w:t>
      </w:r>
    </w:p>
    <w:p w:rsidR="000C6BCB" w:rsidRPr="006037D2" w:rsidRDefault="000C6BCB" w:rsidP="000C6BCB">
      <w:pPr>
        <w:numPr>
          <w:ilvl w:val="0"/>
          <w:numId w:val="8"/>
        </w:numPr>
        <w:spacing w:line="276" w:lineRule="auto"/>
        <w:jc w:val="both"/>
        <w:rPr>
          <w:rFonts w:ascii="Garamond" w:eastAsia="Times New Roman" w:hAnsi="Garamond"/>
          <w:bCs/>
          <w:color w:val="FF0000"/>
          <w:lang w:val="en-US" w:eastAsia="en-GB"/>
        </w:rPr>
      </w:pPr>
      <w:r w:rsidRPr="006037D2">
        <w:rPr>
          <w:rFonts w:ascii="Garamond" w:eastAsia="Times New Roman" w:hAnsi="Garamond"/>
          <w:bCs/>
          <w:lang w:val="en-US" w:eastAsia="en-GB"/>
        </w:rPr>
        <w:t>During October 2021, Nasdaq Composite Index of US recorded highest increase of 7.3 per cent, while KOSPI of South Korea registered a highest decline of 3.2 per</w:t>
      </w:r>
      <w:r>
        <w:rPr>
          <w:rFonts w:ascii="Garamond" w:eastAsia="Times New Roman" w:hAnsi="Garamond"/>
          <w:bCs/>
          <w:lang w:val="en-US" w:eastAsia="en-GB"/>
        </w:rPr>
        <w:t xml:space="preserve"> </w:t>
      </w:r>
      <w:r w:rsidRPr="006037D2">
        <w:rPr>
          <w:rFonts w:ascii="Garamond" w:eastAsia="Times New Roman" w:hAnsi="Garamond"/>
          <w:bCs/>
          <w:lang w:val="en-US" w:eastAsia="en-GB"/>
        </w:rPr>
        <w:t>cent, among select developed market indices.</w:t>
      </w:r>
    </w:p>
    <w:p w:rsidR="000C6BCB" w:rsidRPr="006037D2" w:rsidRDefault="000C6BCB" w:rsidP="000C6BCB">
      <w:pPr>
        <w:numPr>
          <w:ilvl w:val="0"/>
          <w:numId w:val="8"/>
        </w:numPr>
        <w:spacing w:line="276" w:lineRule="auto"/>
        <w:jc w:val="both"/>
        <w:rPr>
          <w:rFonts w:ascii="Garamond" w:eastAsia="Times New Roman" w:hAnsi="Garamond"/>
          <w:bCs/>
          <w:lang w:val="en-US" w:eastAsia="en-GB"/>
        </w:rPr>
      </w:pPr>
      <w:r w:rsidRPr="006037D2">
        <w:rPr>
          <w:rFonts w:ascii="Garamond" w:eastAsia="Times New Roman" w:hAnsi="Garamond"/>
          <w:bCs/>
          <w:lang w:val="en-US" w:eastAsia="en-GB"/>
        </w:rPr>
        <w:t>The MSCI World Index, which is a broad global equity index that represents large and mid-cap equity performance across 23 developed markets, increased by 5.6 per cent in October 2021.</w:t>
      </w:r>
    </w:p>
    <w:p w:rsidR="000C6BCB" w:rsidRPr="006037D2" w:rsidRDefault="000C6BCB" w:rsidP="000C6BCB">
      <w:pPr>
        <w:numPr>
          <w:ilvl w:val="0"/>
          <w:numId w:val="8"/>
        </w:numPr>
        <w:spacing w:line="276" w:lineRule="auto"/>
        <w:jc w:val="both"/>
        <w:rPr>
          <w:rFonts w:ascii="Garamond" w:eastAsia="Times New Roman" w:hAnsi="Garamond"/>
          <w:bCs/>
          <w:lang w:val="en-US" w:eastAsia="en-GB"/>
        </w:rPr>
      </w:pPr>
      <w:r w:rsidRPr="006037D2">
        <w:rPr>
          <w:rFonts w:ascii="Garamond" w:eastAsia="Times New Roman" w:hAnsi="Garamond"/>
          <w:bCs/>
          <w:lang w:val="en-US" w:eastAsia="en-GB"/>
        </w:rPr>
        <w:t>MSCI All Country World Price Index (MSCI ACWI), which represent</w:t>
      </w:r>
      <w:r>
        <w:rPr>
          <w:rFonts w:ascii="Garamond" w:eastAsia="Times New Roman" w:hAnsi="Garamond"/>
          <w:bCs/>
          <w:lang w:val="en-US" w:eastAsia="en-GB"/>
        </w:rPr>
        <w:t>s</w:t>
      </w:r>
      <w:r w:rsidRPr="006037D2">
        <w:rPr>
          <w:rFonts w:ascii="Garamond" w:eastAsia="Times New Roman" w:hAnsi="Garamond"/>
          <w:bCs/>
          <w:lang w:val="en-US" w:eastAsia="en-GB"/>
        </w:rPr>
        <w:t xml:space="preserve"> performance of set of large- and mid-cap stocks across 23 developed and 27 emerging markets, also </w:t>
      </w:r>
      <w:r>
        <w:rPr>
          <w:rFonts w:ascii="Garamond" w:eastAsia="Times New Roman" w:hAnsi="Garamond"/>
          <w:bCs/>
          <w:lang w:val="en-US" w:eastAsia="en-GB"/>
        </w:rPr>
        <w:t xml:space="preserve">increased </w:t>
      </w:r>
      <w:r w:rsidRPr="006037D2">
        <w:rPr>
          <w:rFonts w:ascii="Garamond" w:eastAsia="Times New Roman" w:hAnsi="Garamond"/>
          <w:bCs/>
          <w:lang w:val="en-US" w:eastAsia="en-GB"/>
        </w:rPr>
        <w:t>by 5.0 per cent during the month.</w:t>
      </w:r>
    </w:p>
    <w:p w:rsidR="00B636BE" w:rsidRDefault="00B636BE" w:rsidP="003B453C">
      <w:pPr>
        <w:pStyle w:val="ListParagraph"/>
        <w:rPr>
          <w:rFonts w:ascii="Garamond" w:eastAsia="Times New Roman" w:hAnsi="Garamond"/>
          <w:bCs/>
          <w:strike/>
          <w:sz w:val="24"/>
          <w:szCs w:val="24"/>
          <w:lang w:eastAsia="en-GB"/>
        </w:rPr>
      </w:pPr>
    </w:p>
    <w:p w:rsidR="003B453C" w:rsidRPr="006037D2" w:rsidRDefault="003B453C" w:rsidP="003B453C">
      <w:pPr>
        <w:rPr>
          <w:rFonts w:ascii="Garamond" w:hAnsi="Garamond"/>
          <w:b/>
          <w:bCs/>
        </w:rPr>
      </w:pPr>
      <w:r w:rsidRPr="006037D2">
        <w:rPr>
          <w:rFonts w:ascii="Garamond" w:hAnsi="Garamond"/>
          <w:b/>
          <w:bCs/>
        </w:rPr>
        <w:t>Figure 1: Stock Market Trends in Selected Markets</w:t>
      </w:r>
    </w:p>
    <w:p w:rsidR="003B453C" w:rsidRPr="006037D2" w:rsidRDefault="003B453C" w:rsidP="003B453C">
      <w:pPr>
        <w:rPr>
          <w:rFonts w:ascii="Garamond" w:hAnsi="Garamond"/>
          <w:b/>
          <w:bCs/>
        </w:rPr>
      </w:pPr>
    </w:p>
    <w:p w:rsidR="003B453C" w:rsidRPr="006037D2" w:rsidRDefault="003B453C" w:rsidP="003B453C">
      <w:pPr>
        <w:spacing w:line="23" w:lineRule="atLeast"/>
        <w:rPr>
          <w:rFonts w:ascii="Garamond" w:hAnsi="Garamond"/>
          <w:bCs/>
        </w:rPr>
      </w:pPr>
      <w:r w:rsidRPr="006037D2">
        <w:rPr>
          <w:rFonts w:ascii="Garamond" w:hAnsi="Garamond"/>
          <w:noProof/>
          <w:lang w:val="en-IN" w:eastAsia="en-IN" w:bidi="hi-IN"/>
        </w:rPr>
        <w:drawing>
          <wp:inline distT="0" distB="0" distL="0" distR="0">
            <wp:extent cx="5542915" cy="2457450"/>
            <wp:effectExtent l="0" t="0" r="635" b="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B453C" w:rsidRPr="003B0112" w:rsidRDefault="003B453C" w:rsidP="003B453C">
      <w:pPr>
        <w:spacing w:line="23" w:lineRule="atLeast"/>
        <w:jc w:val="both"/>
        <w:outlineLvl w:val="0"/>
        <w:rPr>
          <w:rFonts w:ascii="Garamond" w:hAnsi="Garamond"/>
          <w:bCs/>
          <w:sz w:val="22"/>
          <w:szCs w:val="22"/>
        </w:rPr>
      </w:pPr>
      <w:r w:rsidRPr="003B0112">
        <w:rPr>
          <w:rFonts w:ascii="Garamond" w:hAnsi="Garamond"/>
          <w:b/>
          <w:sz w:val="22"/>
          <w:szCs w:val="22"/>
        </w:rPr>
        <w:t>Note</w:t>
      </w:r>
      <w:r w:rsidRPr="003B0112">
        <w:rPr>
          <w:rFonts w:ascii="Garamond" w:hAnsi="Garamond"/>
          <w:bCs/>
          <w:sz w:val="22"/>
          <w:szCs w:val="22"/>
        </w:rPr>
        <w:t>: All indices have been normalised to 100 on 30 Sept 2020.</w:t>
      </w:r>
    </w:p>
    <w:p w:rsidR="003B453C" w:rsidRPr="003B0112" w:rsidRDefault="003B453C" w:rsidP="003B453C">
      <w:pPr>
        <w:spacing w:line="23" w:lineRule="atLeast"/>
        <w:jc w:val="both"/>
        <w:outlineLvl w:val="0"/>
        <w:rPr>
          <w:rFonts w:ascii="Garamond" w:eastAsia="Times New Roman" w:hAnsi="Garamond"/>
          <w:b/>
          <w:sz w:val="22"/>
          <w:szCs w:val="22"/>
          <w:u w:val="single"/>
          <w:lang w:val="en-US" w:eastAsia="en-GB"/>
        </w:rPr>
      </w:pPr>
      <w:r w:rsidRPr="003B0112">
        <w:rPr>
          <w:rFonts w:ascii="Garamond" w:hAnsi="Garamond"/>
          <w:b/>
          <w:sz w:val="22"/>
          <w:szCs w:val="22"/>
        </w:rPr>
        <w:t>Source</w:t>
      </w:r>
      <w:r w:rsidRPr="003B0112">
        <w:rPr>
          <w:rFonts w:ascii="Garamond" w:hAnsi="Garamond"/>
          <w:bCs/>
          <w:sz w:val="22"/>
          <w:szCs w:val="22"/>
        </w:rPr>
        <w:t>: Refinitiv</w:t>
      </w:r>
    </w:p>
    <w:p w:rsidR="003B453C" w:rsidRPr="006037D2" w:rsidRDefault="003B453C" w:rsidP="003B453C">
      <w:pPr>
        <w:spacing w:line="276" w:lineRule="auto"/>
        <w:ind w:left="720"/>
        <w:contextualSpacing/>
        <w:rPr>
          <w:rFonts w:ascii="Garamond" w:eastAsia="Times New Roman" w:hAnsi="Garamond"/>
          <w:b/>
          <w:u w:val="single"/>
          <w:lang w:val="en-US" w:eastAsia="en-GB"/>
        </w:rPr>
      </w:pPr>
    </w:p>
    <w:p w:rsidR="003B453C" w:rsidRPr="006037D2" w:rsidRDefault="003B453C" w:rsidP="003B453C">
      <w:pPr>
        <w:spacing w:line="276" w:lineRule="auto"/>
        <w:ind w:left="720"/>
        <w:contextualSpacing/>
        <w:rPr>
          <w:rFonts w:ascii="Garamond" w:eastAsia="Times New Roman" w:hAnsi="Garamond"/>
          <w:b/>
          <w:u w:val="single"/>
          <w:lang w:val="en-US" w:eastAsia="en-GB"/>
        </w:rPr>
      </w:pPr>
      <w:r w:rsidRPr="006037D2">
        <w:rPr>
          <w:rFonts w:ascii="Garamond" w:eastAsia="Times New Roman" w:hAnsi="Garamond"/>
          <w:b/>
          <w:u w:val="single"/>
          <w:lang w:val="en-US" w:eastAsia="en-GB"/>
        </w:rPr>
        <w:t>Bond Market</w:t>
      </w:r>
    </w:p>
    <w:p w:rsidR="003B453C" w:rsidRPr="006037D2" w:rsidRDefault="003B453C" w:rsidP="003B453C">
      <w:pPr>
        <w:spacing w:line="276" w:lineRule="auto"/>
        <w:ind w:left="720"/>
        <w:contextualSpacing/>
        <w:rPr>
          <w:rFonts w:ascii="Garamond" w:hAnsi="Garamond"/>
          <w:bCs/>
          <w:lang w:val="en-US"/>
        </w:rPr>
      </w:pPr>
    </w:p>
    <w:p w:rsidR="003B453C" w:rsidRPr="006037D2" w:rsidRDefault="003B453C" w:rsidP="00456F4D">
      <w:pPr>
        <w:numPr>
          <w:ilvl w:val="0"/>
          <w:numId w:val="8"/>
        </w:numPr>
        <w:spacing w:line="276" w:lineRule="auto"/>
        <w:contextualSpacing/>
        <w:jc w:val="both"/>
        <w:rPr>
          <w:rFonts w:ascii="Garamond" w:eastAsia="Times New Roman" w:hAnsi="Garamond"/>
          <w:bCs/>
          <w:color w:val="000000"/>
          <w:lang w:val="en-US" w:eastAsia="en-GB"/>
        </w:rPr>
      </w:pPr>
      <w:r w:rsidRPr="006037D2">
        <w:rPr>
          <w:rFonts w:ascii="Garamond" w:eastAsia="Times New Roman" w:hAnsi="Garamond"/>
          <w:bCs/>
          <w:color w:val="000000"/>
          <w:lang w:val="en-US" w:eastAsia="en-GB"/>
        </w:rPr>
        <w:t xml:space="preserve">Among BRIC Nations, 10-year government bond yield of Brazil increased further to 12.2 per cent, as at end of </w:t>
      </w:r>
      <w:r w:rsidRPr="006037D2">
        <w:rPr>
          <w:rFonts w:ascii="Garamond" w:eastAsia="Times New Roman" w:hAnsi="Garamond"/>
          <w:bCs/>
          <w:lang w:val="en-US" w:eastAsia="en-GB"/>
        </w:rPr>
        <w:t xml:space="preserve">October </w:t>
      </w:r>
      <w:r w:rsidRPr="006037D2">
        <w:rPr>
          <w:rFonts w:ascii="Garamond" w:eastAsia="Times New Roman" w:hAnsi="Garamond"/>
          <w:bCs/>
          <w:color w:val="000000"/>
          <w:lang w:val="en-US" w:eastAsia="en-GB"/>
        </w:rPr>
        <w:t>2021 from 11.2 per cent in previous month (9.7 per cent increase).</w:t>
      </w:r>
    </w:p>
    <w:p w:rsidR="003B453C" w:rsidRPr="006037D2" w:rsidRDefault="003B453C" w:rsidP="00456F4D">
      <w:pPr>
        <w:numPr>
          <w:ilvl w:val="0"/>
          <w:numId w:val="8"/>
        </w:numPr>
        <w:spacing w:line="276" w:lineRule="auto"/>
        <w:contextualSpacing/>
        <w:jc w:val="both"/>
        <w:rPr>
          <w:rFonts w:ascii="Garamond" w:eastAsia="Times New Roman" w:hAnsi="Garamond"/>
          <w:bCs/>
          <w:color w:val="000000"/>
          <w:lang w:val="en-US" w:eastAsia="en-GB"/>
        </w:rPr>
      </w:pPr>
      <w:r w:rsidRPr="006037D2">
        <w:rPr>
          <w:rFonts w:ascii="Garamond" w:eastAsia="Times New Roman" w:hAnsi="Garamond"/>
          <w:bCs/>
          <w:color w:val="000000"/>
          <w:lang w:val="en-US" w:eastAsia="en-GB"/>
        </w:rPr>
        <w:t xml:space="preserve">Indian 10-year government bond yield increased to 6.4 per cent in </w:t>
      </w:r>
      <w:r w:rsidRPr="006037D2">
        <w:rPr>
          <w:rFonts w:ascii="Garamond" w:eastAsia="Times New Roman" w:hAnsi="Garamond"/>
          <w:bCs/>
          <w:lang w:val="en-US" w:eastAsia="en-GB"/>
        </w:rPr>
        <w:t xml:space="preserve">October </w:t>
      </w:r>
      <w:r w:rsidRPr="006037D2">
        <w:rPr>
          <w:rFonts w:ascii="Garamond" w:eastAsia="Times New Roman" w:hAnsi="Garamond"/>
          <w:bCs/>
          <w:color w:val="000000"/>
          <w:lang w:val="en-US" w:eastAsia="en-GB"/>
        </w:rPr>
        <w:t>2021, from 6.2 per cent in previous month.</w:t>
      </w:r>
    </w:p>
    <w:p w:rsidR="003B453C" w:rsidRPr="006037D2" w:rsidRDefault="003B453C" w:rsidP="00456F4D">
      <w:pPr>
        <w:numPr>
          <w:ilvl w:val="0"/>
          <w:numId w:val="8"/>
        </w:numPr>
        <w:spacing w:line="276" w:lineRule="auto"/>
        <w:contextualSpacing/>
        <w:jc w:val="both"/>
        <w:rPr>
          <w:rFonts w:ascii="Garamond" w:hAnsi="Garamond"/>
          <w:bCs/>
        </w:rPr>
      </w:pPr>
      <w:r w:rsidRPr="006037D2">
        <w:rPr>
          <w:rFonts w:ascii="Garamond" w:eastAsia="Times New Roman" w:hAnsi="Garamond"/>
          <w:bCs/>
          <w:color w:val="000000"/>
          <w:lang w:val="en-US" w:eastAsia="en-GB"/>
        </w:rPr>
        <w:t>Among select developed countries</w:t>
      </w:r>
      <w:r w:rsidRPr="006037D2">
        <w:rPr>
          <w:rStyle w:val="FootnoteReference"/>
          <w:rFonts w:ascii="Garamond" w:eastAsia="Times New Roman" w:hAnsi="Garamond"/>
          <w:bCs/>
          <w:color w:val="000000"/>
          <w:lang w:val="en-US" w:eastAsia="en-GB"/>
        </w:rPr>
        <w:footnoteReference w:id="80"/>
      </w:r>
      <w:r w:rsidRPr="006037D2">
        <w:rPr>
          <w:rFonts w:ascii="Garamond" w:eastAsia="Times New Roman" w:hAnsi="Garamond"/>
          <w:bCs/>
          <w:color w:val="000000"/>
          <w:lang w:val="en-US" w:eastAsia="en-GB"/>
        </w:rPr>
        <w:t xml:space="preserve">, 10-year government bond yield in U.S. increased to 1.6 per cent as at end of </w:t>
      </w:r>
      <w:r w:rsidRPr="006037D2">
        <w:rPr>
          <w:rFonts w:ascii="Garamond" w:eastAsia="Times New Roman" w:hAnsi="Garamond"/>
          <w:bCs/>
          <w:lang w:val="en-US" w:eastAsia="en-GB"/>
        </w:rPr>
        <w:t xml:space="preserve">October </w:t>
      </w:r>
      <w:r w:rsidRPr="006037D2">
        <w:rPr>
          <w:rFonts w:ascii="Garamond" w:eastAsia="Times New Roman" w:hAnsi="Garamond"/>
          <w:bCs/>
          <w:color w:val="000000"/>
          <w:lang w:val="en-US" w:eastAsia="en-GB"/>
        </w:rPr>
        <w:t>2021, higher than 1.5 per cent recorded in September 2021, while Germany reported negative yield of 0.1 per cent as compared to -0.2 per cent in previous month.</w:t>
      </w:r>
    </w:p>
    <w:p w:rsidR="003B453C" w:rsidRPr="006037D2" w:rsidRDefault="003B453C" w:rsidP="003B453C">
      <w:pPr>
        <w:spacing w:line="276" w:lineRule="auto"/>
        <w:contextualSpacing/>
        <w:jc w:val="both"/>
        <w:rPr>
          <w:rFonts w:ascii="Garamond" w:hAnsi="Garamond"/>
          <w:bCs/>
        </w:rPr>
      </w:pPr>
    </w:p>
    <w:p w:rsidR="000C6BCB" w:rsidRDefault="000C6BCB" w:rsidP="003B453C">
      <w:pPr>
        <w:rPr>
          <w:rFonts w:ascii="Garamond" w:hAnsi="Garamond"/>
          <w:b/>
          <w:bCs/>
        </w:rPr>
      </w:pPr>
    </w:p>
    <w:p w:rsidR="003B453C" w:rsidRPr="006037D2" w:rsidRDefault="003B453C" w:rsidP="003B453C">
      <w:pPr>
        <w:rPr>
          <w:rFonts w:ascii="Garamond" w:hAnsi="Garamond"/>
          <w:b/>
          <w:bCs/>
        </w:rPr>
      </w:pPr>
      <w:r w:rsidRPr="006037D2">
        <w:rPr>
          <w:rFonts w:ascii="Garamond" w:hAnsi="Garamond"/>
          <w:b/>
          <w:bCs/>
        </w:rPr>
        <w:lastRenderedPageBreak/>
        <w:t xml:space="preserve">Table </w:t>
      </w:r>
      <w:r w:rsidR="00AE7510">
        <w:rPr>
          <w:rFonts w:ascii="Garamond" w:hAnsi="Garamond"/>
          <w:b/>
          <w:bCs/>
        </w:rPr>
        <w:t>2</w:t>
      </w:r>
      <w:r w:rsidRPr="006037D2">
        <w:rPr>
          <w:rFonts w:ascii="Garamond" w:hAnsi="Garamond"/>
          <w:b/>
          <w:bCs/>
        </w:rPr>
        <w:t>: 10-year Government Bond Yields</w:t>
      </w:r>
    </w:p>
    <w:p w:rsidR="003B453C" w:rsidRPr="006037D2" w:rsidRDefault="003B453C" w:rsidP="003B453C">
      <w:pPr>
        <w:rPr>
          <w:rFonts w:ascii="Garamond" w:hAnsi="Garamond"/>
          <w:bCs/>
        </w:rPr>
      </w:pPr>
    </w:p>
    <w:tbl>
      <w:tblPr>
        <w:tblW w:w="6683" w:type="dxa"/>
        <w:tblInd w:w="108" w:type="dxa"/>
        <w:tblLook w:val="04A0" w:firstRow="1" w:lastRow="0" w:firstColumn="1" w:lastColumn="0" w:noHBand="0" w:noVBand="1"/>
      </w:tblPr>
      <w:tblGrid>
        <w:gridCol w:w="1083"/>
        <w:gridCol w:w="1323"/>
        <w:gridCol w:w="1377"/>
        <w:gridCol w:w="962"/>
        <w:gridCol w:w="962"/>
        <w:gridCol w:w="965"/>
        <w:gridCol w:w="11"/>
      </w:tblGrid>
      <w:tr w:rsidR="003B453C" w:rsidRPr="003B0112" w:rsidTr="003B453C">
        <w:trPr>
          <w:gridAfter w:val="1"/>
          <w:wAfter w:w="11" w:type="dxa"/>
          <w:trHeight w:val="265"/>
        </w:trPr>
        <w:tc>
          <w:tcPr>
            <w:tcW w:w="1083" w:type="dxa"/>
            <w:vMerge w:val="restart"/>
            <w:tcBorders>
              <w:top w:val="single" w:sz="8" w:space="0" w:color="auto"/>
              <w:left w:val="single" w:sz="8" w:space="0" w:color="auto"/>
              <w:bottom w:val="single" w:sz="8" w:space="0" w:color="000000"/>
              <w:right w:val="single" w:sz="8" w:space="0" w:color="auto"/>
            </w:tcBorders>
            <w:shd w:val="clear" w:color="000000" w:fill="B4C6E7"/>
            <w:hideMark/>
          </w:tcPr>
          <w:p w:rsidR="003B453C" w:rsidRPr="003B0112" w:rsidRDefault="003B453C" w:rsidP="003B453C">
            <w:pPr>
              <w:jc w:val="center"/>
              <w:rPr>
                <w:rFonts w:ascii="Garamond" w:eastAsia="Times New Roman" w:hAnsi="Garamond" w:cs="Calibri"/>
                <w:b/>
                <w:bCs/>
                <w:color w:val="000000"/>
                <w:sz w:val="20"/>
                <w:szCs w:val="20"/>
                <w:lang w:val="en-IN" w:eastAsia="en-IN" w:bidi="hi-IN"/>
              </w:rPr>
            </w:pPr>
            <w:r w:rsidRPr="003B0112">
              <w:rPr>
                <w:rFonts w:ascii="Garamond" w:eastAsia="Times New Roman" w:hAnsi="Garamond" w:cs="Calibri"/>
                <w:b/>
                <w:bCs/>
                <w:color w:val="000000"/>
                <w:sz w:val="20"/>
                <w:szCs w:val="20"/>
                <w:lang w:val="en-IN" w:eastAsia="en-IN" w:bidi="hi-IN"/>
              </w:rPr>
              <w:t>Country</w:t>
            </w:r>
          </w:p>
        </w:tc>
        <w:tc>
          <w:tcPr>
            <w:tcW w:w="1323" w:type="dxa"/>
            <w:tcBorders>
              <w:top w:val="single" w:sz="8" w:space="0" w:color="auto"/>
              <w:left w:val="nil"/>
              <w:bottom w:val="nil"/>
              <w:right w:val="single" w:sz="8" w:space="0" w:color="auto"/>
            </w:tcBorders>
            <w:shd w:val="clear" w:color="000000" w:fill="B4C6E7"/>
            <w:noWrap/>
            <w:hideMark/>
          </w:tcPr>
          <w:p w:rsidR="003B453C" w:rsidRPr="003B0112" w:rsidRDefault="003B453C" w:rsidP="003B453C">
            <w:pPr>
              <w:jc w:val="center"/>
              <w:rPr>
                <w:rFonts w:ascii="Garamond" w:eastAsia="Times New Roman" w:hAnsi="Garamond" w:cs="Calibri"/>
                <w:b/>
                <w:bCs/>
                <w:color w:val="000000"/>
                <w:sz w:val="20"/>
                <w:szCs w:val="20"/>
                <w:lang w:val="en-IN" w:eastAsia="en-IN" w:bidi="hi-IN"/>
              </w:rPr>
            </w:pPr>
            <w:r w:rsidRPr="003B0112">
              <w:rPr>
                <w:rFonts w:ascii="Garamond" w:eastAsia="Times New Roman" w:hAnsi="Garamond" w:cs="Calibri"/>
                <w:b/>
                <w:bCs/>
                <w:color w:val="000000"/>
                <w:sz w:val="20"/>
                <w:szCs w:val="20"/>
                <w:lang w:val="en-IN" w:eastAsia="en-IN" w:bidi="hi-IN"/>
              </w:rPr>
              <w:t>Yield as on</w:t>
            </w:r>
          </w:p>
        </w:tc>
        <w:tc>
          <w:tcPr>
            <w:tcW w:w="4266" w:type="dxa"/>
            <w:gridSpan w:val="4"/>
            <w:tcBorders>
              <w:top w:val="single" w:sz="8" w:space="0" w:color="auto"/>
              <w:left w:val="nil"/>
              <w:bottom w:val="single" w:sz="8" w:space="0" w:color="auto"/>
              <w:right w:val="single" w:sz="8" w:space="0" w:color="000000"/>
            </w:tcBorders>
            <w:shd w:val="clear" w:color="000000" w:fill="B4C6E7"/>
            <w:hideMark/>
          </w:tcPr>
          <w:p w:rsidR="003B453C" w:rsidRPr="003B0112" w:rsidRDefault="003B453C" w:rsidP="003B453C">
            <w:pPr>
              <w:jc w:val="center"/>
              <w:rPr>
                <w:rFonts w:ascii="Garamond" w:eastAsia="Times New Roman" w:hAnsi="Garamond" w:cs="Calibri"/>
                <w:b/>
                <w:bCs/>
                <w:color w:val="000000"/>
                <w:sz w:val="20"/>
                <w:szCs w:val="20"/>
                <w:lang w:val="en-IN" w:eastAsia="en-IN" w:bidi="hi-IN"/>
              </w:rPr>
            </w:pPr>
            <w:r w:rsidRPr="003B0112">
              <w:rPr>
                <w:rFonts w:ascii="Garamond" w:eastAsia="Times New Roman" w:hAnsi="Garamond" w:cs="Calibri"/>
                <w:b/>
                <w:bCs/>
                <w:color w:val="000000"/>
                <w:sz w:val="20"/>
                <w:szCs w:val="20"/>
                <w:lang w:val="en-IN" w:eastAsia="en-IN" w:bidi="hi-IN"/>
              </w:rPr>
              <w:t>Bond Yield in previous period</w:t>
            </w:r>
          </w:p>
        </w:tc>
      </w:tr>
      <w:tr w:rsidR="003B453C" w:rsidRPr="003B0112" w:rsidTr="003B453C">
        <w:trPr>
          <w:gridAfter w:val="1"/>
          <w:wAfter w:w="11" w:type="dxa"/>
          <w:trHeight w:val="265"/>
        </w:trPr>
        <w:tc>
          <w:tcPr>
            <w:tcW w:w="1083" w:type="dxa"/>
            <w:vMerge/>
            <w:tcBorders>
              <w:top w:val="single" w:sz="8" w:space="0" w:color="auto"/>
              <w:left w:val="single" w:sz="8" w:space="0" w:color="auto"/>
              <w:bottom w:val="single" w:sz="8" w:space="0" w:color="000000"/>
              <w:right w:val="single" w:sz="8" w:space="0" w:color="auto"/>
            </w:tcBorders>
            <w:vAlign w:val="center"/>
            <w:hideMark/>
          </w:tcPr>
          <w:p w:rsidR="003B453C" w:rsidRPr="003B0112" w:rsidRDefault="003B453C" w:rsidP="003B453C">
            <w:pPr>
              <w:rPr>
                <w:rFonts w:ascii="Garamond" w:eastAsia="Times New Roman" w:hAnsi="Garamond" w:cs="Calibri"/>
                <w:b/>
                <w:bCs/>
                <w:color w:val="000000"/>
                <w:sz w:val="20"/>
                <w:szCs w:val="20"/>
                <w:lang w:val="en-IN" w:eastAsia="en-IN" w:bidi="hi-IN"/>
              </w:rPr>
            </w:pPr>
          </w:p>
        </w:tc>
        <w:tc>
          <w:tcPr>
            <w:tcW w:w="1323" w:type="dxa"/>
            <w:tcBorders>
              <w:top w:val="nil"/>
              <w:left w:val="nil"/>
              <w:bottom w:val="single" w:sz="8" w:space="0" w:color="auto"/>
              <w:right w:val="single" w:sz="8" w:space="0" w:color="auto"/>
            </w:tcBorders>
            <w:shd w:val="clear" w:color="000000" w:fill="B4C6E7"/>
            <w:noWrap/>
            <w:hideMark/>
          </w:tcPr>
          <w:p w:rsidR="003B453C" w:rsidRPr="003B0112" w:rsidRDefault="003B453C" w:rsidP="003B453C">
            <w:pPr>
              <w:jc w:val="center"/>
              <w:rPr>
                <w:rFonts w:ascii="Garamond" w:eastAsia="Times New Roman" w:hAnsi="Garamond" w:cs="Calibri"/>
                <w:b/>
                <w:bCs/>
                <w:color w:val="000000"/>
                <w:sz w:val="20"/>
                <w:szCs w:val="20"/>
                <w:lang w:val="en-IN" w:eastAsia="en-IN" w:bidi="hi-IN"/>
              </w:rPr>
            </w:pPr>
            <w:r w:rsidRPr="003B0112">
              <w:rPr>
                <w:rFonts w:ascii="Garamond" w:eastAsia="Times New Roman" w:hAnsi="Garamond" w:cs="Calibri"/>
                <w:b/>
                <w:bCs/>
                <w:color w:val="000000"/>
                <w:sz w:val="20"/>
                <w:szCs w:val="20"/>
                <w:lang w:val="en-IN" w:eastAsia="en-IN" w:bidi="hi-IN"/>
              </w:rPr>
              <w:t>29-Oct-21</w:t>
            </w:r>
          </w:p>
        </w:tc>
        <w:tc>
          <w:tcPr>
            <w:tcW w:w="1377" w:type="dxa"/>
            <w:tcBorders>
              <w:top w:val="nil"/>
              <w:left w:val="nil"/>
              <w:bottom w:val="single" w:sz="8" w:space="0" w:color="auto"/>
              <w:right w:val="single" w:sz="8" w:space="0" w:color="auto"/>
            </w:tcBorders>
            <w:shd w:val="clear" w:color="000000" w:fill="B4C6E7"/>
            <w:noWrap/>
            <w:hideMark/>
          </w:tcPr>
          <w:p w:rsidR="003B453C" w:rsidRPr="003B0112" w:rsidRDefault="003B453C" w:rsidP="003B453C">
            <w:pPr>
              <w:jc w:val="center"/>
              <w:rPr>
                <w:rFonts w:ascii="Garamond" w:eastAsia="Times New Roman" w:hAnsi="Garamond" w:cs="Calibri"/>
                <w:b/>
                <w:bCs/>
                <w:color w:val="000000"/>
                <w:sz w:val="20"/>
                <w:szCs w:val="20"/>
                <w:lang w:val="en-IN" w:eastAsia="en-IN" w:bidi="hi-IN"/>
              </w:rPr>
            </w:pPr>
            <w:r w:rsidRPr="003B0112">
              <w:rPr>
                <w:rFonts w:ascii="Garamond" w:eastAsia="Times New Roman" w:hAnsi="Garamond" w:cs="Calibri"/>
                <w:b/>
                <w:bCs/>
                <w:color w:val="000000"/>
                <w:sz w:val="20"/>
                <w:szCs w:val="20"/>
                <w:lang w:val="en-IN" w:eastAsia="en-IN" w:bidi="hi-IN"/>
              </w:rPr>
              <w:t>1-Month</w:t>
            </w:r>
          </w:p>
        </w:tc>
        <w:tc>
          <w:tcPr>
            <w:tcW w:w="962" w:type="dxa"/>
            <w:tcBorders>
              <w:top w:val="nil"/>
              <w:left w:val="nil"/>
              <w:bottom w:val="single" w:sz="8" w:space="0" w:color="auto"/>
              <w:right w:val="single" w:sz="8" w:space="0" w:color="auto"/>
            </w:tcBorders>
            <w:shd w:val="clear" w:color="000000" w:fill="B4C6E7"/>
            <w:noWrap/>
            <w:hideMark/>
          </w:tcPr>
          <w:p w:rsidR="003B453C" w:rsidRPr="003B0112" w:rsidRDefault="003B453C" w:rsidP="003B453C">
            <w:pPr>
              <w:jc w:val="center"/>
              <w:rPr>
                <w:rFonts w:ascii="Garamond" w:eastAsia="Times New Roman" w:hAnsi="Garamond" w:cs="Calibri"/>
                <w:b/>
                <w:bCs/>
                <w:color w:val="000000"/>
                <w:sz w:val="20"/>
                <w:szCs w:val="20"/>
                <w:lang w:val="en-IN" w:eastAsia="en-IN" w:bidi="hi-IN"/>
              </w:rPr>
            </w:pPr>
            <w:r w:rsidRPr="003B0112">
              <w:rPr>
                <w:rFonts w:ascii="Garamond" w:eastAsia="Times New Roman" w:hAnsi="Garamond" w:cs="Calibri"/>
                <w:b/>
                <w:bCs/>
                <w:color w:val="000000"/>
                <w:sz w:val="20"/>
                <w:szCs w:val="20"/>
                <w:lang w:val="en-IN" w:eastAsia="en-IN" w:bidi="hi-IN"/>
              </w:rPr>
              <w:t>3-Month</w:t>
            </w:r>
          </w:p>
        </w:tc>
        <w:tc>
          <w:tcPr>
            <w:tcW w:w="962" w:type="dxa"/>
            <w:tcBorders>
              <w:top w:val="nil"/>
              <w:left w:val="nil"/>
              <w:bottom w:val="single" w:sz="8" w:space="0" w:color="auto"/>
              <w:right w:val="single" w:sz="8" w:space="0" w:color="auto"/>
            </w:tcBorders>
            <w:shd w:val="clear" w:color="000000" w:fill="B4C6E7"/>
            <w:noWrap/>
            <w:hideMark/>
          </w:tcPr>
          <w:p w:rsidR="003B453C" w:rsidRPr="003B0112" w:rsidRDefault="003B453C" w:rsidP="003B453C">
            <w:pPr>
              <w:jc w:val="center"/>
              <w:rPr>
                <w:rFonts w:ascii="Garamond" w:eastAsia="Times New Roman" w:hAnsi="Garamond" w:cs="Calibri"/>
                <w:b/>
                <w:bCs/>
                <w:color w:val="000000"/>
                <w:sz w:val="20"/>
                <w:szCs w:val="20"/>
                <w:lang w:val="en-IN" w:eastAsia="en-IN" w:bidi="hi-IN"/>
              </w:rPr>
            </w:pPr>
            <w:r w:rsidRPr="003B0112">
              <w:rPr>
                <w:rFonts w:ascii="Garamond" w:eastAsia="Times New Roman" w:hAnsi="Garamond" w:cs="Calibri"/>
                <w:b/>
                <w:bCs/>
                <w:color w:val="000000"/>
                <w:sz w:val="20"/>
                <w:szCs w:val="20"/>
                <w:lang w:val="en-IN" w:eastAsia="en-IN" w:bidi="hi-IN"/>
              </w:rPr>
              <w:t>6-Month</w:t>
            </w:r>
          </w:p>
        </w:tc>
        <w:tc>
          <w:tcPr>
            <w:tcW w:w="965" w:type="dxa"/>
            <w:tcBorders>
              <w:top w:val="nil"/>
              <w:left w:val="nil"/>
              <w:bottom w:val="single" w:sz="8" w:space="0" w:color="auto"/>
              <w:right w:val="single" w:sz="8" w:space="0" w:color="auto"/>
            </w:tcBorders>
            <w:shd w:val="clear" w:color="000000" w:fill="B4C6E7"/>
            <w:noWrap/>
            <w:hideMark/>
          </w:tcPr>
          <w:p w:rsidR="003B453C" w:rsidRPr="003B0112" w:rsidRDefault="003B453C" w:rsidP="003B453C">
            <w:pPr>
              <w:jc w:val="center"/>
              <w:rPr>
                <w:rFonts w:ascii="Garamond" w:eastAsia="Times New Roman" w:hAnsi="Garamond" w:cs="Calibri"/>
                <w:b/>
                <w:bCs/>
                <w:color w:val="000000"/>
                <w:sz w:val="20"/>
                <w:szCs w:val="20"/>
                <w:lang w:val="en-IN" w:eastAsia="en-IN" w:bidi="hi-IN"/>
              </w:rPr>
            </w:pPr>
            <w:r w:rsidRPr="003B0112">
              <w:rPr>
                <w:rFonts w:ascii="Garamond" w:eastAsia="Times New Roman" w:hAnsi="Garamond" w:cs="Calibri"/>
                <w:b/>
                <w:bCs/>
                <w:color w:val="000000"/>
                <w:sz w:val="20"/>
                <w:szCs w:val="20"/>
                <w:lang w:val="en-IN" w:eastAsia="en-IN" w:bidi="hi-IN"/>
              </w:rPr>
              <w:t>1-Year</w:t>
            </w:r>
          </w:p>
        </w:tc>
      </w:tr>
      <w:tr w:rsidR="003B453C" w:rsidRPr="003B0112" w:rsidTr="003B453C">
        <w:trPr>
          <w:trHeight w:val="265"/>
        </w:trPr>
        <w:tc>
          <w:tcPr>
            <w:tcW w:w="6683" w:type="dxa"/>
            <w:gridSpan w:val="7"/>
            <w:tcBorders>
              <w:top w:val="single" w:sz="8" w:space="0" w:color="auto"/>
              <w:left w:val="single" w:sz="8" w:space="0" w:color="auto"/>
              <w:bottom w:val="single" w:sz="8" w:space="0" w:color="auto"/>
              <w:right w:val="single" w:sz="8" w:space="0" w:color="000000"/>
            </w:tcBorders>
            <w:shd w:val="clear" w:color="000000" w:fill="D9E1F2"/>
            <w:noWrap/>
            <w:hideMark/>
          </w:tcPr>
          <w:p w:rsidR="003B453C" w:rsidRPr="003B0112" w:rsidRDefault="003B453C" w:rsidP="003B453C">
            <w:pPr>
              <w:jc w:val="center"/>
              <w:rPr>
                <w:rFonts w:ascii="Garamond" w:eastAsia="Times New Roman" w:hAnsi="Garamond" w:cs="Calibri"/>
                <w:b/>
                <w:bCs/>
                <w:color w:val="000000"/>
                <w:sz w:val="20"/>
                <w:szCs w:val="20"/>
                <w:lang w:val="en-IN" w:eastAsia="en-IN" w:bidi="hi-IN"/>
              </w:rPr>
            </w:pPr>
            <w:r w:rsidRPr="003B0112">
              <w:rPr>
                <w:rFonts w:ascii="Garamond" w:eastAsia="Times New Roman" w:hAnsi="Garamond" w:cs="Calibri"/>
                <w:b/>
                <w:bCs/>
                <w:color w:val="000000"/>
                <w:sz w:val="20"/>
                <w:szCs w:val="20"/>
                <w:lang w:val="en-IN" w:eastAsia="en-IN" w:bidi="hi-IN"/>
              </w:rPr>
              <w:t>BRIC Nations</w:t>
            </w:r>
          </w:p>
        </w:tc>
      </w:tr>
      <w:tr w:rsidR="003B453C" w:rsidRPr="003B0112" w:rsidTr="003B453C">
        <w:trPr>
          <w:gridAfter w:val="1"/>
          <w:wAfter w:w="11" w:type="dxa"/>
          <w:trHeight w:val="252"/>
        </w:trPr>
        <w:tc>
          <w:tcPr>
            <w:tcW w:w="1083" w:type="dxa"/>
            <w:tcBorders>
              <w:top w:val="nil"/>
              <w:left w:val="single" w:sz="8" w:space="0" w:color="auto"/>
              <w:bottom w:val="nil"/>
              <w:right w:val="single" w:sz="8" w:space="0" w:color="auto"/>
            </w:tcBorders>
            <w:shd w:val="clear" w:color="000000" w:fill="D9E1F2"/>
            <w:noWrap/>
            <w:hideMark/>
          </w:tcPr>
          <w:p w:rsidR="003B453C" w:rsidRPr="003B0112" w:rsidRDefault="003B453C" w:rsidP="003B453C">
            <w:pPr>
              <w:rPr>
                <w:rFonts w:ascii="Garamond" w:eastAsia="Times New Roman" w:hAnsi="Garamond" w:cs="Calibri"/>
                <w:color w:val="000000"/>
                <w:sz w:val="20"/>
                <w:szCs w:val="20"/>
                <w:lang w:val="en-IN" w:eastAsia="en-IN" w:bidi="hi-IN"/>
              </w:rPr>
            </w:pPr>
            <w:r w:rsidRPr="003B0112">
              <w:rPr>
                <w:rFonts w:ascii="Garamond" w:eastAsia="Times New Roman" w:hAnsi="Garamond" w:cs="Calibri"/>
                <w:color w:val="000000"/>
                <w:sz w:val="20"/>
                <w:szCs w:val="20"/>
                <w:lang w:val="en-IN" w:eastAsia="en-IN" w:bidi="hi-IN"/>
              </w:rPr>
              <w:t>Brazil</w:t>
            </w:r>
          </w:p>
        </w:tc>
        <w:tc>
          <w:tcPr>
            <w:tcW w:w="1323" w:type="dxa"/>
            <w:tcBorders>
              <w:top w:val="nil"/>
              <w:left w:val="nil"/>
              <w:bottom w:val="nil"/>
              <w:right w:val="single" w:sz="8" w:space="0" w:color="auto"/>
            </w:tcBorders>
            <w:shd w:val="clear" w:color="000000" w:fill="9BC2E6"/>
            <w:noWrap/>
            <w:hideMark/>
          </w:tcPr>
          <w:p w:rsidR="003B453C" w:rsidRPr="003B0112" w:rsidRDefault="003B453C" w:rsidP="003B453C">
            <w:pPr>
              <w:ind w:firstLineChars="100" w:firstLine="201"/>
              <w:jc w:val="right"/>
              <w:rPr>
                <w:rFonts w:ascii="Garamond" w:hAnsi="Garamond" w:cs="Calibri"/>
                <w:b/>
                <w:bCs/>
                <w:sz w:val="20"/>
                <w:szCs w:val="20"/>
                <w:lang w:val="en-IN" w:eastAsia="en-IN" w:bidi="hi-IN"/>
              </w:rPr>
            </w:pPr>
            <w:r w:rsidRPr="003B0112">
              <w:rPr>
                <w:rFonts w:ascii="Garamond" w:hAnsi="Garamond" w:cs="Calibri"/>
                <w:b/>
                <w:bCs/>
                <w:sz w:val="20"/>
                <w:szCs w:val="20"/>
              </w:rPr>
              <w:t>12.2</w:t>
            </w:r>
          </w:p>
        </w:tc>
        <w:tc>
          <w:tcPr>
            <w:tcW w:w="1377"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11.2</w:t>
            </w:r>
          </w:p>
        </w:tc>
        <w:tc>
          <w:tcPr>
            <w:tcW w:w="962"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9.1</w:t>
            </w:r>
          </w:p>
        </w:tc>
        <w:tc>
          <w:tcPr>
            <w:tcW w:w="962"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9.1</w:t>
            </w:r>
          </w:p>
        </w:tc>
        <w:tc>
          <w:tcPr>
            <w:tcW w:w="965"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7.6</w:t>
            </w:r>
          </w:p>
        </w:tc>
      </w:tr>
      <w:tr w:rsidR="003B453C" w:rsidRPr="003B0112" w:rsidTr="003B453C">
        <w:trPr>
          <w:gridAfter w:val="1"/>
          <w:wAfter w:w="11" w:type="dxa"/>
          <w:trHeight w:val="252"/>
        </w:trPr>
        <w:tc>
          <w:tcPr>
            <w:tcW w:w="1083" w:type="dxa"/>
            <w:tcBorders>
              <w:top w:val="nil"/>
              <w:left w:val="single" w:sz="8" w:space="0" w:color="auto"/>
              <w:bottom w:val="nil"/>
              <w:right w:val="single" w:sz="8" w:space="0" w:color="auto"/>
            </w:tcBorders>
            <w:shd w:val="clear" w:color="000000" w:fill="D9E1F2"/>
            <w:noWrap/>
            <w:hideMark/>
          </w:tcPr>
          <w:p w:rsidR="003B453C" w:rsidRPr="003B0112" w:rsidRDefault="003B453C" w:rsidP="003B453C">
            <w:pPr>
              <w:rPr>
                <w:rFonts w:ascii="Garamond" w:eastAsia="Times New Roman" w:hAnsi="Garamond" w:cs="Calibri"/>
                <w:color w:val="000000"/>
                <w:sz w:val="20"/>
                <w:szCs w:val="20"/>
                <w:lang w:val="en-IN" w:eastAsia="en-IN" w:bidi="hi-IN"/>
              </w:rPr>
            </w:pPr>
            <w:r w:rsidRPr="003B0112">
              <w:rPr>
                <w:rFonts w:ascii="Garamond" w:eastAsia="Times New Roman" w:hAnsi="Garamond" w:cs="Calibri"/>
                <w:color w:val="000000"/>
                <w:sz w:val="20"/>
                <w:szCs w:val="20"/>
                <w:lang w:val="en-IN" w:eastAsia="en-IN" w:bidi="hi-IN"/>
              </w:rPr>
              <w:t>Russia</w:t>
            </w:r>
          </w:p>
        </w:tc>
        <w:tc>
          <w:tcPr>
            <w:tcW w:w="1323" w:type="dxa"/>
            <w:tcBorders>
              <w:top w:val="nil"/>
              <w:left w:val="nil"/>
              <w:bottom w:val="nil"/>
              <w:right w:val="single" w:sz="8" w:space="0" w:color="auto"/>
            </w:tcBorders>
            <w:shd w:val="clear" w:color="000000" w:fill="9BC2E6"/>
            <w:noWrap/>
            <w:hideMark/>
          </w:tcPr>
          <w:p w:rsidR="003B453C" w:rsidRPr="003B0112" w:rsidRDefault="003B453C" w:rsidP="003B453C">
            <w:pPr>
              <w:ind w:firstLineChars="100" w:firstLine="201"/>
              <w:jc w:val="right"/>
              <w:rPr>
                <w:rFonts w:ascii="Garamond" w:hAnsi="Garamond" w:cs="Calibri"/>
                <w:b/>
                <w:bCs/>
                <w:sz w:val="20"/>
                <w:szCs w:val="20"/>
              </w:rPr>
            </w:pPr>
            <w:r w:rsidRPr="003B0112">
              <w:rPr>
                <w:rFonts w:ascii="Garamond" w:hAnsi="Garamond" w:cs="Calibri"/>
                <w:b/>
                <w:bCs/>
                <w:sz w:val="20"/>
                <w:szCs w:val="20"/>
              </w:rPr>
              <w:t>8.2</w:t>
            </w:r>
          </w:p>
        </w:tc>
        <w:tc>
          <w:tcPr>
            <w:tcW w:w="1377"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7.3</w:t>
            </w:r>
          </w:p>
        </w:tc>
        <w:tc>
          <w:tcPr>
            <w:tcW w:w="962"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6.9</w:t>
            </w:r>
          </w:p>
        </w:tc>
        <w:tc>
          <w:tcPr>
            <w:tcW w:w="962"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7.1</w:t>
            </w:r>
          </w:p>
        </w:tc>
        <w:tc>
          <w:tcPr>
            <w:tcW w:w="965"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6.2</w:t>
            </w:r>
          </w:p>
        </w:tc>
      </w:tr>
      <w:tr w:rsidR="003B453C" w:rsidRPr="003B0112" w:rsidTr="003B453C">
        <w:trPr>
          <w:gridAfter w:val="1"/>
          <w:wAfter w:w="11" w:type="dxa"/>
          <w:trHeight w:val="252"/>
        </w:trPr>
        <w:tc>
          <w:tcPr>
            <w:tcW w:w="1083" w:type="dxa"/>
            <w:tcBorders>
              <w:top w:val="nil"/>
              <w:left w:val="single" w:sz="8" w:space="0" w:color="auto"/>
              <w:bottom w:val="nil"/>
              <w:right w:val="single" w:sz="8" w:space="0" w:color="auto"/>
            </w:tcBorders>
            <w:shd w:val="clear" w:color="000000" w:fill="D9E1F2"/>
            <w:noWrap/>
            <w:hideMark/>
          </w:tcPr>
          <w:p w:rsidR="003B453C" w:rsidRPr="003B0112" w:rsidRDefault="003B453C" w:rsidP="003B453C">
            <w:pPr>
              <w:rPr>
                <w:rFonts w:ascii="Garamond" w:eastAsia="Times New Roman" w:hAnsi="Garamond" w:cs="Calibri"/>
                <w:color w:val="000000"/>
                <w:sz w:val="20"/>
                <w:szCs w:val="20"/>
                <w:lang w:val="en-IN" w:eastAsia="en-IN" w:bidi="hi-IN"/>
              </w:rPr>
            </w:pPr>
            <w:r w:rsidRPr="003B0112">
              <w:rPr>
                <w:rFonts w:ascii="Garamond" w:eastAsia="Times New Roman" w:hAnsi="Garamond" w:cs="Calibri"/>
                <w:color w:val="000000"/>
                <w:sz w:val="20"/>
                <w:szCs w:val="20"/>
                <w:lang w:val="en-IN" w:eastAsia="en-IN" w:bidi="hi-IN"/>
              </w:rPr>
              <w:t>India</w:t>
            </w:r>
          </w:p>
        </w:tc>
        <w:tc>
          <w:tcPr>
            <w:tcW w:w="1323" w:type="dxa"/>
            <w:tcBorders>
              <w:top w:val="nil"/>
              <w:left w:val="nil"/>
              <w:bottom w:val="nil"/>
              <w:right w:val="single" w:sz="8" w:space="0" w:color="auto"/>
            </w:tcBorders>
            <w:shd w:val="clear" w:color="000000" w:fill="9BC2E6"/>
            <w:noWrap/>
            <w:hideMark/>
          </w:tcPr>
          <w:p w:rsidR="003B453C" w:rsidRPr="003B0112" w:rsidRDefault="003B453C" w:rsidP="003B453C">
            <w:pPr>
              <w:ind w:firstLineChars="100" w:firstLine="201"/>
              <w:jc w:val="right"/>
              <w:rPr>
                <w:rFonts w:ascii="Garamond" w:hAnsi="Garamond" w:cs="Calibri"/>
                <w:b/>
                <w:bCs/>
                <w:sz w:val="20"/>
                <w:szCs w:val="20"/>
              </w:rPr>
            </w:pPr>
            <w:r w:rsidRPr="003B0112">
              <w:rPr>
                <w:rFonts w:ascii="Garamond" w:hAnsi="Garamond" w:cs="Calibri"/>
                <w:b/>
                <w:bCs/>
                <w:sz w:val="20"/>
                <w:szCs w:val="20"/>
              </w:rPr>
              <w:t>6.4</w:t>
            </w:r>
          </w:p>
        </w:tc>
        <w:tc>
          <w:tcPr>
            <w:tcW w:w="1377"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6.2</w:t>
            </w:r>
          </w:p>
        </w:tc>
        <w:tc>
          <w:tcPr>
            <w:tcW w:w="962"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6.2</w:t>
            </w:r>
          </w:p>
        </w:tc>
        <w:tc>
          <w:tcPr>
            <w:tcW w:w="962"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6.0</w:t>
            </w:r>
          </w:p>
        </w:tc>
        <w:tc>
          <w:tcPr>
            <w:tcW w:w="965"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5.9</w:t>
            </w:r>
          </w:p>
        </w:tc>
      </w:tr>
      <w:tr w:rsidR="003B453C" w:rsidRPr="003B0112" w:rsidTr="003B453C">
        <w:trPr>
          <w:gridAfter w:val="1"/>
          <w:wAfter w:w="11" w:type="dxa"/>
          <w:trHeight w:val="265"/>
        </w:trPr>
        <w:tc>
          <w:tcPr>
            <w:tcW w:w="1083" w:type="dxa"/>
            <w:tcBorders>
              <w:top w:val="nil"/>
              <w:left w:val="single" w:sz="8" w:space="0" w:color="auto"/>
              <w:bottom w:val="single" w:sz="8" w:space="0" w:color="auto"/>
              <w:right w:val="single" w:sz="8" w:space="0" w:color="auto"/>
            </w:tcBorders>
            <w:shd w:val="clear" w:color="000000" w:fill="D9E1F2"/>
            <w:noWrap/>
            <w:hideMark/>
          </w:tcPr>
          <w:p w:rsidR="003B453C" w:rsidRPr="003B0112" w:rsidRDefault="003B453C" w:rsidP="003B453C">
            <w:pPr>
              <w:rPr>
                <w:rFonts w:ascii="Garamond" w:eastAsia="Times New Roman" w:hAnsi="Garamond" w:cs="Calibri"/>
                <w:color w:val="000000"/>
                <w:sz w:val="20"/>
                <w:szCs w:val="20"/>
                <w:lang w:val="en-IN" w:eastAsia="en-IN" w:bidi="hi-IN"/>
              </w:rPr>
            </w:pPr>
            <w:r w:rsidRPr="003B0112">
              <w:rPr>
                <w:rFonts w:ascii="Garamond" w:eastAsia="Times New Roman" w:hAnsi="Garamond" w:cs="Calibri"/>
                <w:color w:val="000000"/>
                <w:sz w:val="20"/>
                <w:szCs w:val="20"/>
                <w:lang w:val="en-IN" w:eastAsia="en-IN" w:bidi="hi-IN"/>
              </w:rPr>
              <w:t>China</w:t>
            </w:r>
          </w:p>
        </w:tc>
        <w:tc>
          <w:tcPr>
            <w:tcW w:w="1323" w:type="dxa"/>
            <w:tcBorders>
              <w:top w:val="nil"/>
              <w:left w:val="nil"/>
              <w:bottom w:val="nil"/>
              <w:right w:val="single" w:sz="8" w:space="0" w:color="auto"/>
            </w:tcBorders>
            <w:shd w:val="clear" w:color="000000" w:fill="9BC2E6"/>
            <w:noWrap/>
            <w:hideMark/>
          </w:tcPr>
          <w:p w:rsidR="003B453C" w:rsidRPr="003B0112" w:rsidRDefault="003B453C" w:rsidP="003B453C">
            <w:pPr>
              <w:ind w:firstLineChars="100" w:firstLine="201"/>
              <w:jc w:val="right"/>
              <w:rPr>
                <w:rFonts w:ascii="Garamond" w:hAnsi="Garamond" w:cs="Calibri"/>
                <w:b/>
                <w:bCs/>
                <w:sz w:val="20"/>
                <w:szCs w:val="20"/>
              </w:rPr>
            </w:pPr>
            <w:r w:rsidRPr="003B0112">
              <w:rPr>
                <w:rFonts w:ascii="Garamond" w:hAnsi="Garamond" w:cs="Calibri"/>
                <w:b/>
                <w:bCs/>
                <w:sz w:val="20"/>
                <w:szCs w:val="20"/>
              </w:rPr>
              <w:t>3.0</w:t>
            </w:r>
          </w:p>
        </w:tc>
        <w:tc>
          <w:tcPr>
            <w:tcW w:w="1377"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2.9</w:t>
            </w:r>
          </w:p>
        </w:tc>
        <w:tc>
          <w:tcPr>
            <w:tcW w:w="962"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2.8</w:t>
            </w:r>
          </w:p>
        </w:tc>
        <w:tc>
          <w:tcPr>
            <w:tcW w:w="962"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3.2</w:t>
            </w:r>
          </w:p>
        </w:tc>
        <w:tc>
          <w:tcPr>
            <w:tcW w:w="965"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3.2</w:t>
            </w:r>
          </w:p>
        </w:tc>
      </w:tr>
      <w:tr w:rsidR="003B453C" w:rsidRPr="003B0112" w:rsidTr="003B453C">
        <w:trPr>
          <w:trHeight w:val="265"/>
        </w:trPr>
        <w:tc>
          <w:tcPr>
            <w:tcW w:w="6683" w:type="dxa"/>
            <w:gridSpan w:val="7"/>
            <w:tcBorders>
              <w:top w:val="single" w:sz="8" w:space="0" w:color="auto"/>
              <w:left w:val="single" w:sz="8" w:space="0" w:color="auto"/>
              <w:bottom w:val="single" w:sz="8" w:space="0" w:color="auto"/>
              <w:right w:val="single" w:sz="8" w:space="0" w:color="000000"/>
            </w:tcBorders>
            <w:shd w:val="clear" w:color="000000" w:fill="D9E1F2"/>
            <w:hideMark/>
          </w:tcPr>
          <w:p w:rsidR="003B453C" w:rsidRPr="003B0112" w:rsidRDefault="003B453C" w:rsidP="003B453C">
            <w:pPr>
              <w:jc w:val="center"/>
              <w:rPr>
                <w:rFonts w:ascii="Garamond" w:eastAsia="Times New Roman" w:hAnsi="Garamond" w:cs="Calibri"/>
                <w:b/>
                <w:bCs/>
                <w:color w:val="000000"/>
                <w:sz w:val="20"/>
                <w:szCs w:val="20"/>
                <w:lang w:val="en-IN" w:eastAsia="en-IN" w:bidi="hi-IN"/>
              </w:rPr>
            </w:pPr>
            <w:r w:rsidRPr="003B0112">
              <w:rPr>
                <w:rFonts w:ascii="Garamond" w:eastAsia="Times New Roman" w:hAnsi="Garamond" w:cs="Calibri"/>
                <w:b/>
                <w:bCs/>
                <w:color w:val="000000"/>
                <w:sz w:val="20"/>
                <w:szCs w:val="20"/>
                <w:lang w:val="en-IN" w:eastAsia="en-IN" w:bidi="hi-IN"/>
              </w:rPr>
              <w:t>Developed Markets</w:t>
            </w:r>
          </w:p>
        </w:tc>
      </w:tr>
      <w:tr w:rsidR="003B453C" w:rsidRPr="003B0112" w:rsidTr="003B453C">
        <w:trPr>
          <w:gridAfter w:val="1"/>
          <w:wAfter w:w="11" w:type="dxa"/>
          <w:trHeight w:val="252"/>
        </w:trPr>
        <w:tc>
          <w:tcPr>
            <w:tcW w:w="1083" w:type="dxa"/>
            <w:tcBorders>
              <w:top w:val="nil"/>
              <w:left w:val="single" w:sz="8" w:space="0" w:color="auto"/>
              <w:bottom w:val="nil"/>
              <w:right w:val="single" w:sz="8" w:space="0" w:color="auto"/>
            </w:tcBorders>
            <w:shd w:val="clear" w:color="000000" w:fill="D9E1F2"/>
            <w:noWrap/>
            <w:hideMark/>
          </w:tcPr>
          <w:p w:rsidR="003B453C" w:rsidRPr="003B0112" w:rsidRDefault="003B453C" w:rsidP="003B453C">
            <w:pPr>
              <w:rPr>
                <w:rFonts w:ascii="Garamond" w:eastAsia="Times New Roman" w:hAnsi="Garamond" w:cs="Calibri"/>
                <w:color w:val="000000"/>
                <w:sz w:val="20"/>
                <w:szCs w:val="20"/>
                <w:lang w:val="en-IN" w:eastAsia="en-IN" w:bidi="hi-IN"/>
              </w:rPr>
            </w:pPr>
            <w:r w:rsidRPr="003B0112">
              <w:rPr>
                <w:rFonts w:ascii="Garamond" w:eastAsia="Times New Roman" w:hAnsi="Garamond" w:cs="Calibri"/>
                <w:color w:val="000000"/>
                <w:sz w:val="20"/>
                <w:szCs w:val="20"/>
                <w:lang w:val="en-IN" w:eastAsia="en-IN" w:bidi="hi-IN"/>
              </w:rPr>
              <w:t>USA</w:t>
            </w:r>
          </w:p>
        </w:tc>
        <w:tc>
          <w:tcPr>
            <w:tcW w:w="1323" w:type="dxa"/>
            <w:tcBorders>
              <w:top w:val="nil"/>
              <w:left w:val="nil"/>
              <w:bottom w:val="nil"/>
              <w:right w:val="single" w:sz="8" w:space="0" w:color="auto"/>
            </w:tcBorders>
            <w:shd w:val="clear" w:color="000000" w:fill="9BC2E6"/>
            <w:noWrap/>
            <w:hideMark/>
          </w:tcPr>
          <w:p w:rsidR="003B453C" w:rsidRPr="003B0112" w:rsidRDefault="003B453C" w:rsidP="003B453C">
            <w:pPr>
              <w:ind w:firstLineChars="100" w:firstLine="201"/>
              <w:jc w:val="right"/>
              <w:rPr>
                <w:rFonts w:ascii="Garamond" w:hAnsi="Garamond" w:cs="Calibri"/>
                <w:b/>
                <w:bCs/>
                <w:sz w:val="20"/>
                <w:szCs w:val="20"/>
                <w:lang w:val="en-IN" w:eastAsia="en-IN" w:bidi="hi-IN"/>
              </w:rPr>
            </w:pPr>
            <w:r w:rsidRPr="003B0112">
              <w:rPr>
                <w:rFonts w:ascii="Garamond" w:hAnsi="Garamond" w:cs="Calibri"/>
                <w:b/>
                <w:bCs/>
                <w:sz w:val="20"/>
                <w:szCs w:val="20"/>
              </w:rPr>
              <w:t>1.6</w:t>
            </w:r>
          </w:p>
        </w:tc>
        <w:tc>
          <w:tcPr>
            <w:tcW w:w="1377"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1.5</w:t>
            </w:r>
          </w:p>
        </w:tc>
        <w:tc>
          <w:tcPr>
            <w:tcW w:w="962"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1.2</w:t>
            </w:r>
          </w:p>
        </w:tc>
        <w:tc>
          <w:tcPr>
            <w:tcW w:w="962"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1.6</w:t>
            </w:r>
          </w:p>
        </w:tc>
        <w:tc>
          <w:tcPr>
            <w:tcW w:w="965"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0.9</w:t>
            </w:r>
          </w:p>
        </w:tc>
      </w:tr>
      <w:tr w:rsidR="003B453C" w:rsidRPr="003B0112" w:rsidTr="003B453C">
        <w:trPr>
          <w:gridAfter w:val="1"/>
          <w:wAfter w:w="11" w:type="dxa"/>
          <w:trHeight w:val="252"/>
        </w:trPr>
        <w:tc>
          <w:tcPr>
            <w:tcW w:w="1083" w:type="dxa"/>
            <w:tcBorders>
              <w:top w:val="nil"/>
              <w:left w:val="single" w:sz="8" w:space="0" w:color="auto"/>
              <w:bottom w:val="nil"/>
              <w:right w:val="single" w:sz="8" w:space="0" w:color="auto"/>
            </w:tcBorders>
            <w:shd w:val="clear" w:color="000000" w:fill="D9E1F2"/>
            <w:noWrap/>
            <w:hideMark/>
          </w:tcPr>
          <w:p w:rsidR="003B453C" w:rsidRPr="003B0112" w:rsidRDefault="003B453C" w:rsidP="003B453C">
            <w:pPr>
              <w:rPr>
                <w:rFonts w:ascii="Garamond" w:eastAsia="Times New Roman" w:hAnsi="Garamond" w:cs="Calibri"/>
                <w:color w:val="000000"/>
                <w:sz w:val="20"/>
                <w:szCs w:val="20"/>
                <w:lang w:val="en-IN" w:eastAsia="en-IN" w:bidi="hi-IN"/>
              </w:rPr>
            </w:pPr>
            <w:r w:rsidRPr="003B0112">
              <w:rPr>
                <w:rFonts w:ascii="Garamond" w:eastAsia="Times New Roman" w:hAnsi="Garamond" w:cs="Calibri"/>
                <w:color w:val="000000"/>
                <w:sz w:val="20"/>
                <w:szCs w:val="20"/>
                <w:lang w:val="en-IN" w:eastAsia="en-IN" w:bidi="hi-IN"/>
              </w:rPr>
              <w:t>UK</w:t>
            </w:r>
          </w:p>
        </w:tc>
        <w:tc>
          <w:tcPr>
            <w:tcW w:w="1323" w:type="dxa"/>
            <w:tcBorders>
              <w:top w:val="nil"/>
              <w:left w:val="nil"/>
              <w:bottom w:val="nil"/>
              <w:right w:val="single" w:sz="8" w:space="0" w:color="auto"/>
            </w:tcBorders>
            <w:shd w:val="clear" w:color="000000" w:fill="9BC2E6"/>
            <w:noWrap/>
            <w:hideMark/>
          </w:tcPr>
          <w:p w:rsidR="003B453C" w:rsidRPr="003B0112" w:rsidRDefault="003B453C" w:rsidP="003B453C">
            <w:pPr>
              <w:ind w:firstLineChars="100" w:firstLine="201"/>
              <w:jc w:val="right"/>
              <w:rPr>
                <w:rFonts w:ascii="Garamond" w:hAnsi="Garamond" w:cs="Calibri"/>
                <w:b/>
                <w:bCs/>
                <w:sz w:val="20"/>
                <w:szCs w:val="20"/>
              </w:rPr>
            </w:pPr>
            <w:r w:rsidRPr="003B0112">
              <w:rPr>
                <w:rFonts w:ascii="Garamond" w:hAnsi="Garamond" w:cs="Calibri"/>
                <w:b/>
                <w:bCs/>
                <w:sz w:val="20"/>
                <w:szCs w:val="20"/>
              </w:rPr>
              <w:t>1.0</w:t>
            </w:r>
          </w:p>
        </w:tc>
        <w:tc>
          <w:tcPr>
            <w:tcW w:w="1377"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1.0</w:t>
            </w:r>
          </w:p>
        </w:tc>
        <w:tc>
          <w:tcPr>
            <w:tcW w:w="962"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0.6</w:t>
            </w:r>
          </w:p>
        </w:tc>
        <w:tc>
          <w:tcPr>
            <w:tcW w:w="962"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0.8</w:t>
            </w:r>
          </w:p>
        </w:tc>
        <w:tc>
          <w:tcPr>
            <w:tcW w:w="965"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0.3</w:t>
            </w:r>
          </w:p>
        </w:tc>
      </w:tr>
      <w:tr w:rsidR="003B453C" w:rsidRPr="003B0112" w:rsidTr="003B453C">
        <w:trPr>
          <w:gridAfter w:val="1"/>
          <w:wAfter w:w="11" w:type="dxa"/>
          <w:trHeight w:val="252"/>
        </w:trPr>
        <w:tc>
          <w:tcPr>
            <w:tcW w:w="1083" w:type="dxa"/>
            <w:tcBorders>
              <w:top w:val="nil"/>
              <w:left w:val="single" w:sz="8" w:space="0" w:color="auto"/>
              <w:bottom w:val="nil"/>
              <w:right w:val="single" w:sz="8" w:space="0" w:color="auto"/>
            </w:tcBorders>
            <w:shd w:val="clear" w:color="000000" w:fill="D9E1F2"/>
            <w:noWrap/>
            <w:hideMark/>
          </w:tcPr>
          <w:p w:rsidR="003B453C" w:rsidRPr="003B0112" w:rsidRDefault="003B453C" w:rsidP="003B453C">
            <w:pPr>
              <w:rPr>
                <w:rFonts w:ascii="Garamond" w:eastAsia="Times New Roman" w:hAnsi="Garamond" w:cs="Calibri"/>
                <w:color w:val="000000"/>
                <w:sz w:val="20"/>
                <w:szCs w:val="20"/>
                <w:lang w:val="en-IN" w:eastAsia="en-IN" w:bidi="hi-IN"/>
              </w:rPr>
            </w:pPr>
            <w:r w:rsidRPr="003B0112">
              <w:rPr>
                <w:rFonts w:ascii="Garamond" w:eastAsia="Times New Roman" w:hAnsi="Garamond" w:cs="Calibri"/>
                <w:color w:val="000000"/>
                <w:sz w:val="20"/>
                <w:szCs w:val="20"/>
                <w:lang w:val="en-IN" w:eastAsia="en-IN" w:bidi="hi-IN"/>
              </w:rPr>
              <w:t>Germany</w:t>
            </w:r>
          </w:p>
        </w:tc>
        <w:tc>
          <w:tcPr>
            <w:tcW w:w="1323" w:type="dxa"/>
            <w:tcBorders>
              <w:top w:val="nil"/>
              <w:left w:val="nil"/>
              <w:bottom w:val="nil"/>
              <w:right w:val="single" w:sz="8" w:space="0" w:color="auto"/>
            </w:tcBorders>
            <w:shd w:val="clear" w:color="000000" w:fill="9BC2E6"/>
            <w:noWrap/>
            <w:hideMark/>
          </w:tcPr>
          <w:p w:rsidR="003B453C" w:rsidRPr="003B0112" w:rsidRDefault="003B453C" w:rsidP="003B453C">
            <w:pPr>
              <w:ind w:firstLineChars="100" w:firstLine="201"/>
              <w:jc w:val="right"/>
              <w:rPr>
                <w:rFonts w:ascii="Garamond" w:hAnsi="Garamond" w:cs="Calibri"/>
                <w:b/>
                <w:bCs/>
                <w:sz w:val="20"/>
                <w:szCs w:val="20"/>
              </w:rPr>
            </w:pPr>
            <w:r w:rsidRPr="003B0112">
              <w:rPr>
                <w:rFonts w:ascii="Garamond" w:hAnsi="Garamond" w:cs="Calibri"/>
                <w:b/>
                <w:bCs/>
                <w:sz w:val="20"/>
                <w:szCs w:val="20"/>
              </w:rPr>
              <w:t>-0.1</w:t>
            </w:r>
          </w:p>
        </w:tc>
        <w:tc>
          <w:tcPr>
            <w:tcW w:w="1377"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-0.2</w:t>
            </w:r>
          </w:p>
        </w:tc>
        <w:tc>
          <w:tcPr>
            <w:tcW w:w="962"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-0.5</w:t>
            </w:r>
          </w:p>
        </w:tc>
        <w:tc>
          <w:tcPr>
            <w:tcW w:w="962"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-0.2</w:t>
            </w:r>
          </w:p>
        </w:tc>
        <w:tc>
          <w:tcPr>
            <w:tcW w:w="965"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-0.6</w:t>
            </w:r>
          </w:p>
        </w:tc>
      </w:tr>
      <w:tr w:rsidR="003B453C" w:rsidRPr="003B0112" w:rsidTr="003B453C">
        <w:trPr>
          <w:gridAfter w:val="1"/>
          <w:wAfter w:w="11" w:type="dxa"/>
          <w:trHeight w:val="252"/>
        </w:trPr>
        <w:tc>
          <w:tcPr>
            <w:tcW w:w="1083" w:type="dxa"/>
            <w:tcBorders>
              <w:top w:val="nil"/>
              <w:left w:val="single" w:sz="8" w:space="0" w:color="auto"/>
              <w:bottom w:val="nil"/>
              <w:right w:val="single" w:sz="8" w:space="0" w:color="auto"/>
            </w:tcBorders>
            <w:shd w:val="clear" w:color="000000" w:fill="D9E1F2"/>
            <w:noWrap/>
            <w:hideMark/>
          </w:tcPr>
          <w:p w:rsidR="003B453C" w:rsidRPr="003B0112" w:rsidRDefault="003B453C" w:rsidP="003B453C">
            <w:pPr>
              <w:rPr>
                <w:rFonts w:ascii="Garamond" w:eastAsia="Times New Roman" w:hAnsi="Garamond" w:cs="Calibri"/>
                <w:color w:val="000000"/>
                <w:sz w:val="20"/>
                <w:szCs w:val="20"/>
                <w:lang w:val="en-IN" w:eastAsia="en-IN" w:bidi="hi-IN"/>
              </w:rPr>
            </w:pPr>
            <w:r w:rsidRPr="003B0112">
              <w:rPr>
                <w:rFonts w:ascii="Garamond" w:eastAsia="Times New Roman" w:hAnsi="Garamond" w:cs="Calibri"/>
                <w:color w:val="000000"/>
                <w:sz w:val="20"/>
                <w:szCs w:val="20"/>
                <w:lang w:val="en-IN" w:eastAsia="en-IN" w:bidi="hi-IN"/>
              </w:rPr>
              <w:t>Spain</w:t>
            </w:r>
          </w:p>
        </w:tc>
        <w:tc>
          <w:tcPr>
            <w:tcW w:w="1323" w:type="dxa"/>
            <w:tcBorders>
              <w:top w:val="nil"/>
              <w:left w:val="nil"/>
              <w:bottom w:val="nil"/>
              <w:right w:val="single" w:sz="8" w:space="0" w:color="auto"/>
            </w:tcBorders>
            <w:shd w:val="clear" w:color="000000" w:fill="9BC2E6"/>
            <w:noWrap/>
            <w:hideMark/>
          </w:tcPr>
          <w:p w:rsidR="003B453C" w:rsidRPr="003B0112" w:rsidRDefault="003B453C" w:rsidP="003B453C">
            <w:pPr>
              <w:ind w:firstLineChars="100" w:firstLine="201"/>
              <w:jc w:val="right"/>
              <w:rPr>
                <w:rFonts w:ascii="Garamond" w:hAnsi="Garamond" w:cs="Calibri"/>
                <w:b/>
                <w:bCs/>
                <w:sz w:val="20"/>
                <w:szCs w:val="20"/>
              </w:rPr>
            </w:pPr>
            <w:r w:rsidRPr="003B0112">
              <w:rPr>
                <w:rFonts w:ascii="Garamond" w:hAnsi="Garamond" w:cs="Calibri"/>
                <w:b/>
                <w:bCs/>
                <w:sz w:val="20"/>
                <w:szCs w:val="20"/>
              </w:rPr>
              <w:t>0.6</w:t>
            </w:r>
          </w:p>
        </w:tc>
        <w:tc>
          <w:tcPr>
            <w:tcW w:w="1377"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0.5</w:t>
            </w:r>
          </w:p>
        </w:tc>
        <w:tc>
          <w:tcPr>
            <w:tcW w:w="962"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0.3</w:t>
            </w:r>
          </w:p>
        </w:tc>
        <w:tc>
          <w:tcPr>
            <w:tcW w:w="962"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0.5</w:t>
            </w:r>
          </w:p>
        </w:tc>
        <w:tc>
          <w:tcPr>
            <w:tcW w:w="965"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0.1</w:t>
            </w:r>
          </w:p>
        </w:tc>
      </w:tr>
      <w:tr w:rsidR="003B453C" w:rsidRPr="003B0112" w:rsidTr="003B453C">
        <w:trPr>
          <w:gridAfter w:val="1"/>
          <w:wAfter w:w="11" w:type="dxa"/>
          <w:trHeight w:val="265"/>
        </w:trPr>
        <w:tc>
          <w:tcPr>
            <w:tcW w:w="1083" w:type="dxa"/>
            <w:tcBorders>
              <w:top w:val="nil"/>
              <w:left w:val="single" w:sz="8" w:space="0" w:color="auto"/>
              <w:bottom w:val="single" w:sz="8" w:space="0" w:color="auto"/>
              <w:right w:val="single" w:sz="8" w:space="0" w:color="auto"/>
            </w:tcBorders>
            <w:shd w:val="clear" w:color="000000" w:fill="D9E1F2"/>
            <w:noWrap/>
            <w:hideMark/>
          </w:tcPr>
          <w:p w:rsidR="003B453C" w:rsidRPr="003B0112" w:rsidRDefault="003B453C" w:rsidP="003B453C">
            <w:pPr>
              <w:rPr>
                <w:rFonts w:ascii="Garamond" w:eastAsia="Times New Roman" w:hAnsi="Garamond" w:cs="Calibri"/>
                <w:color w:val="000000"/>
                <w:sz w:val="20"/>
                <w:szCs w:val="20"/>
                <w:lang w:val="en-IN" w:eastAsia="en-IN" w:bidi="hi-IN"/>
              </w:rPr>
            </w:pPr>
            <w:r w:rsidRPr="003B0112">
              <w:rPr>
                <w:rFonts w:ascii="Garamond" w:eastAsia="Times New Roman" w:hAnsi="Garamond" w:cs="Calibri"/>
                <w:color w:val="000000"/>
                <w:sz w:val="20"/>
                <w:szCs w:val="20"/>
                <w:lang w:val="en-IN" w:eastAsia="en-IN" w:bidi="hi-IN"/>
              </w:rPr>
              <w:t>Japan</w:t>
            </w:r>
          </w:p>
        </w:tc>
        <w:tc>
          <w:tcPr>
            <w:tcW w:w="1323" w:type="dxa"/>
            <w:tcBorders>
              <w:top w:val="nil"/>
              <w:left w:val="nil"/>
              <w:bottom w:val="single" w:sz="8" w:space="0" w:color="auto"/>
              <w:right w:val="single" w:sz="8" w:space="0" w:color="auto"/>
            </w:tcBorders>
            <w:shd w:val="clear" w:color="000000" w:fill="9BC2E6"/>
            <w:noWrap/>
            <w:hideMark/>
          </w:tcPr>
          <w:p w:rsidR="003B453C" w:rsidRPr="003B0112" w:rsidRDefault="003B453C" w:rsidP="003B453C">
            <w:pPr>
              <w:ind w:firstLineChars="100" w:firstLine="201"/>
              <w:jc w:val="right"/>
              <w:rPr>
                <w:rFonts w:ascii="Garamond" w:hAnsi="Garamond" w:cs="Calibri"/>
                <w:b/>
                <w:bCs/>
                <w:sz w:val="20"/>
                <w:szCs w:val="20"/>
              </w:rPr>
            </w:pPr>
            <w:r w:rsidRPr="003B0112">
              <w:rPr>
                <w:rFonts w:ascii="Garamond" w:hAnsi="Garamond" w:cs="Calibri"/>
                <w:b/>
                <w:bCs/>
                <w:sz w:val="20"/>
                <w:szCs w:val="20"/>
              </w:rPr>
              <w:t>0.1</w:t>
            </w:r>
          </w:p>
        </w:tc>
        <w:tc>
          <w:tcPr>
            <w:tcW w:w="1377" w:type="dxa"/>
            <w:tcBorders>
              <w:top w:val="nil"/>
              <w:left w:val="nil"/>
              <w:bottom w:val="single" w:sz="8" w:space="0" w:color="auto"/>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0.1</w:t>
            </w:r>
          </w:p>
        </w:tc>
        <w:tc>
          <w:tcPr>
            <w:tcW w:w="962" w:type="dxa"/>
            <w:tcBorders>
              <w:top w:val="nil"/>
              <w:left w:val="nil"/>
              <w:bottom w:val="single" w:sz="8" w:space="0" w:color="auto"/>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0.0</w:t>
            </w:r>
          </w:p>
        </w:tc>
        <w:tc>
          <w:tcPr>
            <w:tcW w:w="962" w:type="dxa"/>
            <w:tcBorders>
              <w:top w:val="nil"/>
              <w:left w:val="nil"/>
              <w:bottom w:val="single" w:sz="8" w:space="0" w:color="auto"/>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0.1</w:t>
            </w:r>
          </w:p>
        </w:tc>
        <w:tc>
          <w:tcPr>
            <w:tcW w:w="965" w:type="dxa"/>
            <w:tcBorders>
              <w:top w:val="nil"/>
              <w:left w:val="nil"/>
              <w:bottom w:val="single" w:sz="8" w:space="0" w:color="auto"/>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0.0</w:t>
            </w:r>
          </w:p>
        </w:tc>
      </w:tr>
    </w:tbl>
    <w:p w:rsidR="00B636BE" w:rsidRDefault="003B453C" w:rsidP="00B636BE">
      <w:pPr>
        <w:spacing w:line="23" w:lineRule="atLeast"/>
        <w:jc w:val="both"/>
        <w:outlineLvl w:val="0"/>
        <w:rPr>
          <w:rFonts w:ascii="Garamond" w:hAnsi="Garamond"/>
          <w:bCs/>
          <w:sz w:val="22"/>
          <w:szCs w:val="22"/>
        </w:rPr>
      </w:pPr>
      <w:r w:rsidRPr="003B0112">
        <w:rPr>
          <w:rFonts w:ascii="Garamond" w:hAnsi="Garamond"/>
          <w:bCs/>
          <w:sz w:val="22"/>
          <w:szCs w:val="22"/>
        </w:rPr>
        <w:t>Source: Refinitiv</w:t>
      </w:r>
    </w:p>
    <w:p w:rsidR="00B636BE" w:rsidRDefault="00B636BE" w:rsidP="00B636BE">
      <w:pPr>
        <w:spacing w:line="23" w:lineRule="atLeast"/>
        <w:jc w:val="both"/>
        <w:outlineLvl w:val="0"/>
        <w:rPr>
          <w:rFonts w:ascii="Garamond" w:hAnsi="Garamond"/>
          <w:bCs/>
          <w:sz w:val="22"/>
          <w:szCs w:val="22"/>
        </w:rPr>
      </w:pPr>
    </w:p>
    <w:p w:rsidR="003B453C" w:rsidRPr="00B636BE" w:rsidRDefault="003B453C" w:rsidP="00B636BE">
      <w:pPr>
        <w:spacing w:line="23" w:lineRule="atLeast"/>
        <w:jc w:val="both"/>
        <w:outlineLvl w:val="0"/>
        <w:rPr>
          <w:rFonts w:ascii="Garamond" w:hAnsi="Garamond"/>
          <w:bCs/>
          <w:sz w:val="22"/>
          <w:szCs w:val="22"/>
        </w:rPr>
      </w:pPr>
      <w:r w:rsidRPr="006037D2">
        <w:rPr>
          <w:rFonts w:ascii="Garamond" w:eastAsia="Times New Roman" w:hAnsi="Garamond"/>
          <w:b/>
          <w:u w:val="single"/>
          <w:lang w:val="en-US"/>
        </w:rPr>
        <w:t xml:space="preserve">Derivatives </w:t>
      </w:r>
      <w:r w:rsidRPr="006037D2">
        <w:rPr>
          <w:rFonts w:ascii="Garamond" w:eastAsia="Times New Roman" w:hAnsi="Garamond"/>
          <w:b/>
          <w:lang w:val="en-US" w:eastAsia="en-GB"/>
        </w:rPr>
        <w:t xml:space="preserve"> </w:t>
      </w:r>
    </w:p>
    <w:p w:rsidR="003B453C" w:rsidRPr="006037D2" w:rsidRDefault="003B453C" w:rsidP="003B453C">
      <w:pPr>
        <w:spacing w:line="276" w:lineRule="auto"/>
        <w:ind w:left="360"/>
        <w:contextualSpacing/>
        <w:jc w:val="both"/>
        <w:rPr>
          <w:rFonts w:ascii="Garamond" w:eastAsia="Times New Roman" w:hAnsi="Garamond"/>
          <w:b/>
          <w:lang w:val="en-US" w:eastAsia="en-GB"/>
        </w:rPr>
      </w:pPr>
    </w:p>
    <w:p w:rsidR="003B453C" w:rsidRPr="006037D2" w:rsidRDefault="003B453C" w:rsidP="00456F4D">
      <w:pPr>
        <w:numPr>
          <w:ilvl w:val="0"/>
          <w:numId w:val="8"/>
        </w:numPr>
        <w:spacing w:line="276" w:lineRule="auto"/>
        <w:jc w:val="both"/>
        <w:rPr>
          <w:rFonts w:ascii="Garamond" w:eastAsia="Times New Roman" w:hAnsi="Garamond"/>
          <w:bCs/>
          <w:lang w:val="en-US" w:eastAsia="en-GB"/>
        </w:rPr>
      </w:pPr>
      <w:r w:rsidRPr="006037D2">
        <w:rPr>
          <w:rFonts w:ascii="Garamond" w:eastAsia="Times New Roman" w:hAnsi="Garamond"/>
          <w:bCs/>
          <w:lang w:val="en-US" w:eastAsia="en-GB"/>
        </w:rPr>
        <w:t>Among select exchanges (as given in Table A3), during September 2021, CME Group recorded highest number of contracts traded in interest rate futures, interest rate options and commodity options segment.</w:t>
      </w:r>
    </w:p>
    <w:p w:rsidR="003B453C" w:rsidRPr="006037D2" w:rsidRDefault="003B453C" w:rsidP="00456F4D">
      <w:pPr>
        <w:numPr>
          <w:ilvl w:val="0"/>
          <w:numId w:val="8"/>
        </w:numPr>
        <w:spacing w:line="276" w:lineRule="auto"/>
        <w:jc w:val="both"/>
        <w:rPr>
          <w:rFonts w:ascii="Garamond" w:eastAsia="Times New Roman" w:hAnsi="Garamond"/>
          <w:bCs/>
          <w:lang w:val="en-US" w:eastAsia="en-GB"/>
        </w:rPr>
      </w:pPr>
      <w:r w:rsidRPr="006037D2">
        <w:rPr>
          <w:rFonts w:ascii="Garamond" w:eastAsia="Times New Roman" w:hAnsi="Garamond"/>
          <w:bCs/>
          <w:lang w:val="en-US" w:eastAsia="en-GB"/>
        </w:rPr>
        <w:t>NSE recorded highest number of contracts traded in index options and currency options segment, while, B3 - Brasil Bolsa Balcão topped in terms of number of contracts traded in index futures and currency futures segment.</w:t>
      </w:r>
    </w:p>
    <w:p w:rsidR="003B453C" w:rsidRPr="006037D2" w:rsidRDefault="003B453C" w:rsidP="003B453C">
      <w:pPr>
        <w:spacing w:line="276" w:lineRule="auto"/>
        <w:ind w:left="360"/>
        <w:jc w:val="both"/>
        <w:rPr>
          <w:rFonts w:ascii="Garamond" w:eastAsia="Times New Roman" w:hAnsi="Garamond"/>
          <w:bCs/>
          <w:lang w:val="en-US" w:eastAsia="en-GB"/>
        </w:rPr>
      </w:pPr>
    </w:p>
    <w:p w:rsidR="003B453C" w:rsidRPr="006037D2" w:rsidRDefault="003B453C" w:rsidP="003B453C">
      <w:pPr>
        <w:spacing w:line="276" w:lineRule="auto"/>
        <w:ind w:left="360"/>
        <w:jc w:val="both"/>
        <w:rPr>
          <w:rFonts w:ascii="Garamond" w:eastAsia="Times New Roman" w:hAnsi="Garamond"/>
          <w:bCs/>
          <w:highlight w:val="yellow"/>
          <w:lang w:val="en-US" w:eastAsia="en-GB"/>
        </w:rPr>
      </w:pPr>
      <w:r w:rsidRPr="006037D2">
        <w:rPr>
          <w:rFonts w:ascii="Garamond" w:hAnsi="Garamond"/>
          <w:b/>
          <w:bCs/>
        </w:rPr>
        <w:t>Figure 2: Number of contracts traded at major exchanges* in different derivatives segment in September 2021</w:t>
      </w:r>
    </w:p>
    <w:p w:rsidR="003B453C" w:rsidRPr="006037D2" w:rsidRDefault="003B453C" w:rsidP="003B453C">
      <w:pPr>
        <w:spacing w:line="276" w:lineRule="auto"/>
        <w:ind w:left="360"/>
        <w:jc w:val="both"/>
        <w:rPr>
          <w:rFonts w:ascii="Garamond" w:hAnsi="Garamond"/>
        </w:rPr>
      </w:pPr>
      <w:r w:rsidRPr="006037D2">
        <w:rPr>
          <w:rFonts w:ascii="Garamond" w:hAnsi="Garamond"/>
          <w:noProof/>
          <w:lang w:val="en-IN" w:eastAsia="en-IN" w:bidi="hi-IN"/>
        </w:rPr>
        <w:drawing>
          <wp:inline distT="0" distB="0" distL="0" distR="0">
            <wp:extent cx="4933950" cy="2562225"/>
            <wp:effectExtent l="0" t="0" r="0" b="9525"/>
            <wp:docPr id="9" name="Picture 9" descr="GMR_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R_Char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33950" cy="2562225"/>
                    </a:xfrm>
                    <a:prstGeom prst="rect">
                      <a:avLst/>
                    </a:prstGeom>
                    <a:noFill/>
                    <a:ln>
                      <a:noFill/>
                    </a:ln>
                  </pic:spPr>
                </pic:pic>
              </a:graphicData>
            </a:graphic>
          </wp:inline>
        </w:drawing>
      </w:r>
    </w:p>
    <w:p w:rsidR="003B453C" w:rsidRPr="003B0112" w:rsidRDefault="003B453C" w:rsidP="003B453C">
      <w:pPr>
        <w:spacing w:line="23" w:lineRule="atLeast"/>
        <w:ind w:left="360"/>
        <w:rPr>
          <w:rFonts w:ascii="Garamond" w:hAnsi="Garamond"/>
          <w:bCs/>
          <w:sz w:val="20"/>
          <w:szCs w:val="20"/>
        </w:rPr>
      </w:pPr>
      <w:r w:rsidRPr="003B0112">
        <w:rPr>
          <w:rFonts w:ascii="Garamond" w:hAnsi="Garamond"/>
          <w:bCs/>
          <w:sz w:val="20"/>
          <w:szCs w:val="20"/>
        </w:rPr>
        <w:t>Note: 1. *Major Exchange: For each derivatives segment, exchange with highest no. of contracts traded (in that segment) among select exchanges (as given at Table A3) is considered as major exchange for the segment.</w:t>
      </w:r>
    </w:p>
    <w:p w:rsidR="003B453C" w:rsidRPr="003B0112" w:rsidRDefault="003B453C" w:rsidP="003B453C">
      <w:pPr>
        <w:spacing w:line="23" w:lineRule="atLeast"/>
        <w:ind w:left="360"/>
        <w:rPr>
          <w:rFonts w:ascii="Garamond" w:hAnsi="Garamond"/>
          <w:bCs/>
          <w:sz w:val="20"/>
          <w:szCs w:val="20"/>
        </w:rPr>
      </w:pPr>
      <w:r w:rsidRPr="003B0112">
        <w:rPr>
          <w:rFonts w:ascii="Garamond" w:hAnsi="Garamond"/>
          <w:bCs/>
          <w:sz w:val="20"/>
          <w:szCs w:val="20"/>
        </w:rPr>
        <w:t>Source: World Federation of Exchanges</w:t>
      </w:r>
    </w:p>
    <w:p w:rsidR="003B453C" w:rsidRDefault="003B453C" w:rsidP="003B453C">
      <w:pPr>
        <w:spacing w:line="276" w:lineRule="auto"/>
        <w:ind w:left="360"/>
        <w:jc w:val="both"/>
        <w:rPr>
          <w:rFonts w:ascii="Garamond" w:eastAsia="Times New Roman" w:hAnsi="Garamond"/>
          <w:bCs/>
          <w:highlight w:val="yellow"/>
          <w:lang w:val="en-US" w:eastAsia="en-GB"/>
        </w:rPr>
      </w:pPr>
    </w:p>
    <w:p w:rsidR="000C6BCB" w:rsidRDefault="000C6BCB" w:rsidP="003B453C">
      <w:pPr>
        <w:spacing w:line="276" w:lineRule="auto"/>
        <w:outlineLvl w:val="0"/>
        <w:rPr>
          <w:rFonts w:ascii="Garamond" w:eastAsia="Times New Roman" w:hAnsi="Garamond"/>
          <w:bCs/>
          <w:highlight w:val="yellow"/>
          <w:lang w:val="en-US" w:eastAsia="en-GB"/>
        </w:rPr>
      </w:pPr>
    </w:p>
    <w:p w:rsidR="003B453C" w:rsidRPr="006037D2" w:rsidRDefault="003B453C" w:rsidP="003B453C">
      <w:pPr>
        <w:spacing w:line="276" w:lineRule="auto"/>
        <w:outlineLvl w:val="0"/>
        <w:rPr>
          <w:rFonts w:ascii="Garamond" w:eastAsia="Times New Roman" w:hAnsi="Garamond"/>
          <w:b/>
          <w:lang w:eastAsia="en-GB"/>
        </w:rPr>
      </w:pPr>
      <w:r w:rsidRPr="006037D2">
        <w:rPr>
          <w:rFonts w:ascii="Garamond" w:eastAsia="Times New Roman" w:hAnsi="Garamond"/>
          <w:b/>
          <w:u w:val="single"/>
        </w:rPr>
        <w:lastRenderedPageBreak/>
        <w:t xml:space="preserve">Currency Market </w:t>
      </w:r>
    </w:p>
    <w:p w:rsidR="003B453C" w:rsidRPr="006037D2" w:rsidRDefault="003B453C" w:rsidP="003B453C">
      <w:pPr>
        <w:spacing w:line="276" w:lineRule="auto"/>
        <w:jc w:val="both"/>
        <w:rPr>
          <w:rFonts w:ascii="Garamond" w:hAnsi="Garamond"/>
          <w:bCs/>
          <w:highlight w:val="yellow"/>
          <w:lang w:val="en-US"/>
        </w:rPr>
      </w:pPr>
    </w:p>
    <w:p w:rsidR="003B453C" w:rsidRPr="006037D2" w:rsidRDefault="003B453C" w:rsidP="00456F4D">
      <w:pPr>
        <w:numPr>
          <w:ilvl w:val="0"/>
          <w:numId w:val="8"/>
        </w:numPr>
        <w:spacing w:line="276" w:lineRule="auto"/>
        <w:jc w:val="both"/>
        <w:rPr>
          <w:rFonts w:ascii="Garamond" w:hAnsi="Garamond"/>
          <w:bCs/>
          <w:lang w:val="en-US"/>
        </w:rPr>
      </w:pPr>
      <w:r w:rsidRPr="006037D2">
        <w:rPr>
          <w:rFonts w:ascii="Garamond" w:eastAsia="Times New Roman" w:hAnsi="Garamond"/>
          <w:bCs/>
          <w:lang w:val="en-US" w:eastAsia="en-GB"/>
        </w:rPr>
        <w:t>During October 2021, among BRICS nations, Real (Brazil), Rupee (India) and Rand (S. Africa) depreciated against USD by 3.6 per cent, 1.0 per cent and 0.8 per cent, respectively.</w:t>
      </w:r>
    </w:p>
    <w:p w:rsidR="003B453C" w:rsidRPr="006037D2" w:rsidRDefault="003B453C" w:rsidP="00456F4D">
      <w:pPr>
        <w:numPr>
          <w:ilvl w:val="0"/>
          <w:numId w:val="8"/>
        </w:numPr>
        <w:spacing w:line="276" w:lineRule="auto"/>
        <w:jc w:val="both"/>
        <w:rPr>
          <w:rFonts w:ascii="Garamond" w:hAnsi="Garamond"/>
          <w:bCs/>
          <w:lang w:val="en-US"/>
        </w:rPr>
      </w:pPr>
      <w:r w:rsidRPr="006037D2">
        <w:rPr>
          <w:rFonts w:ascii="Garamond" w:eastAsia="Times New Roman" w:hAnsi="Garamond"/>
          <w:bCs/>
          <w:lang w:val="en-US" w:eastAsia="en-GB"/>
        </w:rPr>
        <w:t>Among developed market</w:t>
      </w:r>
      <w:r w:rsidR="004A1B8E">
        <w:rPr>
          <w:rFonts w:ascii="Garamond" w:eastAsia="Times New Roman" w:hAnsi="Garamond"/>
          <w:bCs/>
          <w:lang w:val="en-US" w:eastAsia="en-GB"/>
        </w:rPr>
        <w:t>s</w:t>
      </w:r>
      <w:r w:rsidRPr="006037D2">
        <w:rPr>
          <w:rFonts w:ascii="Garamond" w:eastAsia="Times New Roman" w:hAnsi="Garamond"/>
          <w:bCs/>
          <w:lang w:val="en-US" w:eastAsia="en-GB"/>
        </w:rPr>
        <w:t xml:space="preserve">, Yen and Euro depreciated against USD by 2.5 per cent, 0.2 per cent, respectively. </w:t>
      </w:r>
    </w:p>
    <w:p w:rsidR="00B636BE" w:rsidRDefault="00B636BE" w:rsidP="003B453C">
      <w:pPr>
        <w:spacing w:line="276" w:lineRule="auto"/>
        <w:outlineLvl w:val="0"/>
        <w:rPr>
          <w:rFonts w:ascii="Garamond" w:eastAsia="Times New Roman" w:hAnsi="Garamond"/>
          <w:b/>
          <w:u w:val="single"/>
        </w:rPr>
      </w:pPr>
    </w:p>
    <w:p w:rsidR="003B453C" w:rsidRPr="006037D2" w:rsidRDefault="003B453C" w:rsidP="003B453C">
      <w:pPr>
        <w:spacing w:line="276" w:lineRule="auto"/>
        <w:outlineLvl w:val="0"/>
        <w:rPr>
          <w:rFonts w:ascii="Garamond" w:hAnsi="Garamond"/>
          <w:bCs/>
        </w:rPr>
      </w:pPr>
      <w:r w:rsidRPr="006037D2">
        <w:rPr>
          <w:rFonts w:ascii="Garamond" w:hAnsi="Garamond"/>
          <w:b/>
          <w:bCs/>
        </w:rPr>
        <w:t xml:space="preserve">Table </w:t>
      </w:r>
      <w:r w:rsidR="00AE7510">
        <w:rPr>
          <w:rFonts w:ascii="Garamond" w:hAnsi="Garamond"/>
          <w:b/>
          <w:bCs/>
        </w:rPr>
        <w:t>3</w:t>
      </w:r>
      <w:r w:rsidRPr="006037D2">
        <w:rPr>
          <w:rFonts w:ascii="Garamond" w:hAnsi="Garamond"/>
          <w:b/>
          <w:bCs/>
        </w:rPr>
        <w:t>: Movement in Major Currencies across developing and developed markets</w:t>
      </w:r>
    </w:p>
    <w:p w:rsidR="003B453C" w:rsidRPr="006037D2" w:rsidRDefault="003B453C" w:rsidP="003B453C">
      <w:pPr>
        <w:spacing w:line="23" w:lineRule="atLeast"/>
        <w:jc w:val="both"/>
        <w:rPr>
          <w:rFonts w:ascii="Garamond" w:hAnsi="Garamond"/>
          <w:bCs/>
        </w:rPr>
      </w:pPr>
    </w:p>
    <w:tbl>
      <w:tblPr>
        <w:tblW w:w="8287" w:type="dxa"/>
        <w:tblInd w:w="108" w:type="dxa"/>
        <w:tblLook w:val="04A0" w:firstRow="1" w:lastRow="0" w:firstColumn="1" w:lastColumn="0" w:noHBand="0" w:noVBand="1"/>
      </w:tblPr>
      <w:tblGrid>
        <w:gridCol w:w="1276"/>
        <w:gridCol w:w="1240"/>
        <w:gridCol w:w="1312"/>
        <w:gridCol w:w="1331"/>
        <w:gridCol w:w="992"/>
        <w:gridCol w:w="1134"/>
        <w:gridCol w:w="992"/>
        <w:gridCol w:w="10"/>
      </w:tblGrid>
      <w:tr w:rsidR="003B453C" w:rsidRPr="003B0112" w:rsidTr="003B453C">
        <w:trPr>
          <w:gridAfter w:val="1"/>
          <w:wAfter w:w="10" w:type="dxa"/>
          <w:trHeight w:val="570"/>
        </w:trPr>
        <w:tc>
          <w:tcPr>
            <w:tcW w:w="1276" w:type="dxa"/>
            <w:vMerge w:val="restart"/>
            <w:tcBorders>
              <w:top w:val="single" w:sz="8" w:space="0" w:color="auto"/>
              <w:left w:val="single" w:sz="8" w:space="0" w:color="auto"/>
              <w:bottom w:val="single" w:sz="8" w:space="0" w:color="000000"/>
              <w:right w:val="single" w:sz="8" w:space="0" w:color="auto"/>
            </w:tcBorders>
            <w:shd w:val="clear" w:color="000000" w:fill="B4C6E7"/>
            <w:hideMark/>
          </w:tcPr>
          <w:p w:rsidR="003B453C" w:rsidRPr="003B0112" w:rsidRDefault="003B453C" w:rsidP="003B453C">
            <w:pPr>
              <w:jc w:val="center"/>
              <w:rPr>
                <w:rFonts w:ascii="Garamond" w:eastAsia="Times New Roman" w:hAnsi="Garamond" w:cs="Calibri"/>
                <w:b/>
                <w:bCs/>
                <w:sz w:val="20"/>
                <w:szCs w:val="20"/>
                <w:lang w:val="en-IN" w:eastAsia="en-IN" w:bidi="hi-IN"/>
              </w:rPr>
            </w:pPr>
            <w:r w:rsidRPr="003B0112">
              <w:rPr>
                <w:rFonts w:ascii="Garamond" w:eastAsia="Times New Roman" w:hAnsi="Garamond" w:cs="Calibri"/>
                <w:b/>
                <w:bCs/>
                <w:sz w:val="20"/>
                <w:szCs w:val="20"/>
                <w:lang w:val="en-IN" w:eastAsia="en-IN" w:bidi="hi-IN"/>
              </w:rPr>
              <w:t>Country</w:t>
            </w:r>
          </w:p>
        </w:tc>
        <w:tc>
          <w:tcPr>
            <w:tcW w:w="1240" w:type="dxa"/>
            <w:tcBorders>
              <w:top w:val="single" w:sz="8" w:space="0" w:color="auto"/>
              <w:left w:val="nil"/>
              <w:bottom w:val="nil"/>
              <w:right w:val="single" w:sz="8" w:space="0" w:color="auto"/>
            </w:tcBorders>
            <w:shd w:val="clear" w:color="000000" w:fill="B4C6E7"/>
            <w:hideMark/>
          </w:tcPr>
          <w:p w:rsidR="003B453C" w:rsidRPr="003B0112" w:rsidRDefault="003B453C" w:rsidP="003B453C">
            <w:pPr>
              <w:jc w:val="center"/>
              <w:rPr>
                <w:rFonts w:ascii="Garamond" w:eastAsia="Times New Roman" w:hAnsi="Garamond" w:cs="Calibri"/>
                <w:b/>
                <w:bCs/>
                <w:sz w:val="20"/>
                <w:szCs w:val="20"/>
                <w:lang w:val="en-IN" w:eastAsia="en-IN" w:bidi="hi-IN"/>
              </w:rPr>
            </w:pPr>
            <w:r w:rsidRPr="003B0112">
              <w:rPr>
                <w:rFonts w:ascii="Garamond" w:eastAsia="Times New Roman" w:hAnsi="Garamond" w:cs="Calibri"/>
                <w:b/>
                <w:bCs/>
                <w:sz w:val="20"/>
                <w:szCs w:val="20"/>
                <w:lang w:val="en-IN" w:eastAsia="en-IN" w:bidi="hi-IN"/>
              </w:rPr>
              <w:t>Currency</w:t>
            </w:r>
          </w:p>
        </w:tc>
        <w:tc>
          <w:tcPr>
            <w:tcW w:w="1312" w:type="dxa"/>
            <w:tcBorders>
              <w:top w:val="single" w:sz="8" w:space="0" w:color="auto"/>
              <w:left w:val="nil"/>
              <w:bottom w:val="nil"/>
              <w:right w:val="single" w:sz="8" w:space="0" w:color="auto"/>
            </w:tcBorders>
            <w:shd w:val="clear" w:color="000000" w:fill="B4C6E7"/>
            <w:noWrap/>
            <w:hideMark/>
          </w:tcPr>
          <w:p w:rsidR="003B453C" w:rsidRPr="003B0112" w:rsidRDefault="003B453C" w:rsidP="003B453C">
            <w:pPr>
              <w:jc w:val="center"/>
              <w:rPr>
                <w:rFonts w:ascii="Garamond" w:eastAsia="Times New Roman" w:hAnsi="Garamond" w:cs="Calibri"/>
                <w:b/>
                <w:bCs/>
                <w:sz w:val="20"/>
                <w:szCs w:val="20"/>
                <w:lang w:val="en-IN" w:eastAsia="en-IN" w:bidi="hi-IN"/>
              </w:rPr>
            </w:pPr>
            <w:r w:rsidRPr="003B0112">
              <w:rPr>
                <w:rFonts w:ascii="Garamond" w:eastAsia="Times New Roman" w:hAnsi="Garamond" w:cs="Calibri"/>
                <w:b/>
                <w:bCs/>
                <w:sz w:val="20"/>
                <w:szCs w:val="20"/>
                <w:lang w:val="en-IN" w:eastAsia="en-IN" w:bidi="hi-IN"/>
              </w:rPr>
              <w:t>Index as on</w:t>
            </w:r>
          </w:p>
        </w:tc>
        <w:tc>
          <w:tcPr>
            <w:tcW w:w="4449" w:type="dxa"/>
            <w:gridSpan w:val="4"/>
            <w:tcBorders>
              <w:top w:val="single" w:sz="8" w:space="0" w:color="auto"/>
              <w:left w:val="nil"/>
              <w:bottom w:val="single" w:sz="8" w:space="0" w:color="auto"/>
              <w:right w:val="single" w:sz="8" w:space="0" w:color="000000"/>
            </w:tcBorders>
            <w:shd w:val="clear" w:color="000000" w:fill="B4C6E7"/>
            <w:hideMark/>
          </w:tcPr>
          <w:p w:rsidR="003B453C" w:rsidRPr="003B0112" w:rsidRDefault="003B453C" w:rsidP="003B453C">
            <w:pPr>
              <w:jc w:val="center"/>
              <w:rPr>
                <w:rFonts w:ascii="Garamond" w:eastAsia="Times New Roman" w:hAnsi="Garamond" w:cs="Calibri"/>
                <w:b/>
                <w:bCs/>
                <w:sz w:val="20"/>
                <w:szCs w:val="20"/>
                <w:lang w:val="en-IN" w:eastAsia="en-IN" w:bidi="hi-IN"/>
              </w:rPr>
            </w:pPr>
            <w:r w:rsidRPr="003B0112">
              <w:rPr>
                <w:rFonts w:ascii="Garamond" w:eastAsia="Times New Roman" w:hAnsi="Garamond" w:cs="Calibri"/>
                <w:b/>
                <w:bCs/>
                <w:sz w:val="20"/>
                <w:szCs w:val="20"/>
                <w:lang w:val="en-IN" w:eastAsia="en-IN" w:bidi="hi-IN"/>
              </w:rPr>
              <w:t>Percentage change in Currency Index over period</w:t>
            </w:r>
          </w:p>
        </w:tc>
      </w:tr>
      <w:tr w:rsidR="003B453C" w:rsidRPr="003B0112" w:rsidTr="003B453C">
        <w:trPr>
          <w:gridAfter w:val="1"/>
          <w:wAfter w:w="10" w:type="dxa"/>
          <w:trHeight w:val="315"/>
        </w:trPr>
        <w:tc>
          <w:tcPr>
            <w:tcW w:w="1276" w:type="dxa"/>
            <w:vMerge/>
            <w:tcBorders>
              <w:top w:val="single" w:sz="8" w:space="0" w:color="auto"/>
              <w:left w:val="single" w:sz="8" w:space="0" w:color="auto"/>
              <w:bottom w:val="single" w:sz="8" w:space="0" w:color="000000"/>
              <w:right w:val="single" w:sz="8" w:space="0" w:color="auto"/>
            </w:tcBorders>
            <w:vAlign w:val="center"/>
            <w:hideMark/>
          </w:tcPr>
          <w:p w:rsidR="003B453C" w:rsidRPr="003B0112" w:rsidRDefault="003B453C" w:rsidP="003B453C">
            <w:pPr>
              <w:rPr>
                <w:rFonts w:ascii="Garamond" w:eastAsia="Times New Roman" w:hAnsi="Garamond" w:cs="Calibri"/>
                <w:b/>
                <w:bCs/>
                <w:sz w:val="20"/>
                <w:szCs w:val="20"/>
                <w:lang w:val="en-IN" w:eastAsia="en-IN" w:bidi="hi-IN"/>
              </w:rPr>
            </w:pPr>
          </w:p>
        </w:tc>
        <w:tc>
          <w:tcPr>
            <w:tcW w:w="1240" w:type="dxa"/>
            <w:tcBorders>
              <w:top w:val="nil"/>
              <w:left w:val="nil"/>
              <w:bottom w:val="single" w:sz="8" w:space="0" w:color="auto"/>
              <w:right w:val="single" w:sz="8" w:space="0" w:color="auto"/>
            </w:tcBorders>
            <w:shd w:val="clear" w:color="000000" w:fill="B4C6E7"/>
            <w:hideMark/>
          </w:tcPr>
          <w:p w:rsidR="003B453C" w:rsidRPr="003B0112" w:rsidRDefault="003B453C" w:rsidP="003B453C">
            <w:pPr>
              <w:jc w:val="center"/>
              <w:rPr>
                <w:rFonts w:ascii="Garamond" w:eastAsia="Times New Roman" w:hAnsi="Garamond" w:cs="Calibri"/>
                <w:b/>
                <w:bCs/>
                <w:sz w:val="20"/>
                <w:szCs w:val="20"/>
                <w:lang w:val="en-IN" w:eastAsia="en-IN" w:bidi="hi-IN"/>
              </w:rPr>
            </w:pPr>
            <w:r w:rsidRPr="003B0112">
              <w:rPr>
                <w:rFonts w:ascii="Garamond" w:eastAsia="Times New Roman" w:hAnsi="Garamond" w:cs="Calibri"/>
                <w:b/>
                <w:bCs/>
                <w:sz w:val="20"/>
                <w:szCs w:val="20"/>
                <w:lang w:val="en-IN" w:eastAsia="en-IN" w:bidi="hi-IN"/>
              </w:rPr>
              <w:t> </w:t>
            </w:r>
          </w:p>
        </w:tc>
        <w:tc>
          <w:tcPr>
            <w:tcW w:w="1312" w:type="dxa"/>
            <w:tcBorders>
              <w:top w:val="nil"/>
              <w:left w:val="nil"/>
              <w:bottom w:val="single" w:sz="8" w:space="0" w:color="auto"/>
              <w:right w:val="single" w:sz="8" w:space="0" w:color="auto"/>
            </w:tcBorders>
            <w:shd w:val="clear" w:color="000000" w:fill="B4C6E7"/>
            <w:noWrap/>
            <w:hideMark/>
          </w:tcPr>
          <w:p w:rsidR="003B453C" w:rsidRPr="003B0112" w:rsidRDefault="003B453C" w:rsidP="003B453C">
            <w:pPr>
              <w:jc w:val="center"/>
              <w:rPr>
                <w:rFonts w:ascii="Garamond" w:eastAsia="Times New Roman" w:hAnsi="Garamond" w:cs="Calibri"/>
                <w:b/>
                <w:bCs/>
                <w:sz w:val="20"/>
                <w:szCs w:val="20"/>
                <w:lang w:val="en-IN" w:eastAsia="en-IN" w:bidi="hi-IN"/>
              </w:rPr>
            </w:pPr>
            <w:r w:rsidRPr="003B0112">
              <w:rPr>
                <w:rFonts w:ascii="Garamond" w:eastAsia="Times New Roman" w:hAnsi="Garamond" w:cs="Calibri"/>
                <w:b/>
                <w:bCs/>
                <w:sz w:val="20"/>
                <w:szCs w:val="20"/>
                <w:lang w:val="en-IN" w:eastAsia="en-IN" w:bidi="hi-IN"/>
              </w:rPr>
              <w:t>29-Oct-21</w:t>
            </w:r>
          </w:p>
        </w:tc>
        <w:tc>
          <w:tcPr>
            <w:tcW w:w="1331" w:type="dxa"/>
            <w:tcBorders>
              <w:top w:val="nil"/>
              <w:left w:val="nil"/>
              <w:bottom w:val="single" w:sz="8" w:space="0" w:color="auto"/>
              <w:right w:val="single" w:sz="8" w:space="0" w:color="auto"/>
            </w:tcBorders>
            <w:shd w:val="clear" w:color="000000" w:fill="B4C6E7"/>
            <w:noWrap/>
            <w:hideMark/>
          </w:tcPr>
          <w:p w:rsidR="003B453C" w:rsidRPr="003B0112" w:rsidRDefault="003B453C" w:rsidP="003B453C">
            <w:pPr>
              <w:jc w:val="center"/>
              <w:rPr>
                <w:rFonts w:ascii="Garamond" w:eastAsia="Times New Roman" w:hAnsi="Garamond" w:cs="Calibri"/>
                <w:b/>
                <w:bCs/>
                <w:sz w:val="20"/>
                <w:szCs w:val="20"/>
                <w:lang w:val="en-IN" w:eastAsia="en-IN" w:bidi="hi-IN"/>
              </w:rPr>
            </w:pPr>
            <w:r w:rsidRPr="003B0112">
              <w:rPr>
                <w:rFonts w:ascii="Garamond" w:eastAsia="Times New Roman" w:hAnsi="Garamond" w:cs="Calibri"/>
                <w:b/>
                <w:bCs/>
                <w:sz w:val="20"/>
                <w:szCs w:val="20"/>
                <w:lang w:val="en-IN" w:eastAsia="en-IN" w:bidi="hi-IN"/>
              </w:rPr>
              <w:t>1-Month</w:t>
            </w:r>
          </w:p>
        </w:tc>
        <w:tc>
          <w:tcPr>
            <w:tcW w:w="992" w:type="dxa"/>
            <w:tcBorders>
              <w:top w:val="nil"/>
              <w:left w:val="nil"/>
              <w:bottom w:val="single" w:sz="8" w:space="0" w:color="auto"/>
              <w:right w:val="single" w:sz="8" w:space="0" w:color="auto"/>
            </w:tcBorders>
            <w:shd w:val="clear" w:color="000000" w:fill="B4C6E7"/>
            <w:noWrap/>
            <w:hideMark/>
          </w:tcPr>
          <w:p w:rsidR="003B453C" w:rsidRPr="003B0112" w:rsidRDefault="003B453C" w:rsidP="003B453C">
            <w:pPr>
              <w:jc w:val="center"/>
              <w:rPr>
                <w:rFonts w:ascii="Garamond" w:eastAsia="Times New Roman" w:hAnsi="Garamond" w:cs="Calibri"/>
                <w:b/>
                <w:bCs/>
                <w:sz w:val="20"/>
                <w:szCs w:val="20"/>
                <w:lang w:val="en-IN" w:eastAsia="en-IN" w:bidi="hi-IN"/>
              </w:rPr>
            </w:pPr>
            <w:r w:rsidRPr="003B0112">
              <w:rPr>
                <w:rFonts w:ascii="Garamond" w:eastAsia="Times New Roman" w:hAnsi="Garamond" w:cs="Calibri"/>
                <w:b/>
                <w:bCs/>
                <w:sz w:val="20"/>
                <w:szCs w:val="20"/>
                <w:lang w:val="en-IN" w:eastAsia="en-IN" w:bidi="hi-IN"/>
              </w:rPr>
              <w:t>3-Month</w:t>
            </w:r>
          </w:p>
        </w:tc>
        <w:tc>
          <w:tcPr>
            <w:tcW w:w="1134" w:type="dxa"/>
            <w:tcBorders>
              <w:top w:val="nil"/>
              <w:left w:val="nil"/>
              <w:bottom w:val="single" w:sz="8" w:space="0" w:color="auto"/>
              <w:right w:val="single" w:sz="8" w:space="0" w:color="auto"/>
            </w:tcBorders>
            <w:shd w:val="clear" w:color="000000" w:fill="B4C6E7"/>
            <w:noWrap/>
            <w:hideMark/>
          </w:tcPr>
          <w:p w:rsidR="003B453C" w:rsidRPr="003B0112" w:rsidRDefault="003B453C" w:rsidP="003B453C">
            <w:pPr>
              <w:jc w:val="center"/>
              <w:rPr>
                <w:rFonts w:ascii="Garamond" w:eastAsia="Times New Roman" w:hAnsi="Garamond" w:cs="Calibri"/>
                <w:b/>
                <w:bCs/>
                <w:sz w:val="20"/>
                <w:szCs w:val="20"/>
                <w:lang w:val="en-IN" w:eastAsia="en-IN" w:bidi="hi-IN"/>
              </w:rPr>
            </w:pPr>
            <w:r w:rsidRPr="003B0112">
              <w:rPr>
                <w:rFonts w:ascii="Garamond" w:eastAsia="Times New Roman" w:hAnsi="Garamond" w:cs="Calibri"/>
                <w:b/>
                <w:bCs/>
                <w:sz w:val="20"/>
                <w:szCs w:val="20"/>
                <w:lang w:val="en-IN" w:eastAsia="en-IN" w:bidi="hi-IN"/>
              </w:rPr>
              <w:t>6-Month</w:t>
            </w:r>
          </w:p>
        </w:tc>
        <w:tc>
          <w:tcPr>
            <w:tcW w:w="992" w:type="dxa"/>
            <w:tcBorders>
              <w:top w:val="nil"/>
              <w:left w:val="nil"/>
              <w:bottom w:val="single" w:sz="8" w:space="0" w:color="auto"/>
              <w:right w:val="single" w:sz="8" w:space="0" w:color="auto"/>
            </w:tcBorders>
            <w:shd w:val="clear" w:color="000000" w:fill="B4C6E7"/>
            <w:noWrap/>
            <w:hideMark/>
          </w:tcPr>
          <w:p w:rsidR="003B453C" w:rsidRPr="003B0112" w:rsidRDefault="003B453C" w:rsidP="003B453C">
            <w:pPr>
              <w:jc w:val="center"/>
              <w:rPr>
                <w:rFonts w:ascii="Garamond" w:eastAsia="Times New Roman" w:hAnsi="Garamond" w:cs="Calibri"/>
                <w:b/>
                <w:bCs/>
                <w:sz w:val="20"/>
                <w:szCs w:val="20"/>
                <w:lang w:val="en-IN" w:eastAsia="en-IN" w:bidi="hi-IN"/>
              </w:rPr>
            </w:pPr>
            <w:r w:rsidRPr="003B0112">
              <w:rPr>
                <w:rFonts w:ascii="Garamond" w:eastAsia="Times New Roman" w:hAnsi="Garamond" w:cs="Calibri"/>
                <w:b/>
                <w:bCs/>
                <w:sz w:val="20"/>
                <w:szCs w:val="20"/>
                <w:lang w:val="en-IN" w:eastAsia="en-IN" w:bidi="hi-IN"/>
              </w:rPr>
              <w:t>1-Year</w:t>
            </w:r>
          </w:p>
        </w:tc>
      </w:tr>
      <w:tr w:rsidR="003B453C" w:rsidRPr="003B0112" w:rsidTr="003B453C">
        <w:trPr>
          <w:trHeight w:val="315"/>
        </w:trPr>
        <w:tc>
          <w:tcPr>
            <w:tcW w:w="8287" w:type="dxa"/>
            <w:gridSpan w:val="8"/>
            <w:tcBorders>
              <w:top w:val="single" w:sz="8" w:space="0" w:color="auto"/>
              <w:left w:val="single" w:sz="8" w:space="0" w:color="auto"/>
              <w:bottom w:val="single" w:sz="8" w:space="0" w:color="auto"/>
              <w:right w:val="single" w:sz="8" w:space="0" w:color="000000"/>
            </w:tcBorders>
            <w:shd w:val="clear" w:color="000000" w:fill="D9E1F2"/>
            <w:noWrap/>
            <w:hideMark/>
          </w:tcPr>
          <w:p w:rsidR="003B453C" w:rsidRPr="003B0112" w:rsidRDefault="003B453C" w:rsidP="003B453C">
            <w:pPr>
              <w:jc w:val="center"/>
              <w:rPr>
                <w:rFonts w:ascii="Garamond" w:eastAsia="Times New Roman" w:hAnsi="Garamond" w:cs="Calibri"/>
                <w:b/>
                <w:bCs/>
                <w:sz w:val="20"/>
                <w:szCs w:val="20"/>
                <w:lang w:val="en-IN" w:eastAsia="en-IN" w:bidi="hi-IN"/>
              </w:rPr>
            </w:pPr>
            <w:r w:rsidRPr="003B0112">
              <w:rPr>
                <w:rFonts w:ascii="Garamond" w:eastAsia="Times New Roman" w:hAnsi="Garamond" w:cs="Calibri"/>
                <w:b/>
                <w:bCs/>
                <w:sz w:val="20"/>
                <w:szCs w:val="20"/>
                <w:lang w:val="en-IN" w:eastAsia="en-IN" w:bidi="hi-IN"/>
              </w:rPr>
              <w:t>BRICS Nations</w:t>
            </w:r>
          </w:p>
        </w:tc>
      </w:tr>
      <w:tr w:rsidR="003B453C" w:rsidRPr="003B0112" w:rsidTr="003B453C">
        <w:trPr>
          <w:gridAfter w:val="1"/>
          <w:wAfter w:w="10" w:type="dxa"/>
          <w:trHeight w:val="300"/>
        </w:trPr>
        <w:tc>
          <w:tcPr>
            <w:tcW w:w="1276" w:type="dxa"/>
            <w:tcBorders>
              <w:top w:val="nil"/>
              <w:left w:val="single" w:sz="8" w:space="0" w:color="auto"/>
              <w:bottom w:val="nil"/>
              <w:right w:val="single" w:sz="8" w:space="0" w:color="auto"/>
            </w:tcBorders>
            <w:shd w:val="clear" w:color="000000" w:fill="D9E1F2"/>
            <w:noWrap/>
            <w:hideMark/>
          </w:tcPr>
          <w:p w:rsidR="003B453C" w:rsidRPr="003B0112" w:rsidRDefault="003B453C" w:rsidP="003B453C">
            <w:pPr>
              <w:rPr>
                <w:rFonts w:ascii="Garamond" w:eastAsia="Times New Roman" w:hAnsi="Garamond" w:cs="Calibri"/>
                <w:sz w:val="20"/>
                <w:szCs w:val="20"/>
                <w:lang w:val="en-IN" w:eastAsia="en-IN" w:bidi="hi-IN"/>
              </w:rPr>
            </w:pPr>
            <w:r w:rsidRPr="003B0112">
              <w:rPr>
                <w:rFonts w:ascii="Garamond" w:eastAsia="Times New Roman" w:hAnsi="Garamond" w:cs="Calibri"/>
                <w:sz w:val="20"/>
                <w:szCs w:val="20"/>
                <w:lang w:val="en-IN" w:eastAsia="en-IN" w:bidi="hi-IN"/>
              </w:rPr>
              <w:t>Brazil</w:t>
            </w:r>
          </w:p>
        </w:tc>
        <w:tc>
          <w:tcPr>
            <w:tcW w:w="1240" w:type="dxa"/>
            <w:tcBorders>
              <w:top w:val="nil"/>
              <w:left w:val="nil"/>
              <w:bottom w:val="nil"/>
              <w:right w:val="single" w:sz="8" w:space="0" w:color="auto"/>
            </w:tcBorders>
            <w:shd w:val="clear" w:color="000000" w:fill="D9E1F2"/>
            <w:noWrap/>
            <w:hideMark/>
          </w:tcPr>
          <w:p w:rsidR="003B453C" w:rsidRPr="003B0112" w:rsidRDefault="003B453C" w:rsidP="003B453C">
            <w:pPr>
              <w:rPr>
                <w:rFonts w:ascii="Garamond" w:eastAsia="Times New Roman" w:hAnsi="Garamond" w:cs="Calibri"/>
                <w:sz w:val="20"/>
                <w:szCs w:val="20"/>
                <w:lang w:val="en-IN" w:eastAsia="en-IN" w:bidi="hi-IN"/>
              </w:rPr>
            </w:pPr>
            <w:r w:rsidRPr="003B0112">
              <w:rPr>
                <w:rFonts w:ascii="Garamond" w:eastAsia="Times New Roman" w:hAnsi="Garamond" w:cs="Calibri"/>
                <w:sz w:val="20"/>
                <w:szCs w:val="20"/>
                <w:lang w:val="en-IN" w:eastAsia="en-IN" w:bidi="hi-IN"/>
              </w:rPr>
              <w:t>Real</w:t>
            </w:r>
          </w:p>
        </w:tc>
        <w:tc>
          <w:tcPr>
            <w:tcW w:w="1312" w:type="dxa"/>
            <w:tcBorders>
              <w:top w:val="nil"/>
              <w:left w:val="nil"/>
              <w:bottom w:val="nil"/>
              <w:right w:val="single" w:sz="8" w:space="0" w:color="auto"/>
            </w:tcBorders>
            <w:shd w:val="clear" w:color="000000" w:fill="9BC2E6"/>
            <w:noWrap/>
            <w:hideMark/>
          </w:tcPr>
          <w:p w:rsidR="003B453C" w:rsidRPr="003B0112" w:rsidRDefault="003B453C" w:rsidP="003B453C">
            <w:pPr>
              <w:ind w:firstLineChars="100" w:firstLine="200"/>
              <w:jc w:val="right"/>
              <w:rPr>
                <w:rFonts w:ascii="Garamond" w:hAnsi="Garamond" w:cs="Calibri"/>
                <w:sz w:val="20"/>
                <w:szCs w:val="20"/>
                <w:lang w:val="en-IN" w:eastAsia="en-IN" w:bidi="hi-IN"/>
              </w:rPr>
            </w:pPr>
            <w:r w:rsidRPr="003B0112">
              <w:rPr>
                <w:rFonts w:ascii="Garamond" w:hAnsi="Garamond" w:cs="Calibri"/>
                <w:sz w:val="20"/>
                <w:szCs w:val="20"/>
              </w:rPr>
              <w:t>5.6</w:t>
            </w:r>
          </w:p>
        </w:tc>
        <w:tc>
          <w:tcPr>
            <w:tcW w:w="1331"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3.6</w:t>
            </w:r>
          </w:p>
        </w:tc>
        <w:tc>
          <w:tcPr>
            <w:tcW w:w="992"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8.2</w:t>
            </w:r>
          </w:p>
        </w:tc>
        <w:tc>
          <w:tcPr>
            <w:tcW w:w="1134"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3.7</w:t>
            </w:r>
          </w:p>
        </w:tc>
        <w:tc>
          <w:tcPr>
            <w:tcW w:w="992"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-1.9</w:t>
            </w:r>
          </w:p>
        </w:tc>
      </w:tr>
      <w:tr w:rsidR="003B453C" w:rsidRPr="003B0112" w:rsidTr="003B453C">
        <w:trPr>
          <w:gridAfter w:val="1"/>
          <w:wAfter w:w="10" w:type="dxa"/>
          <w:trHeight w:val="300"/>
        </w:trPr>
        <w:tc>
          <w:tcPr>
            <w:tcW w:w="1276" w:type="dxa"/>
            <w:tcBorders>
              <w:top w:val="nil"/>
              <w:left w:val="single" w:sz="8" w:space="0" w:color="auto"/>
              <w:bottom w:val="nil"/>
              <w:right w:val="single" w:sz="8" w:space="0" w:color="auto"/>
            </w:tcBorders>
            <w:shd w:val="clear" w:color="000000" w:fill="D9E1F2"/>
            <w:noWrap/>
            <w:hideMark/>
          </w:tcPr>
          <w:p w:rsidR="003B453C" w:rsidRPr="003B0112" w:rsidRDefault="003B453C" w:rsidP="003B453C">
            <w:pPr>
              <w:rPr>
                <w:rFonts w:ascii="Garamond" w:eastAsia="Times New Roman" w:hAnsi="Garamond" w:cs="Calibri"/>
                <w:sz w:val="20"/>
                <w:szCs w:val="20"/>
                <w:lang w:val="en-IN" w:eastAsia="en-IN" w:bidi="hi-IN"/>
              </w:rPr>
            </w:pPr>
            <w:r w:rsidRPr="003B0112">
              <w:rPr>
                <w:rFonts w:ascii="Garamond" w:eastAsia="Times New Roman" w:hAnsi="Garamond" w:cs="Calibri"/>
                <w:sz w:val="20"/>
                <w:szCs w:val="20"/>
                <w:lang w:val="en-IN" w:eastAsia="en-IN" w:bidi="hi-IN"/>
              </w:rPr>
              <w:t>Russia</w:t>
            </w:r>
          </w:p>
        </w:tc>
        <w:tc>
          <w:tcPr>
            <w:tcW w:w="1240" w:type="dxa"/>
            <w:tcBorders>
              <w:top w:val="nil"/>
              <w:left w:val="nil"/>
              <w:bottom w:val="nil"/>
              <w:right w:val="single" w:sz="8" w:space="0" w:color="auto"/>
            </w:tcBorders>
            <w:shd w:val="clear" w:color="000000" w:fill="D9E1F2"/>
            <w:noWrap/>
            <w:hideMark/>
          </w:tcPr>
          <w:p w:rsidR="003B453C" w:rsidRPr="003B0112" w:rsidRDefault="003B453C" w:rsidP="003B453C">
            <w:pPr>
              <w:rPr>
                <w:rFonts w:ascii="Garamond" w:eastAsia="Times New Roman" w:hAnsi="Garamond" w:cs="Calibri"/>
                <w:sz w:val="20"/>
                <w:szCs w:val="20"/>
                <w:lang w:val="en-IN" w:eastAsia="en-IN" w:bidi="hi-IN"/>
              </w:rPr>
            </w:pPr>
            <w:r w:rsidRPr="003B0112">
              <w:rPr>
                <w:rFonts w:ascii="Garamond" w:eastAsia="Times New Roman" w:hAnsi="Garamond" w:cs="Calibri"/>
                <w:sz w:val="20"/>
                <w:szCs w:val="20"/>
                <w:lang w:val="en-IN" w:eastAsia="en-IN" w:bidi="hi-IN"/>
              </w:rPr>
              <w:t>Rouble</w:t>
            </w:r>
          </w:p>
        </w:tc>
        <w:tc>
          <w:tcPr>
            <w:tcW w:w="1312" w:type="dxa"/>
            <w:tcBorders>
              <w:top w:val="nil"/>
              <w:left w:val="nil"/>
              <w:bottom w:val="nil"/>
              <w:right w:val="single" w:sz="8" w:space="0" w:color="auto"/>
            </w:tcBorders>
            <w:shd w:val="clear" w:color="000000" w:fill="9BC2E6"/>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70.9</w:t>
            </w:r>
          </w:p>
        </w:tc>
        <w:tc>
          <w:tcPr>
            <w:tcW w:w="1331"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-2.4</w:t>
            </w:r>
          </w:p>
        </w:tc>
        <w:tc>
          <w:tcPr>
            <w:tcW w:w="992"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-3.0</w:t>
            </w:r>
          </w:p>
        </w:tc>
        <w:tc>
          <w:tcPr>
            <w:tcW w:w="1134"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-5.7</w:t>
            </w:r>
          </w:p>
        </w:tc>
        <w:tc>
          <w:tcPr>
            <w:tcW w:w="992"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-10.7</w:t>
            </w:r>
          </w:p>
        </w:tc>
      </w:tr>
      <w:tr w:rsidR="003B453C" w:rsidRPr="003B0112" w:rsidTr="003B453C">
        <w:trPr>
          <w:gridAfter w:val="1"/>
          <w:wAfter w:w="10" w:type="dxa"/>
          <w:trHeight w:val="300"/>
        </w:trPr>
        <w:tc>
          <w:tcPr>
            <w:tcW w:w="1276" w:type="dxa"/>
            <w:tcBorders>
              <w:top w:val="nil"/>
              <w:left w:val="single" w:sz="8" w:space="0" w:color="auto"/>
              <w:bottom w:val="nil"/>
              <w:right w:val="single" w:sz="8" w:space="0" w:color="auto"/>
            </w:tcBorders>
            <w:shd w:val="clear" w:color="000000" w:fill="D9E1F2"/>
            <w:noWrap/>
            <w:hideMark/>
          </w:tcPr>
          <w:p w:rsidR="003B453C" w:rsidRPr="003B0112" w:rsidRDefault="003B453C" w:rsidP="003B453C">
            <w:pPr>
              <w:rPr>
                <w:rFonts w:ascii="Garamond" w:eastAsia="Times New Roman" w:hAnsi="Garamond" w:cs="Calibri"/>
                <w:sz w:val="20"/>
                <w:szCs w:val="20"/>
                <w:lang w:val="en-IN" w:eastAsia="en-IN" w:bidi="hi-IN"/>
              </w:rPr>
            </w:pPr>
            <w:r w:rsidRPr="003B0112">
              <w:rPr>
                <w:rFonts w:ascii="Garamond" w:eastAsia="Times New Roman" w:hAnsi="Garamond" w:cs="Calibri"/>
                <w:sz w:val="20"/>
                <w:szCs w:val="20"/>
                <w:lang w:val="en-IN" w:eastAsia="en-IN" w:bidi="hi-IN"/>
              </w:rPr>
              <w:t>India</w:t>
            </w:r>
          </w:p>
        </w:tc>
        <w:tc>
          <w:tcPr>
            <w:tcW w:w="1240" w:type="dxa"/>
            <w:tcBorders>
              <w:top w:val="nil"/>
              <w:left w:val="nil"/>
              <w:bottom w:val="nil"/>
              <w:right w:val="single" w:sz="8" w:space="0" w:color="auto"/>
            </w:tcBorders>
            <w:shd w:val="clear" w:color="000000" w:fill="D9E1F2"/>
            <w:noWrap/>
            <w:hideMark/>
          </w:tcPr>
          <w:p w:rsidR="003B453C" w:rsidRPr="003B0112" w:rsidRDefault="003B453C" w:rsidP="003B453C">
            <w:pPr>
              <w:rPr>
                <w:rFonts w:ascii="Garamond" w:eastAsia="Times New Roman" w:hAnsi="Garamond" w:cs="Calibri"/>
                <w:sz w:val="20"/>
                <w:szCs w:val="20"/>
                <w:lang w:val="en-IN" w:eastAsia="en-IN" w:bidi="hi-IN"/>
              </w:rPr>
            </w:pPr>
            <w:r w:rsidRPr="003B0112">
              <w:rPr>
                <w:rFonts w:ascii="Garamond" w:eastAsia="Times New Roman" w:hAnsi="Garamond" w:cs="Calibri"/>
                <w:sz w:val="20"/>
                <w:szCs w:val="20"/>
                <w:lang w:val="en-IN" w:eastAsia="en-IN" w:bidi="hi-IN"/>
              </w:rPr>
              <w:t>Rupee</w:t>
            </w:r>
          </w:p>
        </w:tc>
        <w:tc>
          <w:tcPr>
            <w:tcW w:w="1312" w:type="dxa"/>
            <w:tcBorders>
              <w:top w:val="nil"/>
              <w:left w:val="nil"/>
              <w:bottom w:val="nil"/>
              <w:right w:val="single" w:sz="8" w:space="0" w:color="auto"/>
            </w:tcBorders>
            <w:shd w:val="clear" w:color="000000" w:fill="9BC2E6"/>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74.9</w:t>
            </w:r>
          </w:p>
        </w:tc>
        <w:tc>
          <w:tcPr>
            <w:tcW w:w="1331"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1.0</w:t>
            </w:r>
          </w:p>
        </w:tc>
        <w:tc>
          <w:tcPr>
            <w:tcW w:w="992"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0.8</w:t>
            </w:r>
          </w:p>
        </w:tc>
        <w:tc>
          <w:tcPr>
            <w:tcW w:w="1134"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1.2</w:t>
            </w:r>
          </w:p>
        </w:tc>
        <w:tc>
          <w:tcPr>
            <w:tcW w:w="992"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0.5</w:t>
            </w:r>
          </w:p>
        </w:tc>
      </w:tr>
      <w:tr w:rsidR="003B453C" w:rsidRPr="003B0112" w:rsidTr="003B453C">
        <w:trPr>
          <w:gridAfter w:val="1"/>
          <w:wAfter w:w="10" w:type="dxa"/>
          <w:trHeight w:val="300"/>
        </w:trPr>
        <w:tc>
          <w:tcPr>
            <w:tcW w:w="1276" w:type="dxa"/>
            <w:tcBorders>
              <w:top w:val="nil"/>
              <w:left w:val="single" w:sz="8" w:space="0" w:color="auto"/>
              <w:bottom w:val="nil"/>
              <w:right w:val="single" w:sz="8" w:space="0" w:color="auto"/>
            </w:tcBorders>
            <w:shd w:val="clear" w:color="000000" w:fill="D9E1F2"/>
            <w:noWrap/>
            <w:hideMark/>
          </w:tcPr>
          <w:p w:rsidR="003B453C" w:rsidRPr="003B0112" w:rsidRDefault="003B453C" w:rsidP="003B453C">
            <w:pPr>
              <w:rPr>
                <w:rFonts w:ascii="Garamond" w:eastAsia="Times New Roman" w:hAnsi="Garamond" w:cs="Calibri"/>
                <w:sz w:val="20"/>
                <w:szCs w:val="20"/>
                <w:lang w:val="en-IN" w:eastAsia="en-IN" w:bidi="hi-IN"/>
              </w:rPr>
            </w:pPr>
            <w:r w:rsidRPr="003B0112">
              <w:rPr>
                <w:rFonts w:ascii="Garamond" w:eastAsia="Times New Roman" w:hAnsi="Garamond" w:cs="Calibri"/>
                <w:sz w:val="20"/>
                <w:szCs w:val="20"/>
                <w:lang w:val="en-IN" w:eastAsia="en-IN" w:bidi="hi-IN"/>
              </w:rPr>
              <w:t>China</w:t>
            </w:r>
          </w:p>
        </w:tc>
        <w:tc>
          <w:tcPr>
            <w:tcW w:w="1240" w:type="dxa"/>
            <w:tcBorders>
              <w:top w:val="nil"/>
              <w:left w:val="nil"/>
              <w:bottom w:val="nil"/>
              <w:right w:val="single" w:sz="8" w:space="0" w:color="auto"/>
            </w:tcBorders>
            <w:shd w:val="clear" w:color="000000" w:fill="D9E1F2"/>
            <w:noWrap/>
            <w:hideMark/>
          </w:tcPr>
          <w:p w:rsidR="003B453C" w:rsidRPr="003B0112" w:rsidRDefault="003B453C" w:rsidP="003B453C">
            <w:pPr>
              <w:rPr>
                <w:rFonts w:ascii="Garamond" w:eastAsia="Times New Roman" w:hAnsi="Garamond" w:cs="Calibri"/>
                <w:sz w:val="20"/>
                <w:szCs w:val="20"/>
                <w:lang w:val="en-IN" w:eastAsia="en-IN" w:bidi="hi-IN"/>
              </w:rPr>
            </w:pPr>
            <w:r w:rsidRPr="003B0112">
              <w:rPr>
                <w:rFonts w:ascii="Garamond" w:eastAsia="Times New Roman" w:hAnsi="Garamond" w:cs="Calibri"/>
                <w:sz w:val="20"/>
                <w:szCs w:val="20"/>
                <w:lang w:val="en-IN" w:eastAsia="en-IN" w:bidi="hi-IN"/>
              </w:rPr>
              <w:t>Renminbi</w:t>
            </w:r>
          </w:p>
        </w:tc>
        <w:tc>
          <w:tcPr>
            <w:tcW w:w="1312" w:type="dxa"/>
            <w:tcBorders>
              <w:top w:val="nil"/>
              <w:left w:val="nil"/>
              <w:bottom w:val="nil"/>
              <w:right w:val="single" w:sz="8" w:space="0" w:color="auto"/>
            </w:tcBorders>
            <w:shd w:val="clear" w:color="000000" w:fill="9BC2E6"/>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6.4</w:t>
            </w:r>
          </w:p>
        </w:tc>
        <w:tc>
          <w:tcPr>
            <w:tcW w:w="1331"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-0.6</w:t>
            </w:r>
          </w:p>
        </w:tc>
        <w:tc>
          <w:tcPr>
            <w:tcW w:w="992"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-0.9</w:t>
            </w:r>
          </w:p>
        </w:tc>
        <w:tc>
          <w:tcPr>
            <w:tcW w:w="1134"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-1.1</w:t>
            </w:r>
          </w:p>
        </w:tc>
        <w:tc>
          <w:tcPr>
            <w:tcW w:w="992"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-4.3</w:t>
            </w:r>
          </w:p>
        </w:tc>
      </w:tr>
      <w:tr w:rsidR="003B453C" w:rsidRPr="003B0112" w:rsidTr="003B453C">
        <w:trPr>
          <w:gridAfter w:val="1"/>
          <w:wAfter w:w="10" w:type="dxa"/>
          <w:trHeight w:val="315"/>
        </w:trPr>
        <w:tc>
          <w:tcPr>
            <w:tcW w:w="1276" w:type="dxa"/>
            <w:tcBorders>
              <w:top w:val="nil"/>
              <w:left w:val="single" w:sz="8" w:space="0" w:color="auto"/>
              <w:bottom w:val="single" w:sz="8" w:space="0" w:color="auto"/>
              <w:right w:val="single" w:sz="8" w:space="0" w:color="auto"/>
            </w:tcBorders>
            <w:shd w:val="clear" w:color="000000" w:fill="D9E1F2"/>
            <w:noWrap/>
            <w:hideMark/>
          </w:tcPr>
          <w:p w:rsidR="003B453C" w:rsidRPr="003B0112" w:rsidRDefault="003B453C" w:rsidP="003B453C">
            <w:pPr>
              <w:rPr>
                <w:rFonts w:ascii="Garamond" w:eastAsia="Times New Roman" w:hAnsi="Garamond" w:cs="Calibri"/>
                <w:sz w:val="20"/>
                <w:szCs w:val="20"/>
                <w:lang w:val="en-IN" w:eastAsia="en-IN" w:bidi="hi-IN"/>
              </w:rPr>
            </w:pPr>
            <w:r w:rsidRPr="003B0112">
              <w:rPr>
                <w:rFonts w:ascii="Garamond" w:eastAsia="Times New Roman" w:hAnsi="Garamond" w:cs="Calibri"/>
                <w:sz w:val="20"/>
                <w:szCs w:val="20"/>
                <w:lang w:val="en-IN" w:eastAsia="en-IN" w:bidi="hi-IN"/>
              </w:rPr>
              <w:t>S. Africa</w:t>
            </w:r>
          </w:p>
        </w:tc>
        <w:tc>
          <w:tcPr>
            <w:tcW w:w="1240" w:type="dxa"/>
            <w:tcBorders>
              <w:top w:val="nil"/>
              <w:left w:val="nil"/>
              <w:bottom w:val="nil"/>
              <w:right w:val="single" w:sz="8" w:space="0" w:color="auto"/>
            </w:tcBorders>
            <w:shd w:val="clear" w:color="000000" w:fill="D9E1F2"/>
            <w:noWrap/>
            <w:hideMark/>
          </w:tcPr>
          <w:p w:rsidR="003B453C" w:rsidRPr="003B0112" w:rsidRDefault="003B453C" w:rsidP="003B453C">
            <w:pPr>
              <w:rPr>
                <w:rFonts w:ascii="Garamond" w:eastAsia="Times New Roman" w:hAnsi="Garamond" w:cs="Calibri"/>
                <w:sz w:val="20"/>
                <w:szCs w:val="20"/>
                <w:lang w:val="en-IN" w:eastAsia="en-IN" w:bidi="hi-IN"/>
              </w:rPr>
            </w:pPr>
            <w:r w:rsidRPr="003B0112">
              <w:rPr>
                <w:rFonts w:ascii="Garamond" w:eastAsia="Times New Roman" w:hAnsi="Garamond" w:cs="Calibri"/>
                <w:sz w:val="20"/>
                <w:szCs w:val="20"/>
                <w:lang w:val="en-IN" w:eastAsia="en-IN" w:bidi="hi-IN"/>
              </w:rPr>
              <w:t>Rand</w:t>
            </w:r>
          </w:p>
        </w:tc>
        <w:tc>
          <w:tcPr>
            <w:tcW w:w="1312" w:type="dxa"/>
            <w:tcBorders>
              <w:top w:val="nil"/>
              <w:left w:val="nil"/>
              <w:bottom w:val="nil"/>
              <w:right w:val="single" w:sz="8" w:space="0" w:color="auto"/>
            </w:tcBorders>
            <w:shd w:val="clear" w:color="000000" w:fill="9BC2E6"/>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15.2</w:t>
            </w:r>
          </w:p>
        </w:tc>
        <w:tc>
          <w:tcPr>
            <w:tcW w:w="1331"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0.8</w:t>
            </w:r>
          </w:p>
        </w:tc>
        <w:tc>
          <w:tcPr>
            <w:tcW w:w="992"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4.4</w:t>
            </w:r>
          </w:p>
        </w:tc>
        <w:tc>
          <w:tcPr>
            <w:tcW w:w="1134"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4.9</w:t>
            </w:r>
          </w:p>
        </w:tc>
        <w:tc>
          <w:tcPr>
            <w:tcW w:w="992"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-6.4</w:t>
            </w:r>
          </w:p>
        </w:tc>
      </w:tr>
      <w:tr w:rsidR="003B453C" w:rsidRPr="003B0112" w:rsidTr="003B453C">
        <w:trPr>
          <w:trHeight w:val="315"/>
        </w:trPr>
        <w:tc>
          <w:tcPr>
            <w:tcW w:w="8287" w:type="dxa"/>
            <w:gridSpan w:val="8"/>
            <w:tcBorders>
              <w:top w:val="single" w:sz="8" w:space="0" w:color="auto"/>
              <w:left w:val="single" w:sz="8" w:space="0" w:color="auto"/>
              <w:bottom w:val="single" w:sz="8" w:space="0" w:color="auto"/>
              <w:right w:val="single" w:sz="8" w:space="0" w:color="000000"/>
            </w:tcBorders>
            <w:shd w:val="clear" w:color="000000" w:fill="D9E1F2"/>
            <w:hideMark/>
          </w:tcPr>
          <w:p w:rsidR="003B453C" w:rsidRPr="003B0112" w:rsidRDefault="003B453C" w:rsidP="003B453C">
            <w:pPr>
              <w:jc w:val="center"/>
              <w:rPr>
                <w:rFonts w:ascii="Garamond" w:eastAsia="Times New Roman" w:hAnsi="Garamond" w:cs="Calibri"/>
                <w:b/>
                <w:bCs/>
                <w:sz w:val="20"/>
                <w:szCs w:val="20"/>
                <w:lang w:val="en-IN" w:eastAsia="en-IN" w:bidi="hi-IN"/>
              </w:rPr>
            </w:pPr>
            <w:r w:rsidRPr="003B0112">
              <w:rPr>
                <w:rFonts w:ascii="Garamond" w:eastAsia="Times New Roman" w:hAnsi="Garamond" w:cs="Calibri"/>
                <w:b/>
                <w:bCs/>
                <w:sz w:val="20"/>
                <w:szCs w:val="20"/>
                <w:lang w:val="en-IN" w:eastAsia="en-IN" w:bidi="hi-IN"/>
              </w:rPr>
              <w:t>Developed Markets</w:t>
            </w:r>
          </w:p>
        </w:tc>
      </w:tr>
      <w:tr w:rsidR="003B453C" w:rsidRPr="003B0112" w:rsidTr="003B453C">
        <w:trPr>
          <w:gridAfter w:val="1"/>
          <w:wAfter w:w="10" w:type="dxa"/>
          <w:trHeight w:val="300"/>
        </w:trPr>
        <w:tc>
          <w:tcPr>
            <w:tcW w:w="1276" w:type="dxa"/>
            <w:tcBorders>
              <w:top w:val="nil"/>
              <w:left w:val="single" w:sz="8" w:space="0" w:color="auto"/>
              <w:bottom w:val="nil"/>
              <w:right w:val="single" w:sz="8" w:space="0" w:color="auto"/>
            </w:tcBorders>
            <w:shd w:val="clear" w:color="000000" w:fill="D9E1F2"/>
            <w:noWrap/>
            <w:hideMark/>
          </w:tcPr>
          <w:p w:rsidR="003B453C" w:rsidRPr="003B0112" w:rsidRDefault="003B453C" w:rsidP="003B453C">
            <w:pPr>
              <w:rPr>
                <w:rFonts w:ascii="Garamond" w:eastAsia="Times New Roman" w:hAnsi="Garamond" w:cs="Calibri"/>
                <w:sz w:val="20"/>
                <w:szCs w:val="20"/>
                <w:lang w:val="en-IN" w:eastAsia="en-IN" w:bidi="hi-IN"/>
              </w:rPr>
            </w:pPr>
            <w:r w:rsidRPr="003B0112">
              <w:rPr>
                <w:rFonts w:ascii="Garamond" w:eastAsia="Times New Roman" w:hAnsi="Garamond" w:cs="Calibri"/>
                <w:sz w:val="20"/>
                <w:szCs w:val="20"/>
                <w:lang w:val="en-IN" w:eastAsia="en-IN" w:bidi="hi-IN"/>
              </w:rPr>
              <w:t>UK</w:t>
            </w:r>
          </w:p>
        </w:tc>
        <w:tc>
          <w:tcPr>
            <w:tcW w:w="1240" w:type="dxa"/>
            <w:tcBorders>
              <w:top w:val="nil"/>
              <w:left w:val="nil"/>
              <w:bottom w:val="nil"/>
              <w:right w:val="single" w:sz="8" w:space="0" w:color="auto"/>
            </w:tcBorders>
            <w:shd w:val="clear" w:color="000000" w:fill="D9E1F2"/>
            <w:noWrap/>
            <w:hideMark/>
          </w:tcPr>
          <w:p w:rsidR="003B453C" w:rsidRPr="003B0112" w:rsidRDefault="003B453C" w:rsidP="003B453C">
            <w:pPr>
              <w:rPr>
                <w:rFonts w:ascii="Garamond" w:eastAsia="Times New Roman" w:hAnsi="Garamond" w:cs="Calibri"/>
                <w:sz w:val="20"/>
                <w:szCs w:val="20"/>
                <w:lang w:val="en-IN" w:eastAsia="en-IN" w:bidi="hi-IN"/>
              </w:rPr>
            </w:pPr>
            <w:r w:rsidRPr="003B0112">
              <w:rPr>
                <w:rFonts w:ascii="Garamond" w:eastAsia="Times New Roman" w:hAnsi="Garamond" w:cs="Calibri"/>
                <w:sz w:val="20"/>
                <w:szCs w:val="20"/>
                <w:lang w:val="en-IN" w:eastAsia="en-IN" w:bidi="hi-IN"/>
              </w:rPr>
              <w:t>Pound</w:t>
            </w:r>
          </w:p>
        </w:tc>
        <w:tc>
          <w:tcPr>
            <w:tcW w:w="1312" w:type="dxa"/>
            <w:tcBorders>
              <w:top w:val="nil"/>
              <w:left w:val="nil"/>
              <w:bottom w:val="nil"/>
              <w:right w:val="single" w:sz="8" w:space="0" w:color="auto"/>
            </w:tcBorders>
            <w:shd w:val="clear" w:color="000000" w:fill="9BC2E6"/>
            <w:noWrap/>
            <w:hideMark/>
          </w:tcPr>
          <w:p w:rsidR="003B453C" w:rsidRPr="003B0112" w:rsidRDefault="003B453C" w:rsidP="003B453C">
            <w:pPr>
              <w:ind w:firstLineChars="100" w:firstLine="200"/>
              <w:jc w:val="right"/>
              <w:rPr>
                <w:rFonts w:ascii="Garamond" w:hAnsi="Garamond" w:cs="Calibri"/>
                <w:sz w:val="20"/>
                <w:szCs w:val="20"/>
                <w:lang w:val="en-IN" w:eastAsia="en-IN" w:bidi="hi-IN"/>
              </w:rPr>
            </w:pPr>
            <w:r w:rsidRPr="003B0112">
              <w:rPr>
                <w:rFonts w:ascii="Garamond" w:hAnsi="Garamond" w:cs="Calibri"/>
                <w:sz w:val="20"/>
                <w:szCs w:val="20"/>
              </w:rPr>
              <w:t>0.7</w:t>
            </w:r>
          </w:p>
        </w:tc>
        <w:tc>
          <w:tcPr>
            <w:tcW w:w="1331"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-1.6</w:t>
            </w:r>
          </w:p>
        </w:tc>
        <w:tc>
          <w:tcPr>
            <w:tcW w:w="992"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1.5</w:t>
            </w:r>
          </w:p>
        </w:tc>
        <w:tc>
          <w:tcPr>
            <w:tcW w:w="1134"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0.9</w:t>
            </w:r>
          </w:p>
        </w:tc>
        <w:tc>
          <w:tcPr>
            <w:tcW w:w="992"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-5.5</w:t>
            </w:r>
          </w:p>
        </w:tc>
      </w:tr>
      <w:tr w:rsidR="003B453C" w:rsidRPr="003B0112" w:rsidTr="003B453C">
        <w:trPr>
          <w:gridAfter w:val="1"/>
          <w:wAfter w:w="10" w:type="dxa"/>
          <w:trHeight w:val="300"/>
        </w:trPr>
        <w:tc>
          <w:tcPr>
            <w:tcW w:w="1276" w:type="dxa"/>
            <w:tcBorders>
              <w:top w:val="nil"/>
              <w:left w:val="single" w:sz="8" w:space="0" w:color="auto"/>
              <w:bottom w:val="nil"/>
              <w:right w:val="single" w:sz="8" w:space="0" w:color="auto"/>
            </w:tcBorders>
            <w:shd w:val="clear" w:color="000000" w:fill="D9E1F2"/>
            <w:noWrap/>
            <w:hideMark/>
          </w:tcPr>
          <w:p w:rsidR="003B453C" w:rsidRPr="003B0112" w:rsidRDefault="003B453C" w:rsidP="003B453C">
            <w:pPr>
              <w:rPr>
                <w:rFonts w:ascii="Garamond" w:eastAsia="Times New Roman" w:hAnsi="Garamond" w:cs="Calibri"/>
                <w:sz w:val="20"/>
                <w:szCs w:val="20"/>
                <w:lang w:val="en-IN" w:eastAsia="en-IN" w:bidi="hi-IN"/>
              </w:rPr>
            </w:pPr>
            <w:r w:rsidRPr="003B0112">
              <w:rPr>
                <w:rFonts w:ascii="Garamond" w:eastAsia="Times New Roman" w:hAnsi="Garamond" w:cs="Calibri"/>
                <w:sz w:val="20"/>
                <w:szCs w:val="20"/>
                <w:lang w:val="en-IN" w:eastAsia="en-IN" w:bidi="hi-IN"/>
              </w:rPr>
              <w:t>Europe</w:t>
            </w:r>
          </w:p>
        </w:tc>
        <w:tc>
          <w:tcPr>
            <w:tcW w:w="1240" w:type="dxa"/>
            <w:tcBorders>
              <w:top w:val="nil"/>
              <w:left w:val="nil"/>
              <w:bottom w:val="nil"/>
              <w:right w:val="single" w:sz="8" w:space="0" w:color="auto"/>
            </w:tcBorders>
            <w:shd w:val="clear" w:color="000000" w:fill="D9E1F2"/>
            <w:noWrap/>
            <w:hideMark/>
          </w:tcPr>
          <w:p w:rsidR="003B453C" w:rsidRPr="003B0112" w:rsidRDefault="003B453C" w:rsidP="003B453C">
            <w:pPr>
              <w:rPr>
                <w:rFonts w:ascii="Garamond" w:eastAsia="Times New Roman" w:hAnsi="Garamond" w:cs="Calibri"/>
                <w:sz w:val="20"/>
                <w:szCs w:val="20"/>
                <w:lang w:val="en-IN" w:eastAsia="en-IN" w:bidi="hi-IN"/>
              </w:rPr>
            </w:pPr>
            <w:r w:rsidRPr="003B0112">
              <w:rPr>
                <w:rFonts w:ascii="Garamond" w:eastAsia="Times New Roman" w:hAnsi="Garamond" w:cs="Calibri"/>
                <w:sz w:val="20"/>
                <w:szCs w:val="20"/>
                <w:lang w:val="en-IN" w:eastAsia="en-IN" w:bidi="hi-IN"/>
              </w:rPr>
              <w:t>Euro</w:t>
            </w:r>
          </w:p>
        </w:tc>
        <w:tc>
          <w:tcPr>
            <w:tcW w:w="1312" w:type="dxa"/>
            <w:tcBorders>
              <w:top w:val="nil"/>
              <w:left w:val="nil"/>
              <w:bottom w:val="nil"/>
              <w:right w:val="single" w:sz="8" w:space="0" w:color="auto"/>
            </w:tcBorders>
            <w:shd w:val="clear" w:color="000000" w:fill="9BC2E6"/>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0.9</w:t>
            </w:r>
          </w:p>
        </w:tc>
        <w:tc>
          <w:tcPr>
            <w:tcW w:w="1331"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0.2</w:t>
            </w:r>
          </w:p>
        </w:tc>
        <w:tc>
          <w:tcPr>
            <w:tcW w:w="992"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2.7</w:t>
            </w:r>
          </w:p>
        </w:tc>
        <w:tc>
          <w:tcPr>
            <w:tcW w:w="1134"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4.0</w:t>
            </w:r>
          </w:p>
        </w:tc>
        <w:tc>
          <w:tcPr>
            <w:tcW w:w="992"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0.7</w:t>
            </w:r>
          </w:p>
        </w:tc>
      </w:tr>
      <w:tr w:rsidR="003B453C" w:rsidRPr="003B0112" w:rsidTr="003B453C">
        <w:trPr>
          <w:gridAfter w:val="1"/>
          <w:wAfter w:w="10" w:type="dxa"/>
          <w:trHeight w:val="300"/>
        </w:trPr>
        <w:tc>
          <w:tcPr>
            <w:tcW w:w="1276" w:type="dxa"/>
            <w:tcBorders>
              <w:top w:val="nil"/>
              <w:left w:val="single" w:sz="8" w:space="0" w:color="auto"/>
              <w:bottom w:val="nil"/>
              <w:right w:val="single" w:sz="8" w:space="0" w:color="auto"/>
            </w:tcBorders>
            <w:shd w:val="clear" w:color="000000" w:fill="D9E1F2"/>
            <w:noWrap/>
            <w:hideMark/>
          </w:tcPr>
          <w:p w:rsidR="003B453C" w:rsidRPr="003B0112" w:rsidRDefault="003B453C" w:rsidP="003B453C">
            <w:pPr>
              <w:rPr>
                <w:rFonts w:ascii="Garamond" w:eastAsia="Times New Roman" w:hAnsi="Garamond" w:cs="Calibri"/>
                <w:sz w:val="20"/>
                <w:szCs w:val="20"/>
                <w:lang w:val="en-IN" w:eastAsia="en-IN" w:bidi="hi-IN"/>
              </w:rPr>
            </w:pPr>
            <w:r w:rsidRPr="003B0112">
              <w:rPr>
                <w:rFonts w:ascii="Garamond" w:eastAsia="Times New Roman" w:hAnsi="Garamond" w:cs="Calibri"/>
                <w:sz w:val="20"/>
                <w:szCs w:val="20"/>
                <w:lang w:val="en-IN" w:eastAsia="en-IN" w:bidi="hi-IN"/>
              </w:rPr>
              <w:t>Japan</w:t>
            </w:r>
          </w:p>
        </w:tc>
        <w:tc>
          <w:tcPr>
            <w:tcW w:w="1240" w:type="dxa"/>
            <w:tcBorders>
              <w:top w:val="nil"/>
              <w:left w:val="nil"/>
              <w:bottom w:val="nil"/>
              <w:right w:val="single" w:sz="8" w:space="0" w:color="auto"/>
            </w:tcBorders>
            <w:shd w:val="clear" w:color="000000" w:fill="D9E1F2"/>
            <w:noWrap/>
            <w:hideMark/>
          </w:tcPr>
          <w:p w:rsidR="003B453C" w:rsidRPr="003B0112" w:rsidRDefault="003B453C" w:rsidP="003B453C">
            <w:pPr>
              <w:rPr>
                <w:rFonts w:ascii="Garamond" w:eastAsia="Times New Roman" w:hAnsi="Garamond" w:cs="Calibri"/>
                <w:sz w:val="20"/>
                <w:szCs w:val="20"/>
                <w:lang w:val="en-IN" w:eastAsia="en-IN" w:bidi="hi-IN"/>
              </w:rPr>
            </w:pPr>
            <w:r w:rsidRPr="003B0112">
              <w:rPr>
                <w:rFonts w:ascii="Garamond" w:eastAsia="Times New Roman" w:hAnsi="Garamond" w:cs="Calibri"/>
                <w:sz w:val="20"/>
                <w:szCs w:val="20"/>
                <w:lang w:val="en-IN" w:eastAsia="en-IN" w:bidi="hi-IN"/>
              </w:rPr>
              <w:t>Yen</w:t>
            </w:r>
          </w:p>
        </w:tc>
        <w:tc>
          <w:tcPr>
            <w:tcW w:w="1312" w:type="dxa"/>
            <w:tcBorders>
              <w:top w:val="nil"/>
              <w:left w:val="nil"/>
              <w:bottom w:val="nil"/>
              <w:right w:val="single" w:sz="8" w:space="0" w:color="auto"/>
            </w:tcBorders>
            <w:shd w:val="clear" w:color="000000" w:fill="9BC2E6"/>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114.0</w:t>
            </w:r>
          </w:p>
        </w:tc>
        <w:tc>
          <w:tcPr>
            <w:tcW w:w="1331"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2.5</w:t>
            </w:r>
          </w:p>
        </w:tc>
        <w:tc>
          <w:tcPr>
            <w:tcW w:w="992"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3.9</w:t>
            </w:r>
          </w:p>
        </w:tc>
        <w:tc>
          <w:tcPr>
            <w:tcW w:w="1134"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4.3</w:t>
            </w:r>
          </w:p>
        </w:tc>
        <w:tc>
          <w:tcPr>
            <w:tcW w:w="992"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8.9</w:t>
            </w:r>
          </w:p>
        </w:tc>
      </w:tr>
      <w:tr w:rsidR="003B453C" w:rsidRPr="003B0112" w:rsidTr="003B453C">
        <w:trPr>
          <w:gridAfter w:val="1"/>
          <w:wAfter w:w="10" w:type="dxa"/>
          <w:trHeight w:val="300"/>
        </w:trPr>
        <w:tc>
          <w:tcPr>
            <w:tcW w:w="1276" w:type="dxa"/>
            <w:tcBorders>
              <w:top w:val="nil"/>
              <w:left w:val="single" w:sz="8" w:space="0" w:color="auto"/>
              <w:bottom w:val="nil"/>
              <w:right w:val="single" w:sz="8" w:space="0" w:color="auto"/>
            </w:tcBorders>
            <w:shd w:val="clear" w:color="000000" w:fill="D9E1F2"/>
            <w:noWrap/>
            <w:hideMark/>
          </w:tcPr>
          <w:p w:rsidR="003B453C" w:rsidRPr="003B0112" w:rsidRDefault="003B453C" w:rsidP="003B453C">
            <w:pPr>
              <w:rPr>
                <w:rFonts w:ascii="Garamond" w:eastAsia="Times New Roman" w:hAnsi="Garamond" w:cs="Calibri"/>
                <w:sz w:val="20"/>
                <w:szCs w:val="20"/>
                <w:lang w:val="en-IN" w:eastAsia="en-IN" w:bidi="hi-IN"/>
              </w:rPr>
            </w:pPr>
            <w:r w:rsidRPr="003B0112">
              <w:rPr>
                <w:rFonts w:ascii="Garamond" w:eastAsia="Times New Roman" w:hAnsi="Garamond" w:cs="Calibri"/>
                <w:sz w:val="20"/>
                <w:szCs w:val="20"/>
                <w:lang w:val="en-IN" w:eastAsia="en-IN" w:bidi="hi-IN"/>
              </w:rPr>
              <w:t>France</w:t>
            </w:r>
          </w:p>
        </w:tc>
        <w:tc>
          <w:tcPr>
            <w:tcW w:w="1240" w:type="dxa"/>
            <w:tcBorders>
              <w:top w:val="nil"/>
              <w:left w:val="nil"/>
              <w:bottom w:val="nil"/>
              <w:right w:val="single" w:sz="8" w:space="0" w:color="auto"/>
            </w:tcBorders>
            <w:shd w:val="clear" w:color="000000" w:fill="D9E1F2"/>
            <w:noWrap/>
            <w:hideMark/>
          </w:tcPr>
          <w:p w:rsidR="003B453C" w:rsidRPr="003B0112" w:rsidRDefault="003B453C" w:rsidP="003B453C">
            <w:pPr>
              <w:rPr>
                <w:rFonts w:ascii="Garamond" w:eastAsia="Times New Roman" w:hAnsi="Garamond" w:cs="Calibri"/>
                <w:sz w:val="20"/>
                <w:szCs w:val="20"/>
                <w:lang w:val="en-IN" w:eastAsia="en-IN" w:bidi="hi-IN"/>
              </w:rPr>
            </w:pPr>
            <w:r w:rsidRPr="003B0112">
              <w:rPr>
                <w:rFonts w:ascii="Garamond" w:eastAsia="Times New Roman" w:hAnsi="Garamond" w:cs="Calibri"/>
                <w:sz w:val="20"/>
                <w:szCs w:val="20"/>
                <w:lang w:val="en-IN" w:eastAsia="en-IN" w:bidi="hi-IN"/>
              </w:rPr>
              <w:t>Franc</w:t>
            </w:r>
          </w:p>
        </w:tc>
        <w:tc>
          <w:tcPr>
            <w:tcW w:w="1312" w:type="dxa"/>
            <w:tcBorders>
              <w:top w:val="nil"/>
              <w:left w:val="nil"/>
              <w:bottom w:val="nil"/>
              <w:right w:val="single" w:sz="8" w:space="0" w:color="auto"/>
            </w:tcBorders>
            <w:shd w:val="clear" w:color="000000" w:fill="9BC2E6"/>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0.9</w:t>
            </w:r>
          </w:p>
        </w:tc>
        <w:tc>
          <w:tcPr>
            <w:tcW w:w="1331"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-1.7</w:t>
            </w:r>
          </w:p>
        </w:tc>
        <w:tc>
          <w:tcPr>
            <w:tcW w:w="992"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1.1</w:t>
            </w:r>
          </w:p>
        </w:tc>
        <w:tc>
          <w:tcPr>
            <w:tcW w:w="1134"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0.3</w:t>
            </w:r>
          </w:p>
        </w:tc>
        <w:tc>
          <w:tcPr>
            <w:tcW w:w="992" w:type="dxa"/>
            <w:tcBorders>
              <w:top w:val="nil"/>
              <w:left w:val="nil"/>
              <w:bottom w:val="nil"/>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-0.1</w:t>
            </w:r>
          </w:p>
        </w:tc>
      </w:tr>
      <w:tr w:rsidR="003B453C" w:rsidRPr="003B0112" w:rsidTr="003B453C">
        <w:trPr>
          <w:gridAfter w:val="1"/>
          <w:wAfter w:w="10" w:type="dxa"/>
          <w:trHeight w:val="315"/>
        </w:trPr>
        <w:tc>
          <w:tcPr>
            <w:tcW w:w="1276" w:type="dxa"/>
            <w:tcBorders>
              <w:top w:val="nil"/>
              <w:left w:val="single" w:sz="8" w:space="0" w:color="auto"/>
              <w:bottom w:val="single" w:sz="8" w:space="0" w:color="auto"/>
              <w:right w:val="single" w:sz="8" w:space="0" w:color="auto"/>
            </w:tcBorders>
            <w:shd w:val="clear" w:color="000000" w:fill="D9E1F2"/>
            <w:noWrap/>
            <w:hideMark/>
          </w:tcPr>
          <w:p w:rsidR="003B453C" w:rsidRPr="003B0112" w:rsidRDefault="003B453C" w:rsidP="003B453C">
            <w:pPr>
              <w:rPr>
                <w:rFonts w:ascii="Garamond" w:eastAsia="Times New Roman" w:hAnsi="Garamond" w:cs="Calibri"/>
                <w:sz w:val="20"/>
                <w:szCs w:val="20"/>
                <w:lang w:val="en-IN" w:eastAsia="en-IN" w:bidi="hi-IN"/>
              </w:rPr>
            </w:pPr>
            <w:r w:rsidRPr="003B0112">
              <w:rPr>
                <w:rFonts w:ascii="Garamond" w:eastAsia="Times New Roman" w:hAnsi="Garamond" w:cs="Calibri"/>
                <w:sz w:val="20"/>
                <w:szCs w:val="20"/>
                <w:lang w:val="en-IN" w:eastAsia="en-IN" w:bidi="hi-IN"/>
              </w:rPr>
              <w:t>US</w:t>
            </w:r>
          </w:p>
        </w:tc>
        <w:tc>
          <w:tcPr>
            <w:tcW w:w="1240" w:type="dxa"/>
            <w:tcBorders>
              <w:top w:val="nil"/>
              <w:left w:val="nil"/>
              <w:bottom w:val="single" w:sz="8" w:space="0" w:color="auto"/>
              <w:right w:val="single" w:sz="8" w:space="0" w:color="auto"/>
            </w:tcBorders>
            <w:shd w:val="clear" w:color="000000" w:fill="D9E1F2"/>
            <w:noWrap/>
            <w:hideMark/>
          </w:tcPr>
          <w:p w:rsidR="003B453C" w:rsidRPr="003B0112" w:rsidRDefault="003B453C" w:rsidP="003B453C">
            <w:pPr>
              <w:rPr>
                <w:rFonts w:ascii="Garamond" w:eastAsia="Times New Roman" w:hAnsi="Garamond" w:cs="Calibri"/>
                <w:sz w:val="20"/>
                <w:szCs w:val="20"/>
                <w:lang w:val="en-IN" w:eastAsia="en-IN" w:bidi="hi-IN"/>
              </w:rPr>
            </w:pPr>
            <w:r w:rsidRPr="003B0112">
              <w:rPr>
                <w:rFonts w:ascii="Garamond" w:eastAsia="Times New Roman" w:hAnsi="Garamond" w:cs="Calibri"/>
                <w:sz w:val="20"/>
                <w:szCs w:val="20"/>
                <w:lang w:val="en-IN" w:eastAsia="en-IN" w:bidi="hi-IN"/>
              </w:rPr>
              <w:t>Dollar Index</w:t>
            </w:r>
          </w:p>
        </w:tc>
        <w:tc>
          <w:tcPr>
            <w:tcW w:w="1312" w:type="dxa"/>
            <w:tcBorders>
              <w:top w:val="nil"/>
              <w:left w:val="nil"/>
              <w:bottom w:val="single" w:sz="8" w:space="0" w:color="auto"/>
              <w:right w:val="single" w:sz="8" w:space="0" w:color="auto"/>
            </w:tcBorders>
            <w:shd w:val="clear" w:color="000000" w:fill="9BC2E6"/>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94.1</w:t>
            </w:r>
          </w:p>
        </w:tc>
        <w:tc>
          <w:tcPr>
            <w:tcW w:w="1331" w:type="dxa"/>
            <w:tcBorders>
              <w:top w:val="nil"/>
              <w:left w:val="nil"/>
              <w:bottom w:val="single" w:sz="8" w:space="0" w:color="auto"/>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-0.1</w:t>
            </w:r>
          </w:p>
        </w:tc>
        <w:tc>
          <w:tcPr>
            <w:tcW w:w="992" w:type="dxa"/>
            <w:tcBorders>
              <w:top w:val="nil"/>
              <w:left w:val="nil"/>
              <w:bottom w:val="single" w:sz="8" w:space="0" w:color="auto"/>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2.1</w:t>
            </w:r>
          </w:p>
        </w:tc>
        <w:tc>
          <w:tcPr>
            <w:tcW w:w="1134" w:type="dxa"/>
            <w:tcBorders>
              <w:top w:val="nil"/>
              <w:left w:val="nil"/>
              <w:bottom w:val="single" w:sz="8" w:space="0" w:color="auto"/>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3.1</w:t>
            </w:r>
          </w:p>
        </w:tc>
        <w:tc>
          <w:tcPr>
            <w:tcW w:w="992" w:type="dxa"/>
            <w:tcBorders>
              <w:top w:val="nil"/>
              <w:left w:val="nil"/>
              <w:bottom w:val="single" w:sz="8" w:space="0" w:color="auto"/>
              <w:right w:val="single" w:sz="8" w:space="0" w:color="auto"/>
            </w:tcBorders>
            <w:shd w:val="clear" w:color="auto" w:fill="auto"/>
            <w:noWrap/>
            <w:hideMark/>
          </w:tcPr>
          <w:p w:rsidR="003B453C" w:rsidRPr="003B0112" w:rsidRDefault="003B453C" w:rsidP="003B453C">
            <w:pPr>
              <w:ind w:firstLineChars="100" w:firstLine="200"/>
              <w:jc w:val="right"/>
              <w:rPr>
                <w:rFonts w:ascii="Garamond" w:hAnsi="Garamond" w:cs="Calibri"/>
                <w:sz w:val="20"/>
                <w:szCs w:val="20"/>
              </w:rPr>
            </w:pPr>
            <w:r w:rsidRPr="003B0112">
              <w:rPr>
                <w:rFonts w:ascii="Garamond" w:hAnsi="Garamond" w:cs="Calibri"/>
                <w:sz w:val="20"/>
                <w:szCs w:val="20"/>
              </w:rPr>
              <w:t>0.1</w:t>
            </w:r>
          </w:p>
        </w:tc>
      </w:tr>
    </w:tbl>
    <w:p w:rsidR="003B453C" w:rsidRPr="006037D2" w:rsidRDefault="003B453C" w:rsidP="003B453C">
      <w:pPr>
        <w:spacing w:line="23" w:lineRule="atLeast"/>
        <w:jc w:val="both"/>
        <w:rPr>
          <w:rFonts w:ascii="Garamond" w:hAnsi="Garamond"/>
          <w:bCs/>
        </w:rPr>
      </w:pPr>
    </w:p>
    <w:p w:rsidR="003B453C" w:rsidRPr="003B0112" w:rsidRDefault="003B453C" w:rsidP="003B453C">
      <w:pPr>
        <w:spacing w:line="23" w:lineRule="atLeast"/>
        <w:jc w:val="both"/>
        <w:rPr>
          <w:rFonts w:ascii="Garamond" w:hAnsi="Garamond"/>
          <w:bCs/>
          <w:sz w:val="22"/>
          <w:szCs w:val="22"/>
        </w:rPr>
      </w:pPr>
      <w:r w:rsidRPr="003B0112">
        <w:rPr>
          <w:rFonts w:ascii="Garamond" w:hAnsi="Garamond"/>
          <w:bCs/>
          <w:sz w:val="22"/>
          <w:szCs w:val="22"/>
        </w:rPr>
        <w:t xml:space="preserve">Note: 1. All </w:t>
      </w:r>
      <w:r w:rsidR="003B0112">
        <w:rPr>
          <w:rFonts w:ascii="Garamond" w:hAnsi="Garamond"/>
          <w:bCs/>
          <w:sz w:val="22"/>
          <w:szCs w:val="22"/>
        </w:rPr>
        <w:t>c</w:t>
      </w:r>
      <w:r w:rsidRPr="003B0112">
        <w:rPr>
          <w:rFonts w:ascii="Garamond" w:hAnsi="Garamond"/>
          <w:bCs/>
          <w:sz w:val="22"/>
          <w:szCs w:val="22"/>
        </w:rPr>
        <w:t>urrency rates are against USD (excluding USD Index)</w:t>
      </w:r>
    </w:p>
    <w:p w:rsidR="003B453C" w:rsidRPr="003B0112" w:rsidRDefault="003B453C" w:rsidP="003B453C">
      <w:pPr>
        <w:spacing w:line="23" w:lineRule="atLeast"/>
        <w:jc w:val="both"/>
        <w:rPr>
          <w:rFonts w:ascii="Garamond" w:hAnsi="Garamond"/>
          <w:bCs/>
          <w:sz w:val="22"/>
          <w:szCs w:val="22"/>
        </w:rPr>
      </w:pPr>
      <w:r w:rsidRPr="003B0112">
        <w:rPr>
          <w:rFonts w:ascii="Garamond" w:hAnsi="Garamond"/>
          <w:bCs/>
          <w:sz w:val="22"/>
          <w:szCs w:val="22"/>
        </w:rPr>
        <w:t>2. Negative sign indicates appreciation of quote currency against the base currency (USD)</w:t>
      </w:r>
    </w:p>
    <w:p w:rsidR="003B453C" w:rsidRPr="003B0112" w:rsidRDefault="003B453C" w:rsidP="003B453C">
      <w:pPr>
        <w:spacing w:line="23" w:lineRule="atLeast"/>
        <w:jc w:val="both"/>
        <w:rPr>
          <w:rFonts w:ascii="Garamond" w:hAnsi="Garamond"/>
          <w:bCs/>
          <w:sz w:val="22"/>
          <w:szCs w:val="22"/>
        </w:rPr>
      </w:pPr>
      <w:r w:rsidRPr="003B0112">
        <w:rPr>
          <w:rFonts w:ascii="Garamond" w:hAnsi="Garamond"/>
          <w:bCs/>
          <w:sz w:val="22"/>
          <w:szCs w:val="22"/>
        </w:rPr>
        <w:t>Source: Refinitiv</w:t>
      </w:r>
    </w:p>
    <w:p w:rsidR="003B453C" w:rsidRPr="006037D2" w:rsidRDefault="003B453C" w:rsidP="003B453C">
      <w:pPr>
        <w:rPr>
          <w:rFonts w:ascii="Garamond" w:hAnsi="Garamond"/>
          <w:b/>
          <w:bCs/>
        </w:rPr>
      </w:pPr>
    </w:p>
    <w:p w:rsidR="003B453C" w:rsidRPr="006037D2" w:rsidRDefault="003B453C" w:rsidP="003B453C">
      <w:pPr>
        <w:rPr>
          <w:rFonts w:ascii="Garamond" w:hAnsi="Garamond"/>
          <w:b/>
          <w:bCs/>
        </w:rPr>
      </w:pPr>
      <w:r w:rsidRPr="006037D2">
        <w:rPr>
          <w:rFonts w:ascii="Garamond" w:hAnsi="Garamond"/>
          <w:b/>
          <w:bCs/>
        </w:rPr>
        <w:t>Figure 3: Movement of the USD-INR Index, US Dollar Index and MSCI EM Currency Index</w:t>
      </w:r>
    </w:p>
    <w:p w:rsidR="003B453C" w:rsidRPr="006037D2" w:rsidRDefault="003B453C" w:rsidP="003B453C">
      <w:pPr>
        <w:spacing w:line="23" w:lineRule="atLeast"/>
        <w:outlineLvl w:val="0"/>
        <w:rPr>
          <w:rFonts w:ascii="Garamond" w:hAnsi="Garamond"/>
          <w:bCs/>
        </w:rPr>
      </w:pPr>
    </w:p>
    <w:p w:rsidR="003B453C" w:rsidRPr="006037D2" w:rsidRDefault="003B453C" w:rsidP="003B453C">
      <w:pPr>
        <w:spacing w:line="23" w:lineRule="atLeast"/>
        <w:outlineLvl w:val="0"/>
        <w:rPr>
          <w:rFonts w:ascii="Garamond" w:hAnsi="Garamond"/>
          <w:bCs/>
        </w:rPr>
      </w:pPr>
      <w:r w:rsidRPr="006037D2">
        <w:rPr>
          <w:rFonts w:ascii="Garamond" w:hAnsi="Garamond"/>
          <w:noProof/>
          <w:lang w:val="en-IN" w:eastAsia="en-IN" w:bidi="hi-IN"/>
        </w:rPr>
        <w:drawing>
          <wp:inline distT="0" distB="0" distL="0" distR="0">
            <wp:extent cx="4568825" cy="2162175"/>
            <wp:effectExtent l="0" t="0" r="3175" b="9525"/>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B453C" w:rsidRPr="003B0112" w:rsidRDefault="003B453C" w:rsidP="003B453C">
      <w:pPr>
        <w:tabs>
          <w:tab w:val="left" w:pos="3760"/>
        </w:tabs>
        <w:spacing w:line="23" w:lineRule="atLeast"/>
        <w:rPr>
          <w:rFonts w:ascii="Garamond" w:hAnsi="Garamond"/>
          <w:bCs/>
          <w:sz w:val="22"/>
          <w:szCs w:val="22"/>
        </w:rPr>
      </w:pPr>
      <w:r w:rsidRPr="003B0112">
        <w:rPr>
          <w:rFonts w:ascii="Garamond" w:hAnsi="Garamond"/>
          <w:bCs/>
          <w:sz w:val="22"/>
          <w:szCs w:val="22"/>
        </w:rPr>
        <w:t>Note:</w:t>
      </w:r>
    </w:p>
    <w:p w:rsidR="003B453C" w:rsidRPr="003B0112" w:rsidRDefault="003B453C" w:rsidP="00456F4D">
      <w:pPr>
        <w:widowControl w:val="0"/>
        <w:numPr>
          <w:ilvl w:val="0"/>
          <w:numId w:val="12"/>
        </w:numPr>
        <w:autoSpaceDE w:val="0"/>
        <w:autoSpaceDN w:val="0"/>
        <w:adjustRightInd w:val="0"/>
        <w:spacing w:line="23" w:lineRule="atLeast"/>
        <w:ind w:right="1788"/>
        <w:jc w:val="both"/>
        <w:rPr>
          <w:rFonts w:ascii="Garamond" w:eastAsia="Times New Roman" w:hAnsi="Garamond"/>
          <w:bCs/>
          <w:sz w:val="22"/>
          <w:szCs w:val="22"/>
        </w:rPr>
      </w:pPr>
      <w:r w:rsidRPr="003B0112">
        <w:rPr>
          <w:rFonts w:ascii="Garamond" w:eastAsia="Times New Roman" w:hAnsi="Garamond"/>
          <w:bCs/>
          <w:sz w:val="22"/>
          <w:szCs w:val="22"/>
        </w:rPr>
        <w:t>All indices have been normalised to 100 on 30 Sept 2020.</w:t>
      </w:r>
    </w:p>
    <w:p w:rsidR="003B453C" w:rsidRPr="003B0112" w:rsidRDefault="003B453C" w:rsidP="00456F4D">
      <w:pPr>
        <w:widowControl w:val="0"/>
        <w:numPr>
          <w:ilvl w:val="0"/>
          <w:numId w:val="12"/>
        </w:numPr>
        <w:autoSpaceDE w:val="0"/>
        <w:autoSpaceDN w:val="0"/>
        <w:adjustRightInd w:val="0"/>
        <w:spacing w:line="23" w:lineRule="atLeast"/>
        <w:ind w:right="1788"/>
        <w:jc w:val="both"/>
        <w:rPr>
          <w:rFonts w:ascii="Garamond" w:eastAsia="Times New Roman" w:hAnsi="Garamond"/>
          <w:bCs/>
          <w:sz w:val="22"/>
          <w:szCs w:val="22"/>
        </w:rPr>
      </w:pPr>
      <w:r w:rsidRPr="003B0112">
        <w:rPr>
          <w:rFonts w:ascii="Garamond" w:eastAsia="Times New Roman" w:hAnsi="Garamond"/>
          <w:bCs/>
          <w:sz w:val="22"/>
          <w:szCs w:val="22"/>
        </w:rPr>
        <w:t xml:space="preserve">The U.S. Dollar Index is an index of the value of the United States dollar relative to a </w:t>
      </w:r>
      <w:r w:rsidRPr="003B0112">
        <w:rPr>
          <w:rFonts w:ascii="Garamond" w:eastAsia="Times New Roman" w:hAnsi="Garamond"/>
          <w:bCs/>
          <w:sz w:val="22"/>
          <w:szCs w:val="22"/>
        </w:rPr>
        <w:lastRenderedPageBreak/>
        <w:t>basket of foreign currencies. The Index goes up when the U.S. dollar gains value compared to other currencies. The index is maintained and published by Intercontinental Exchange. It is a weighted geometric mean of the dollar's value relative to following select currencies: Euro, Japanese yen, Pound sterling, Canadian dollar, Swedish krona, Swiss franc.</w:t>
      </w:r>
    </w:p>
    <w:p w:rsidR="003B453C" w:rsidRPr="003B0112" w:rsidRDefault="003B453C" w:rsidP="00456F4D">
      <w:pPr>
        <w:widowControl w:val="0"/>
        <w:numPr>
          <w:ilvl w:val="0"/>
          <w:numId w:val="12"/>
        </w:numPr>
        <w:autoSpaceDE w:val="0"/>
        <w:autoSpaceDN w:val="0"/>
        <w:adjustRightInd w:val="0"/>
        <w:spacing w:line="23" w:lineRule="atLeast"/>
        <w:ind w:right="1788"/>
        <w:jc w:val="both"/>
        <w:rPr>
          <w:rFonts w:ascii="Garamond" w:eastAsia="Times New Roman" w:hAnsi="Garamond"/>
          <w:bCs/>
          <w:sz w:val="22"/>
          <w:szCs w:val="22"/>
        </w:rPr>
      </w:pPr>
      <w:r w:rsidRPr="003B0112">
        <w:rPr>
          <w:rFonts w:ascii="Garamond" w:eastAsia="Times New Roman" w:hAnsi="Garamond"/>
          <w:bCs/>
          <w:sz w:val="22"/>
          <w:szCs w:val="22"/>
        </w:rPr>
        <w:t>The MSCI Emerging Markets (EM) Currency Index tracks the performance of twenty-five emerging-market currencies relative to the US Dollar.</w:t>
      </w:r>
    </w:p>
    <w:p w:rsidR="003B453C" w:rsidRPr="003B0112" w:rsidRDefault="003B453C" w:rsidP="003B453C">
      <w:pPr>
        <w:spacing w:line="23" w:lineRule="atLeast"/>
        <w:outlineLvl w:val="0"/>
        <w:rPr>
          <w:rFonts w:ascii="Garamond" w:hAnsi="Garamond"/>
          <w:bCs/>
          <w:sz w:val="22"/>
          <w:szCs w:val="22"/>
        </w:rPr>
      </w:pPr>
      <w:r w:rsidRPr="003B0112">
        <w:rPr>
          <w:rFonts w:ascii="Garamond" w:hAnsi="Garamond"/>
          <w:bCs/>
          <w:sz w:val="22"/>
          <w:szCs w:val="22"/>
        </w:rPr>
        <w:t>Source: Refinitiv</w:t>
      </w:r>
    </w:p>
    <w:p w:rsidR="003B453C" w:rsidRPr="006037D2" w:rsidRDefault="003B453C" w:rsidP="003B453C">
      <w:pPr>
        <w:rPr>
          <w:rFonts w:ascii="Garamond" w:hAnsi="Garamond"/>
          <w:b/>
          <w:bCs/>
        </w:rPr>
      </w:pPr>
    </w:p>
    <w:p w:rsidR="003B453C" w:rsidRPr="006037D2" w:rsidRDefault="003B453C" w:rsidP="003B453C">
      <w:pPr>
        <w:spacing w:line="276" w:lineRule="auto"/>
        <w:outlineLvl w:val="0"/>
        <w:rPr>
          <w:rFonts w:ascii="Garamond" w:eastAsia="Times New Roman" w:hAnsi="Garamond"/>
          <w:b/>
          <w:lang w:eastAsia="en-GB"/>
        </w:rPr>
      </w:pPr>
      <w:r w:rsidRPr="006037D2">
        <w:rPr>
          <w:rFonts w:ascii="Garamond" w:eastAsia="Times New Roman" w:hAnsi="Garamond"/>
          <w:b/>
          <w:u w:val="single"/>
        </w:rPr>
        <w:t xml:space="preserve">US Treasury Securities </w:t>
      </w:r>
    </w:p>
    <w:p w:rsidR="003B453C" w:rsidRPr="006037D2" w:rsidRDefault="003B453C" w:rsidP="003B453C">
      <w:pPr>
        <w:spacing w:line="276" w:lineRule="auto"/>
        <w:outlineLvl w:val="0"/>
        <w:rPr>
          <w:rFonts w:ascii="Garamond" w:hAnsi="Garamond"/>
          <w:bCs/>
        </w:rPr>
      </w:pPr>
    </w:p>
    <w:p w:rsidR="003B453C" w:rsidRPr="003B0112" w:rsidRDefault="003B453C" w:rsidP="00456F4D">
      <w:pPr>
        <w:numPr>
          <w:ilvl w:val="0"/>
          <w:numId w:val="8"/>
        </w:numPr>
        <w:spacing w:line="276" w:lineRule="auto"/>
        <w:contextualSpacing/>
        <w:jc w:val="both"/>
        <w:rPr>
          <w:rFonts w:ascii="Garamond" w:hAnsi="Garamond"/>
          <w:bCs/>
          <w:lang w:val="en-US"/>
        </w:rPr>
      </w:pPr>
      <w:r w:rsidRPr="006037D2">
        <w:rPr>
          <w:rFonts w:ascii="Garamond" w:eastAsia="Times New Roman" w:hAnsi="Garamond"/>
          <w:bCs/>
          <w:lang w:val="en-US" w:eastAsia="en-GB"/>
        </w:rPr>
        <w:t xml:space="preserve">At the </w:t>
      </w:r>
      <w:r w:rsidRPr="003B0112">
        <w:rPr>
          <w:rFonts w:ascii="Garamond" w:eastAsia="Times New Roman" w:hAnsi="Garamond"/>
          <w:bCs/>
          <w:lang w:val="en-US" w:eastAsia="en-GB"/>
        </w:rPr>
        <w:t xml:space="preserve">end of </w:t>
      </w:r>
      <w:r w:rsidR="00B0098D" w:rsidRPr="003B0112">
        <w:rPr>
          <w:rFonts w:ascii="Garamond" w:eastAsia="Times New Roman" w:hAnsi="Garamond"/>
          <w:bCs/>
          <w:lang w:val="en-US" w:eastAsia="en-GB"/>
        </w:rPr>
        <w:t>September</w:t>
      </w:r>
      <w:r w:rsidRPr="003B0112">
        <w:rPr>
          <w:rFonts w:ascii="Garamond" w:eastAsia="Times New Roman" w:hAnsi="Garamond"/>
          <w:bCs/>
          <w:lang w:val="en-US" w:eastAsia="en-GB"/>
        </w:rPr>
        <w:t xml:space="preserve"> 2021, Japan was the biggest foreign holder of US Treasury Securities, holding 17.</w:t>
      </w:r>
      <w:r w:rsidR="003B0112" w:rsidRPr="003B0112">
        <w:rPr>
          <w:rFonts w:ascii="Garamond" w:eastAsia="Times New Roman" w:hAnsi="Garamond"/>
          <w:bCs/>
          <w:lang w:val="en-US" w:eastAsia="en-GB"/>
        </w:rPr>
        <w:t>2</w:t>
      </w:r>
      <w:r w:rsidRPr="003B0112">
        <w:rPr>
          <w:rFonts w:ascii="Garamond" w:eastAsia="Times New Roman" w:hAnsi="Garamond"/>
          <w:bCs/>
          <w:lang w:val="en-US" w:eastAsia="en-GB"/>
        </w:rPr>
        <w:t xml:space="preserve"> per cent of the total US treasury Securities, followed by China (13.9 per cent). The total foreign holding of US Treasury Securities at the end of </w:t>
      </w:r>
      <w:r w:rsidR="003B0112" w:rsidRPr="003B0112">
        <w:rPr>
          <w:rFonts w:ascii="Garamond" w:eastAsia="Times New Roman" w:hAnsi="Garamond"/>
          <w:bCs/>
          <w:lang w:val="en-US" w:eastAsia="en-GB"/>
        </w:rPr>
        <w:t>September</w:t>
      </w:r>
      <w:r w:rsidRPr="003B0112">
        <w:rPr>
          <w:rFonts w:ascii="Garamond" w:eastAsia="Times New Roman" w:hAnsi="Garamond"/>
          <w:bCs/>
          <w:lang w:val="en-US" w:eastAsia="en-GB"/>
        </w:rPr>
        <w:t xml:space="preserve"> 2021 was USD 7,5</w:t>
      </w:r>
      <w:r w:rsidR="003B0112" w:rsidRPr="003B0112">
        <w:rPr>
          <w:rFonts w:ascii="Garamond" w:eastAsia="Times New Roman" w:hAnsi="Garamond"/>
          <w:bCs/>
          <w:lang w:val="en-US" w:eastAsia="en-GB"/>
        </w:rPr>
        <w:t>49</w:t>
      </w:r>
      <w:r w:rsidRPr="003B0112">
        <w:rPr>
          <w:rFonts w:ascii="Garamond" w:eastAsia="Times New Roman" w:hAnsi="Garamond"/>
          <w:bCs/>
          <w:lang w:val="en-US" w:eastAsia="en-GB"/>
        </w:rPr>
        <w:t xml:space="preserve"> billion. The</w:t>
      </w:r>
      <w:r w:rsidR="003B0112" w:rsidRPr="003B0112">
        <w:rPr>
          <w:rFonts w:ascii="Garamond" w:eastAsia="Times New Roman" w:hAnsi="Garamond"/>
          <w:bCs/>
          <w:lang w:val="en-US" w:eastAsia="en-GB"/>
        </w:rPr>
        <w:t xml:space="preserve"> share of </w:t>
      </w:r>
      <w:r w:rsidRPr="003B0112">
        <w:rPr>
          <w:rFonts w:ascii="Garamond" w:eastAsia="Times New Roman" w:hAnsi="Garamond"/>
          <w:bCs/>
          <w:lang w:val="en-US" w:eastAsia="en-GB"/>
        </w:rPr>
        <w:t>India was unchanged at 2.9 per cent</w:t>
      </w:r>
      <w:r w:rsidR="003B0112" w:rsidRPr="003B0112">
        <w:rPr>
          <w:rFonts w:ascii="Garamond" w:eastAsia="Times New Roman" w:hAnsi="Garamond"/>
          <w:bCs/>
          <w:lang w:val="en-US" w:eastAsia="en-GB"/>
        </w:rPr>
        <w:t xml:space="preserve"> </w:t>
      </w:r>
      <w:r w:rsidRPr="003B0112">
        <w:rPr>
          <w:rFonts w:ascii="Garamond" w:eastAsia="Times New Roman" w:hAnsi="Garamond"/>
          <w:bCs/>
          <w:lang w:val="en-US" w:eastAsia="en-GB"/>
        </w:rPr>
        <w:t>(21</w:t>
      </w:r>
      <w:r w:rsidR="003B0112" w:rsidRPr="003B0112">
        <w:rPr>
          <w:rFonts w:ascii="Garamond" w:eastAsia="Times New Roman" w:hAnsi="Garamond"/>
          <w:bCs/>
          <w:lang w:val="en-US" w:eastAsia="en-GB"/>
        </w:rPr>
        <w:t>8</w:t>
      </w:r>
      <w:r w:rsidRPr="003B0112">
        <w:rPr>
          <w:rFonts w:ascii="Garamond" w:eastAsia="Times New Roman" w:hAnsi="Garamond"/>
          <w:bCs/>
          <w:lang w:val="en-US" w:eastAsia="en-GB"/>
        </w:rPr>
        <w:t xml:space="preserve"> billion) as at the end of August 2021.</w:t>
      </w:r>
    </w:p>
    <w:p w:rsidR="000C6BCB" w:rsidRDefault="000C6BCB" w:rsidP="0018293F">
      <w:pPr>
        <w:spacing w:line="23" w:lineRule="atLeast"/>
        <w:jc w:val="both"/>
        <w:rPr>
          <w:rFonts w:ascii="Garamond" w:hAnsi="Garamond"/>
          <w:b/>
          <w:bCs/>
        </w:rPr>
      </w:pPr>
    </w:p>
    <w:p w:rsidR="0018293F" w:rsidRPr="006037D2" w:rsidRDefault="0018293F" w:rsidP="0018293F">
      <w:pPr>
        <w:spacing w:line="23" w:lineRule="atLeast"/>
        <w:jc w:val="both"/>
        <w:rPr>
          <w:rFonts w:ascii="Garamond" w:hAnsi="Garamond"/>
          <w:b/>
          <w:bCs/>
        </w:rPr>
      </w:pPr>
      <w:r w:rsidRPr="006037D2">
        <w:rPr>
          <w:rFonts w:ascii="Garamond" w:hAnsi="Garamond"/>
          <w:b/>
          <w:bCs/>
        </w:rPr>
        <w:t xml:space="preserve">Table </w:t>
      </w:r>
      <w:r w:rsidR="00AE7510">
        <w:rPr>
          <w:rFonts w:ascii="Garamond" w:hAnsi="Garamond"/>
          <w:b/>
          <w:bCs/>
        </w:rPr>
        <w:t>4</w:t>
      </w:r>
      <w:r w:rsidRPr="006037D2">
        <w:rPr>
          <w:rFonts w:ascii="Garamond" w:hAnsi="Garamond"/>
          <w:b/>
          <w:bCs/>
        </w:rPr>
        <w:t>: Major Foreign Holders of US Treasury Securities (USD billion)</w:t>
      </w:r>
    </w:p>
    <w:p w:rsidR="00185553" w:rsidRPr="006037D2" w:rsidRDefault="00185553" w:rsidP="0018293F">
      <w:pPr>
        <w:spacing w:line="23" w:lineRule="atLeast"/>
        <w:jc w:val="both"/>
        <w:rPr>
          <w:rFonts w:ascii="Garamond" w:hAnsi="Garamond"/>
          <w:b/>
          <w:bCs/>
        </w:rPr>
      </w:pPr>
    </w:p>
    <w:tbl>
      <w:tblPr>
        <w:tblW w:w="9878" w:type="dxa"/>
        <w:tblInd w:w="-10" w:type="dxa"/>
        <w:tblLook w:val="04A0" w:firstRow="1" w:lastRow="0" w:firstColumn="1" w:lastColumn="0" w:noHBand="0" w:noVBand="1"/>
      </w:tblPr>
      <w:tblGrid>
        <w:gridCol w:w="1835"/>
        <w:gridCol w:w="988"/>
        <w:gridCol w:w="1250"/>
        <w:gridCol w:w="749"/>
        <w:gridCol w:w="1355"/>
        <w:gridCol w:w="1104"/>
        <w:gridCol w:w="1913"/>
        <w:gridCol w:w="684"/>
      </w:tblGrid>
      <w:tr w:rsidR="00B0098D" w:rsidRPr="006037D2" w:rsidTr="00D23F20">
        <w:trPr>
          <w:trHeight w:val="315"/>
        </w:trPr>
        <w:tc>
          <w:tcPr>
            <w:tcW w:w="1835" w:type="dxa"/>
            <w:vMerge w:val="restart"/>
            <w:tcBorders>
              <w:top w:val="single" w:sz="8" w:space="0" w:color="auto"/>
              <w:left w:val="single" w:sz="8" w:space="0" w:color="auto"/>
              <w:bottom w:val="single" w:sz="8" w:space="0" w:color="000000"/>
              <w:right w:val="single" w:sz="8" w:space="0" w:color="auto"/>
            </w:tcBorders>
            <w:shd w:val="clear" w:color="auto" w:fill="auto"/>
            <w:noWrap/>
            <w:hideMark/>
          </w:tcPr>
          <w:p w:rsidR="00B0098D" w:rsidRPr="00B0098D" w:rsidRDefault="00B0098D" w:rsidP="00185553">
            <w:pPr>
              <w:rPr>
                <w:rFonts w:ascii="Garamond" w:eastAsia="Times New Roman" w:hAnsi="Garamond" w:cs="Calibri"/>
                <w:b/>
                <w:bCs/>
                <w:color w:val="000000"/>
                <w:sz w:val="22"/>
                <w:szCs w:val="22"/>
                <w:lang w:val="en-US" w:bidi="hi-IN"/>
              </w:rPr>
            </w:pPr>
            <w:r w:rsidRPr="00B0098D">
              <w:rPr>
                <w:rFonts w:ascii="Garamond" w:eastAsia="Times New Roman" w:hAnsi="Garamond" w:cs="Calibri"/>
                <w:b/>
                <w:bCs/>
                <w:color w:val="000000"/>
                <w:sz w:val="22"/>
                <w:szCs w:val="22"/>
                <w:lang w:val="en-IN" w:bidi="hi-IN"/>
              </w:rPr>
              <w:t>Country</w:t>
            </w:r>
          </w:p>
        </w:tc>
        <w:tc>
          <w:tcPr>
            <w:tcW w:w="988" w:type="dxa"/>
            <w:vMerge w:val="restart"/>
            <w:tcBorders>
              <w:top w:val="single" w:sz="8" w:space="0" w:color="auto"/>
              <w:left w:val="single" w:sz="8" w:space="0" w:color="auto"/>
              <w:bottom w:val="single" w:sz="8" w:space="0" w:color="000000"/>
              <w:right w:val="single" w:sz="8" w:space="0" w:color="auto"/>
            </w:tcBorders>
            <w:shd w:val="clear" w:color="auto" w:fill="auto"/>
            <w:noWrap/>
            <w:hideMark/>
          </w:tcPr>
          <w:p w:rsidR="00B0098D" w:rsidRPr="00B0098D" w:rsidRDefault="00B0098D" w:rsidP="00185553">
            <w:pPr>
              <w:jc w:val="center"/>
              <w:rPr>
                <w:rFonts w:ascii="Garamond" w:eastAsia="Times New Roman" w:hAnsi="Garamond" w:cs="Calibri"/>
                <w:b/>
                <w:bCs/>
                <w:color w:val="000000"/>
                <w:sz w:val="22"/>
                <w:szCs w:val="22"/>
                <w:lang w:val="en-US" w:bidi="hi-IN"/>
              </w:rPr>
            </w:pPr>
            <w:r w:rsidRPr="00B0098D">
              <w:rPr>
                <w:rFonts w:ascii="Garamond" w:eastAsia="Times New Roman" w:hAnsi="Garamond" w:cs="Calibri"/>
                <w:b/>
                <w:bCs/>
                <w:color w:val="000000"/>
                <w:sz w:val="22"/>
                <w:szCs w:val="22"/>
                <w:lang w:val="en-IN" w:bidi="hi-IN"/>
              </w:rPr>
              <w:t>Sep-21</w:t>
            </w:r>
          </w:p>
        </w:tc>
        <w:tc>
          <w:tcPr>
            <w:tcW w:w="1999" w:type="dxa"/>
            <w:gridSpan w:val="2"/>
            <w:tcBorders>
              <w:top w:val="single" w:sz="8" w:space="0" w:color="auto"/>
              <w:left w:val="nil"/>
              <w:bottom w:val="single" w:sz="8" w:space="0" w:color="auto"/>
              <w:right w:val="single" w:sz="8" w:space="0" w:color="000000"/>
            </w:tcBorders>
            <w:shd w:val="clear" w:color="auto" w:fill="auto"/>
            <w:noWrap/>
            <w:hideMark/>
          </w:tcPr>
          <w:p w:rsidR="00B0098D" w:rsidRPr="00B0098D" w:rsidRDefault="00B0098D" w:rsidP="00B0098D">
            <w:pPr>
              <w:jc w:val="center"/>
              <w:rPr>
                <w:rFonts w:ascii="Garamond" w:eastAsia="Times New Roman" w:hAnsi="Garamond" w:cs="Calibri"/>
                <w:b/>
                <w:bCs/>
                <w:color w:val="000000"/>
                <w:sz w:val="22"/>
                <w:szCs w:val="22"/>
                <w:lang w:val="en-US" w:bidi="hi-IN"/>
              </w:rPr>
            </w:pPr>
            <w:r w:rsidRPr="00B0098D">
              <w:rPr>
                <w:rFonts w:ascii="Garamond" w:eastAsia="Times New Roman" w:hAnsi="Garamond" w:cs="Calibri"/>
                <w:b/>
                <w:bCs/>
                <w:color w:val="000000"/>
                <w:sz w:val="22"/>
                <w:szCs w:val="22"/>
                <w:lang w:val="en-IN" w:bidi="hi-IN"/>
              </w:rPr>
              <w:t>Percentage change over Period </w:t>
            </w:r>
          </w:p>
        </w:tc>
        <w:tc>
          <w:tcPr>
            <w:tcW w:w="1355" w:type="dxa"/>
            <w:vMerge w:val="restart"/>
            <w:tcBorders>
              <w:top w:val="single" w:sz="8" w:space="0" w:color="auto"/>
              <w:left w:val="nil"/>
              <w:right w:val="single" w:sz="8" w:space="0" w:color="000000"/>
            </w:tcBorders>
            <w:shd w:val="clear" w:color="auto" w:fill="auto"/>
          </w:tcPr>
          <w:p w:rsidR="00B0098D" w:rsidRPr="00B0098D" w:rsidRDefault="00B0098D" w:rsidP="00185553">
            <w:pPr>
              <w:jc w:val="center"/>
              <w:rPr>
                <w:rFonts w:ascii="Garamond" w:eastAsia="Times New Roman" w:hAnsi="Garamond" w:cs="Calibri"/>
                <w:b/>
                <w:bCs/>
                <w:color w:val="000000"/>
                <w:sz w:val="22"/>
                <w:szCs w:val="22"/>
                <w:lang w:val="en-US" w:bidi="hi-IN"/>
              </w:rPr>
            </w:pPr>
            <w:r w:rsidRPr="00B0098D">
              <w:rPr>
                <w:rFonts w:ascii="Garamond" w:eastAsia="Times New Roman" w:hAnsi="Garamond" w:cs="Calibri"/>
                <w:b/>
                <w:bCs/>
                <w:color w:val="000000"/>
                <w:sz w:val="22"/>
                <w:szCs w:val="22"/>
                <w:lang w:val="en-IN" w:bidi="hi-IN"/>
              </w:rPr>
              <w:t>Country</w:t>
            </w:r>
          </w:p>
          <w:p w:rsidR="00B0098D" w:rsidRPr="00B0098D" w:rsidRDefault="00B0098D" w:rsidP="00185553">
            <w:pPr>
              <w:jc w:val="center"/>
              <w:rPr>
                <w:rFonts w:ascii="Garamond" w:eastAsia="Times New Roman" w:hAnsi="Garamond" w:cs="Calibri"/>
                <w:b/>
                <w:bCs/>
                <w:color w:val="000000"/>
                <w:sz w:val="22"/>
                <w:szCs w:val="22"/>
                <w:lang w:val="en-US" w:bidi="hi-IN"/>
              </w:rPr>
            </w:pPr>
            <w:r w:rsidRPr="00B0098D">
              <w:rPr>
                <w:rFonts w:ascii="Garamond" w:eastAsia="Times New Roman" w:hAnsi="Garamond" w:cs="Calibri"/>
                <w:b/>
                <w:bCs/>
                <w:color w:val="000000"/>
                <w:sz w:val="22"/>
                <w:szCs w:val="22"/>
                <w:lang w:val="en-IN" w:bidi="hi-IN"/>
              </w:rPr>
              <w:t> </w:t>
            </w:r>
          </w:p>
        </w:tc>
        <w:tc>
          <w:tcPr>
            <w:tcW w:w="1104" w:type="dxa"/>
            <w:vMerge w:val="restart"/>
            <w:tcBorders>
              <w:top w:val="single" w:sz="8" w:space="0" w:color="auto"/>
              <w:left w:val="single" w:sz="8" w:space="0" w:color="auto"/>
              <w:right w:val="single" w:sz="8" w:space="0" w:color="auto"/>
            </w:tcBorders>
            <w:shd w:val="clear" w:color="auto" w:fill="auto"/>
            <w:noWrap/>
            <w:hideMark/>
          </w:tcPr>
          <w:p w:rsidR="00B0098D" w:rsidRPr="00B0098D" w:rsidRDefault="00B0098D" w:rsidP="00185553">
            <w:pPr>
              <w:jc w:val="center"/>
              <w:rPr>
                <w:rFonts w:ascii="Garamond" w:eastAsia="Times New Roman" w:hAnsi="Garamond" w:cs="Calibri"/>
                <w:b/>
                <w:bCs/>
                <w:color w:val="000000"/>
                <w:sz w:val="22"/>
                <w:szCs w:val="22"/>
                <w:lang w:val="en-US" w:bidi="hi-IN"/>
              </w:rPr>
            </w:pPr>
            <w:r w:rsidRPr="00B0098D">
              <w:rPr>
                <w:rFonts w:ascii="Garamond" w:eastAsia="Times New Roman" w:hAnsi="Garamond" w:cs="Calibri"/>
                <w:b/>
                <w:bCs/>
                <w:color w:val="000000"/>
                <w:sz w:val="22"/>
                <w:szCs w:val="22"/>
                <w:lang w:val="en-IN" w:bidi="hi-IN"/>
              </w:rPr>
              <w:t>Sep-21</w:t>
            </w:r>
          </w:p>
        </w:tc>
        <w:tc>
          <w:tcPr>
            <w:tcW w:w="2597" w:type="dxa"/>
            <w:gridSpan w:val="2"/>
            <w:tcBorders>
              <w:top w:val="single" w:sz="8" w:space="0" w:color="auto"/>
              <w:left w:val="nil"/>
              <w:bottom w:val="single" w:sz="8" w:space="0" w:color="auto"/>
              <w:right w:val="single" w:sz="8" w:space="0" w:color="000000"/>
            </w:tcBorders>
            <w:shd w:val="clear" w:color="auto" w:fill="auto"/>
            <w:noWrap/>
            <w:hideMark/>
          </w:tcPr>
          <w:p w:rsidR="00B0098D" w:rsidRPr="00B0098D" w:rsidRDefault="00B0098D" w:rsidP="00185553">
            <w:pPr>
              <w:jc w:val="center"/>
              <w:rPr>
                <w:rFonts w:ascii="Garamond" w:eastAsia="Times New Roman" w:hAnsi="Garamond" w:cs="Calibri"/>
                <w:b/>
                <w:bCs/>
                <w:color w:val="000000"/>
                <w:sz w:val="22"/>
                <w:szCs w:val="22"/>
                <w:lang w:val="en-US" w:bidi="hi-IN"/>
              </w:rPr>
            </w:pPr>
            <w:r w:rsidRPr="00B0098D">
              <w:rPr>
                <w:rFonts w:ascii="Garamond" w:eastAsia="Times New Roman" w:hAnsi="Garamond" w:cs="Calibri"/>
                <w:b/>
                <w:bCs/>
                <w:color w:val="000000"/>
                <w:sz w:val="22"/>
                <w:szCs w:val="22"/>
                <w:lang w:val="en-IN" w:bidi="hi-IN"/>
              </w:rPr>
              <w:t>Percentage change over Period</w:t>
            </w:r>
          </w:p>
        </w:tc>
      </w:tr>
      <w:tr w:rsidR="00B0098D" w:rsidRPr="006037D2" w:rsidTr="00D23F20">
        <w:trPr>
          <w:trHeight w:val="315"/>
        </w:trPr>
        <w:tc>
          <w:tcPr>
            <w:tcW w:w="1835" w:type="dxa"/>
            <w:vMerge/>
            <w:tcBorders>
              <w:top w:val="single" w:sz="8" w:space="0" w:color="auto"/>
              <w:left w:val="single" w:sz="8" w:space="0" w:color="auto"/>
              <w:bottom w:val="single" w:sz="8" w:space="0" w:color="000000"/>
              <w:right w:val="single" w:sz="8" w:space="0" w:color="auto"/>
            </w:tcBorders>
            <w:hideMark/>
          </w:tcPr>
          <w:p w:rsidR="00B0098D" w:rsidRPr="00B0098D" w:rsidRDefault="00B0098D" w:rsidP="00185553">
            <w:pPr>
              <w:rPr>
                <w:rFonts w:ascii="Garamond" w:eastAsia="Times New Roman" w:hAnsi="Garamond" w:cs="Calibri"/>
                <w:b/>
                <w:bCs/>
                <w:color w:val="000000"/>
                <w:sz w:val="22"/>
                <w:szCs w:val="22"/>
                <w:lang w:val="en-US" w:bidi="hi-IN"/>
              </w:rPr>
            </w:pPr>
          </w:p>
        </w:tc>
        <w:tc>
          <w:tcPr>
            <w:tcW w:w="988" w:type="dxa"/>
            <w:vMerge/>
            <w:tcBorders>
              <w:top w:val="single" w:sz="8" w:space="0" w:color="auto"/>
              <w:left w:val="single" w:sz="8" w:space="0" w:color="auto"/>
              <w:bottom w:val="single" w:sz="8" w:space="0" w:color="000000"/>
              <w:right w:val="single" w:sz="8" w:space="0" w:color="auto"/>
            </w:tcBorders>
            <w:hideMark/>
          </w:tcPr>
          <w:p w:rsidR="00B0098D" w:rsidRPr="00B0098D" w:rsidRDefault="00B0098D" w:rsidP="00185553">
            <w:pPr>
              <w:rPr>
                <w:rFonts w:ascii="Garamond" w:eastAsia="Times New Roman" w:hAnsi="Garamond" w:cs="Calibri"/>
                <w:b/>
                <w:bCs/>
                <w:color w:val="000000"/>
                <w:sz w:val="22"/>
                <w:szCs w:val="22"/>
                <w:lang w:val="en-US" w:bidi="hi-IN"/>
              </w:rPr>
            </w:pPr>
          </w:p>
        </w:tc>
        <w:tc>
          <w:tcPr>
            <w:tcW w:w="1250" w:type="dxa"/>
            <w:tcBorders>
              <w:top w:val="nil"/>
              <w:left w:val="nil"/>
              <w:bottom w:val="single" w:sz="8" w:space="0" w:color="auto"/>
              <w:right w:val="nil"/>
            </w:tcBorders>
            <w:shd w:val="clear" w:color="auto" w:fill="auto"/>
            <w:noWrap/>
            <w:hideMark/>
          </w:tcPr>
          <w:p w:rsidR="00B0098D" w:rsidRPr="00B0098D" w:rsidRDefault="00B0098D" w:rsidP="00185553">
            <w:pPr>
              <w:jc w:val="center"/>
              <w:rPr>
                <w:rFonts w:ascii="Garamond" w:eastAsia="Times New Roman" w:hAnsi="Garamond" w:cs="Calibri"/>
                <w:b/>
                <w:bCs/>
                <w:color w:val="000000"/>
                <w:sz w:val="22"/>
                <w:szCs w:val="22"/>
                <w:lang w:val="en-US" w:bidi="hi-IN"/>
              </w:rPr>
            </w:pPr>
            <w:r w:rsidRPr="00B0098D">
              <w:rPr>
                <w:rFonts w:ascii="Garamond" w:eastAsia="Times New Roman" w:hAnsi="Garamond" w:cs="Calibri"/>
                <w:b/>
                <w:bCs/>
                <w:color w:val="000000"/>
                <w:sz w:val="22"/>
                <w:szCs w:val="22"/>
                <w:lang w:val="en-IN" w:bidi="hi-IN"/>
              </w:rPr>
              <w:t>1-Month</w:t>
            </w:r>
          </w:p>
        </w:tc>
        <w:tc>
          <w:tcPr>
            <w:tcW w:w="749" w:type="dxa"/>
            <w:tcBorders>
              <w:top w:val="nil"/>
              <w:left w:val="single" w:sz="8" w:space="0" w:color="auto"/>
              <w:bottom w:val="single" w:sz="8" w:space="0" w:color="auto"/>
              <w:right w:val="single" w:sz="8" w:space="0" w:color="auto"/>
            </w:tcBorders>
            <w:shd w:val="clear" w:color="auto" w:fill="auto"/>
            <w:noWrap/>
            <w:hideMark/>
          </w:tcPr>
          <w:p w:rsidR="00B0098D" w:rsidRPr="00B0098D" w:rsidRDefault="00B0098D" w:rsidP="00185553">
            <w:pPr>
              <w:jc w:val="center"/>
              <w:rPr>
                <w:rFonts w:ascii="Garamond" w:eastAsia="Times New Roman" w:hAnsi="Garamond" w:cs="Calibri"/>
                <w:b/>
                <w:bCs/>
                <w:color w:val="000000"/>
                <w:sz w:val="22"/>
                <w:szCs w:val="22"/>
                <w:lang w:val="en-US" w:bidi="hi-IN"/>
              </w:rPr>
            </w:pPr>
            <w:r w:rsidRPr="00B0098D">
              <w:rPr>
                <w:rFonts w:ascii="Garamond" w:eastAsia="Times New Roman" w:hAnsi="Garamond" w:cs="Calibri"/>
                <w:b/>
                <w:bCs/>
                <w:color w:val="000000"/>
                <w:sz w:val="22"/>
                <w:szCs w:val="22"/>
                <w:lang w:val="en-IN" w:bidi="hi-IN"/>
              </w:rPr>
              <w:t>1-Year</w:t>
            </w:r>
          </w:p>
        </w:tc>
        <w:tc>
          <w:tcPr>
            <w:tcW w:w="1355" w:type="dxa"/>
            <w:vMerge/>
            <w:tcBorders>
              <w:left w:val="nil"/>
              <w:bottom w:val="single" w:sz="8" w:space="0" w:color="auto"/>
              <w:right w:val="single" w:sz="8" w:space="0" w:color="000000"/>
            </w:tcBorders>
            <w:shd w:val="clear" w:color="auto" w:fill="auto"/>
            <w:noWrap/>
            <w:hideMark/>
          </w:tcPr>
          <w:p w:rsidR="00B0098D" w:rsidRPr="00B0098D" w:rsidRDefault="00B0098D" w:rsidP="00185553">
            <w:pPr>
              <w:jc w:val="center"/>
              <w:rPr>
                <w:rFonts w:ascii="Garamond" w:eastAsia="Times New Roman" w:hAnsi="Garamond" w:cs="Calibri"/>
                <w:b/>
                <w:bCs/>
                <w:color w:val="000000"/>
                <w:sz w:val="22"/>
                <w:szCs w:val="22"/>
                <w:lang w:val="en-US" w:bidi="hi-IN"/>
              </w:rPr>
            </w:pPr>
          </w:p>
        </w:tc>
        <w:tc>
          <w:tcPr>
            <w:tcW w:w="1104" w:type="dxa"/>
            <w:vMerge/>
            <w:tcBorders>
              <w:left w:val="single" w:sz="8" w:space="0" w:color="000000"/>
              <w:bottom w:val="single" w:sz="4" w:space="0" w:color="auto"/>
              <w:right w:val="single" w:sz="8" w:space="0" w:color="auto"/>
            </w:tcBorders>
            <w:shd w:val="clear" w:color="auto" w:fill="auto"/>
            <w:hideMark/>
          </w:tcPr>
          <w:p w:rsidR="00B0098D" w:rsidRPr="00B0098D" w:rsidRDefault="00B0098D" w:rsidP="00185553">
            <w:pPr>
              <w:rPr>
                <w:rFonts w:ascii="Garamond" w:eastAsia="Times New Roman" w:hAnsi="Garamond" w:cs="Calibri"/>
                <w:b/>
                <w:bCs/>
                <w:color w:val="000000"/>
                <w:sz w:val="22"/>
                <w:szCs w:val="22"/>
                <w:lang w:val="en-US" w:bidi="hi-IN"/>
              </w:rPr>
            </w:pPr>
          </w:p>
        </w:tc>
        <w:tc>
          <w:tcPr>
            <w:tcW w:w="1913" w:type="dxa"/>
            <w:tcBorders>
              <w:top w:val="nil"/>
              <w:left w:val="single" w:sz="8" w:space="0" w:color="auto"/>
              <w:bottom w:val="single" w:sz="8" w:space="0" w:color="auto"/>
              <w:right w:val="nil"/>
            </w:tcBorders>
            <w:shd w:val="clear" w:color="auto" w:fill="auto"/>
            <w:noWrap/>
            <w:hideMark/>
          </w:tcPr>
          <w:p w:rsidR="00B0098D" w:rsidRPr="00B0098D" w:rsidRDefault="00B0098D" w:rsidP="00185553">
            <w:pPr>
              <w:jc w:val="center"/>
              <w:rPr>
                <w:rFonts w:ascii="Garamond" w:eastAsia="Times New Roman" w:hAnsi="Garamond" w:cs="Calibri"/>
                <w:b/>
                <w:bCs/>
                <w:color w:val="000000"/>
                <w:sz w:val="22"/>
                <w:szCs w:val="22"/>
                <w:lang w:val="en-US" w:bidi="hi-IN"/>
              </w:rPr>
            </w:pPr>
            <w:r w:rsidRPr="00B0098D">
              <w:rPr>
                <w:rFonts w:ascii="Garamond" w:eastAsia="Times New Roman" w:hAnsi="Garamond" w:cs="Calibri"/>
                <w:b/>
                <w:bCs/>
                <w:color w:val="000000"/>
                <w:sz w:val="22"/>
                <w:szCs w:val="22"/>
                <w:lang w:val="en-IN" w:bidi="hi-IN"/>
              </w:rPr>
              <w:t>1-Month</w:t>
            </w:r>
          </w:p>
        </w:tc>
        <w:tc>
          <w:tcPr>
            <w:tcW w:w="684" w:type="dxa"/>
            <w:tcBorders>
              <w:top w:val="nil"/>
              <w:left w:val="single" w:sz="8" w:space="0" w:color="auto"/>
              <w:bottom w:val="single" w:sz="8" w:space="0" w:color="auto"/>
              <w:right w:val="single" w:sz="8" w:space="0" w:color="auto"/>
            </w:tcBorders>
            <w:shd w:val="clear" w:color="auto" w:fill="auto"/>
            <w:noWrap/>
            <w:hideMark/>
          </w:tcPr>
          <w:p w:rsidR="00B0098D" w:rsidRPr="00B0098D" w:rsidRDefault="00B0098D" w:rsidP="00185553">
            <w:pPr>
              <w:jc w:val="center"/>
              <w:rPr>
                <w:rFonts w:ascii="Garamond" w:eastAsia="Times New Roman" w:hAnsi="Garamond" w:cs="Calibri"/>
                <w:b/>
                <w:bCs/>
                <w:color w:val="000000"/>
                <w:sz w:val="22"/>
                <w:szCs w:val="22"/>
                <w:lang w:val="en-US" w:bidi="hi-IN"/>
              </w:rPr>
            </w:pPr>
            <w:r w:rsidRPr="00B0098D">
              <w:rPr>
                <w:rFonts w:ascii="Garamond" w:eastAsia="Times New Roman" w:hAnsi="Garamond" w:cs="Calibri"/>
                <w:b/>
                <w:bCs/>
                <w:color w:val="000000"/>
                <w:sz w:val="22"/>
                <w:szCs w:val="22"/>
                <w:lang w:val="en-IN" w:bidi="hi-IN"/>
              </w:rPr>
              <w:t>1-Year</w:t>
            </w:r>
          </w:p>
        </w:tc>
      </w:tr>
      <w:tr w:rsidR="00B0098D" w:rsidRPr="006037D2" w:rsidTr="00B0098D">
        <w:trPr>
          <w:trHeight w:val="300"/>
        </w:trPr>
        <w:tc>
          <w:tcPr>
            <w:tcW w:w="1835" w:type="dxa"/>
            <w:tcBorders>
              <w:top w:val="nil"/>
              <w:left w:val="single" w:sz="8" w:space="0" w:color="auto"/>
              <w:bottom w:val="nil"/>
              <w:right w:val="single" w:sz="8" w:space="0" w:color="auto"/>
            </w:tcBorders>
            <w:shd w:val="clear" w:color="auto" w:fill="auto"/>
            <w:noWrap/>
            <w:hideMark/>
          </w:tcPr>
          <w:p w:rsidR="00B0098D" w:rsidRPr="00F26BE4" w:rsidRDefault="00B0098D" w:rsidP="00B0098D">
            <w:pPr>
              <w:rPr>
                <w:rFonts w:ascii="Garamond" w:hAnsi="Garamond"/>
                <w:color w:val="000000"/>
                <w:sz w:val="20"/>
                <w:szCs w:val="20"/>
                <w:lang w:eastAsia="en-IN"/>
              </w:rPr>
            </w:pPr>
            <w:r w:rsidRPr="00F26BE4">
              <w:rPr>
                <w:rFonts w:ascii="Garamond" w:hAnsi="Garamond"/>
                <w:color w:val="000000"/>
                <w:sz w:val="20"/>
                <w:szCs w:val="20"/>
                <w:lang w:eastAsia="en-IN"/>
              </w:rPr>
              <w:t>Japan</w:t>
            </w:r>
          </w:p>
        </w:tc>
        <w:tc>
          <w:tcPr>
            <w:tcW w:w="988" w:type="dxa"/>
            <w:tcBorders>
              <w:top w:val="nil"/>
              <w:left w:val="nil"/>
              <w:bottom w:val="nil"/>
              <w:right w:val="nil"/>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1,300</w:t>
            </w:r>
          </w:p>
        </w:tc>
        <w:tc>
          <w:tcPr>
            <w:tcW w:w="1250" w:type="dxa"/>
            <w:tcBorders>
              <w:top w:val="nil"/>
              <w:left w:val="single" w:sz="8" w:space="0" w:color="auto"/>
              <w:bottom w:val="nil"/>
              <w:right w:val="nil"/>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-1.5</w:t>
            </w:r>
          </w:p>
        </w:tc>
        <w:tc>
          <w:tcPr>
            <w:tcW w:w="749" w:type="dxa"/>
            <w:tcBorders>
              <w:top w:val="single" w:sz="4" w:space="0" w:color="auto"/>
              <w:left w:val="single" w:sz="8" w:space="0" w:color="auto"/>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1.8</w:t>
            </w:r>
          </w:p>
        </w:tc>
        <w:tc>
          <w:tcPr>
            <w:tcW w:w="1355" w:type="dxa"/>
            <w:tcBorders>
              <w:top w:val="single" w:sz="4" w:space="0" w:color="auto"/>
              <w:left w:val="nil"/>
              <w:bottom w:val="nil"/>
              <w:right w:val="single" w:sz="8" w:space="0" w:color="auto"/>
            </w:tcBorders>
            <w:shd w:val="clear" w:color="auto" w:fill="auto"/>
            <w:noWrap/>
            <w:hideMark/>
          </w:tcPr>
          <w:p w:rsidR="00B0098D" w:rsidRPr="00F26BE4" w:rsidRDefault="00B0098D" w:rsidP="00B0098D">
            <w:pPr>
              <w:rPr>
                <w:rFonts w:ascii="Garamond" w:hAnsi="Garamond"/>
                <w:color w:val="000000"/>
                <w:sz w:val="20"/>
                <w:szCs w:val="20"/>
                <w:lang w:eastAsia="en-IN"/>
              </w:rPr>
            </w:pPr>
            <w:r w:rsidRPr="00F26BE4">
              <w:rPr>
                <w:rFonts w:ascii="Garamond" w:hAnsi="Garamond"/>
                <w:color w:val="000000"/>
                <w:sz w:val="20"/>
                <w:szCs w:val="20"/>
                <w:lang w:eastAsia="en-IN"/>
              </w:rPr>
              <w:t>Norway</w:t>
            </w:r>
          </w:p>
        </w:tc>
        <w:tc>
          <w:tcPr>
            <w:tcW w:w="1104" w:type="dxa"/>
            <w:tcBorders>
              <w:top w:val="single" w:sz="4" w:space="0" w:color="auto"/>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122</w:t>
            </w:r>
          </w:p>
        </w:tc>
        <w:tc>
          <w:tcPr>
            <w:tcW w:w="1913"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0.8</w:t>
            </w:r>
          </w:p>
        </w:tc>
        <w:tc>
          <w:tcPr>
            <w:tcW w:w="684"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34.3</w:t>
            </w:r>
          </w:p>
        </w:tc>
      </w:tr>
      <w:tr w:rsidR="00B0098D" w:rsidRPr="006037D2" w:rsidTr="00B0098D">
        <w:trPr>
          <w:trHeight w:val="300"/>
        </w:trPr>
        <w:tc>
          <w:tcPr>
            <w:tcW w:w="1835" w:type="dxa"/>
            <w:tcBorders>
              <w:top w:val="nil"/>
              <w:left w:val="single" w:sz="8" w:space="0" w:color="auto"/>
              <w:bottom w:val="nil"/>
              <w:right w:val="single" w:sz="8" w:space="0" w:color="auto"/>
            </w:tcBorders>
            <w:shd w:val="clear" w:color="auto" w:fill="auto"/>
            <w:noWrap/>
            <w:hideMark/>
          </w:tcPr>
          <w:p w:rsidR="00B0098D" w:rsidRPr="00F26BE4" w:rsidRDefault="00B0098D" w:rsidP="00B0098D">
            <w:pPr>
              <w:rPr>
                <w:rFonts w:ascii="Garamond" w:hAnsi="Garamond"/>
                <w:color w:val="000000"/>
                <w:sz w:val="20"/>
                <w:szCs w:val="20"/>
                <w:lang w:eastAsia="en-IN"/>
              </w:rPr>
            </w:pPr>
            <w:r w:rsidRPr="00F26BE4">
              <w:rPr>
                <w:rFonts w:ascii="Garamond" w:hAnsi="Garamond"/>
                <w:color w:val="000000"/>
                <w:sz w:val="20"/>
                <w:szCs w:val="20"/>
                <w:lang w:eastAsia="en-IN"/>
              </w:rPr>
              <w:t>China, Mainland</w:t>
            </w:r>
          </w:p>
        </w:tc>
        <w:tc>
          <w:tcPr>
            <w:tcW w:w="988" w:type="dxa"/>
            <w:tcBorders>
              <w:top w:val="nil"/>
              <w:left w:val="nil"/>
              <w:bottom w:val="nil"/>
              <w:right w:val="nil"/>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1,048</w:t>
            </w:r>
          </w:p>
        </w:tc>
        <w:tc>
          <w:tcPr>
            <w:tcW w:w="1250" w:type="dxa"/>
            <w:tcBorders>
              <w:top w:val="nil"/>
              <w:left w:val="single" w:sz="8" w:space="0" w:color="auto"/>
              <w:bottom w:val="nil"/>
              <w:right w:val="nil"/>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0.1</w:t>
            </w:r>
          </w:p>
        </w:tc>
        <w:tc>
          <w:tcPr>
            <w:tcW w:w="749" w:type="dxa"/>
            <w:tcBorders>
              <w:top w:val="nil"/>
              <w:left w:val="single" w:sz="8" w:space="0" w:color="auto"/>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-1.3</w:t>
            </w:r>
          </w:p>
        </w:tc>
        <w:tc>
          <w:tcPr>
            <w:tcW w:w="1355" w:type="dxa"/>
            <w:tcBorders>
              <w:top w:val="nil"/>
              <w:left w:val="nil"/>
              <w:bottom w:val="nil"/>
              <w:right w:val="single" w:sz="8" w:space="0" w:color="auto"/>
            </w:tcBorders>
            <w:shd w:val="clear" w:color="auto" w:fill="auto"/>
            <w:noWrap/>
            <w:hideMark/>
          </w:tcPr>
          <w:p w:rsidR="00B0098D" w:rsidRPr="00F26BE4" w:rsidRDefault="00B0098D" w:rsidP="00B0098D">
            <w:pPr>
              <w:rPr>
                <w:rFonts w:ascii="Garamond" w:hAnsi="Garamond"/>
                <w:color w:val="000000"/>
                <w:sz w:val="20"/>
                <w:szCs w:val="20"/>
                <w:lang w:eastAsia="en-IN"/>
              </w:rPr>
            </w:pPr>
            <w:r w:rsidRPr="00F26BE4">
              <w:rPr>
                <w:rFonts w:ascii="Garamond" w:hAnsi="Garamond"/>
                <w:color w:val="000000"/>
                <w:sz w:val="20"/>
                <w:szCs w:val="20"/>
                <w:lang w:eastAsia="en-IN"/>
              </w:rPr>
              <w:t>Germany</w:t>
            </w:r>
          </w:p>
        </w:tc>
        <w:tc>
          <w:tcPr>
            <w:tcW w:w="1104"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85</w:t>
            </w:r>
          </w:p>
        </w:tc>
        <w:tc>
          <w:tcPr>
            <w:tcW w:w="1913"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1.1</w:t>
            </w:r>
          </w:p>
        </w:tc>
        <w:tc>
          <w:tcPr>
            <w:tcW w:w="684"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13.5</w:t>
            </w:r>
          </w:p>
        </w:tc>
      </w:tr>
      <w:tr w:rsidR="00B0098D" w:rsidRPr="006037D2" w:rsidTr="00B0098D">
        <w:trPr>
          <w:trHeight w:val="300"/>
        </w:trPr>
        <w:tc>
          <w:tcPr>
            <w:tcW w:w="1835" w:type="dxa"/>
            <w:tcBorders>
              <w:top w:val="nil"/>
              <w:left w:val="single" w:sz="8" w:space="0" w:color="auto"/>
              <w:bottom w:val="nil"/>
              <w:right w:val="single" w:sz="8" w:space="0" w:color="auto"/>
            </w:tcBorders>
            <w:shd w:val="clear" w:color="auto" w:fill="auto"/>
            <w:noWrap/>
            <w:hideMark/>
          </w:tcPr>
          <w:p w:rsidR="00B0098D" w:rsidRPr="00F26BE4" w:rsidRDefault="00B0098D" w:rsidP="00B0098D">
            <w:pPr>
              <w:rPr>
                <w:rFonts w:ascii="Garamond" w:hAnsi="Garamond"/>
                <w:color w:val="000000"/>
                <w:sz w:val="20"/>
                <w:szCs w:val="20"/>
                <w:lang w:eastAsia="en-IN"/>
              </w:rPr>
            </w:pPr>
            <w:r w:rsidRPr="00F26BE4">
              <w:rPr>
                <w:rFonts w:ascii="Garamond" w:hAnsi="Garamond"/>
                <w:color w:val="000000"/>
                <w:sz w:val="20"/>
                <w:szCs w:val="20"/>
                <w:lang w:eastAsia="en-IN"/>
              </w:rPr>
              <w:t>United Kingdom</w:t>
            </w:r>
          </w:p>
        </w:tc>
        <w:tc>
          <w:tcPr>
            <w:tcW w:w="988" w:type="dxa"/>
            <w:tcBorders>
              <w:top w:val="nil"/>
              <w:left w:val="nil"/>
              <w:bottom w:val="nil"/>
              <w:right w:val="nil"/>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567</w:t>
            </w:r>
          </w:p>
        </w:tc>
        <w:tc>
          <w:tcPr>
            <w:tcW w:w="1250" w:type="dxa"/>
            <w:tcBorders>
              <w:top w:val="nil"/>
              <w:left w:val="single" w:sz="8" w:space="0" w:color="auto"/>
              <w:bottom w:val="nil"/>
              <w:right w:val="nil"/>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-0.4</w:t>
            </w:r>
          </w:p>
        </w:tc>
        <w:tc>
          <w:tcPr>
            <w:tcW w:w="749" w:type="dxa"/>
            <w:tcBorders>
              <w:top w:val="nil"/>
              <w:left w:val="single" w:sz="8" w:space="0" w:color="auto"/>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32.2</w:t>
            </w:r>
          </w:p>
        </w:tc>
        <w:tc>
          <w:tcPr>
            <w:tcW w:w="1355" w:type="dxa"/>
            <w:tcBorders>
              <w:top w:val="nil"/>
              <w:left w:val="nil"/>
              <w:bottom w:val="nil"/>
              <w:right w:val="single" w:sz="8" w:space="0" w:color="auto"/>
            </w:tcBorders>
            <w:shd w:val="clear" w:color="auto" w:fill="auto"/>
            <w:noWrap/>
            <w:hideMark/>
          </w:tcPr>
          <w:p w:rsidR="00B0098D" w:rsidRPr="00F26BE4" w:rsidRDefault="00B0098D" w:rsidP="00B0098D">
            <w:pPr>
              <w:rPr>
                <w:rFonts w:ascii="Garamond" w:hAnsi="Garamond"/>
                <w:color w:val="000000"/>
                <w:sz w:val="20"/>
                <w:szCs w:val="20"/>
                <w:lang w:eastAsia="en-IN"/>
              </w:rPr>
            </w:pPr>
            <w:r w:rsidRPr="00F26BE4">
              <w:rPr>
                <w:rFonts w:ascii="Garamond" w:hAnsi="Garamond"/>
                <w:color w:val="000000"/>
                <w:sz w:val="20"/>
                <w:szCs w:val="20"/>
                <w:lang w:eastAsia="en-IN"/>
              </w:rPr>
              <w:t>Bermuda</w:t>
            </w:r>
          </w:p>
        </w:tc>
        <w:tc>
          <w:tcPr>
            <w:tcW w:w="1104"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72</w:t>
            </w:r>
          </w:p>
        </w:tc>
        <w:tc>
          <w:tcPr>
            <w:tcW w:w="1913"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2.8</w:t>
            </w:r>
          </w:p>
        </w:tc>
        <w:tc>
          <w:tcPr>
            <w:tcW w:w="684"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-5.0</w:t>
            </w:r>
          </w:p>
        </w:tc>
      </w:tr>
      <w:tr w:rsidR="00B0098D" w:rsidRPr="006037D2" w:rsidTr="00B0098D">
        <w:trPr>
          <w:trHeight w:val="300"/>
        </w:trPr>
        <w:tc>
          <w:tcPr>
            <w:tcW w:w="1835" w:type="dxa"/>
            <w:tcBorders>
              <w:top w:val="nil"/>
              <w:left w:val="single" w:sz="8" w:space="0" w:color="auto"/>
              <w:bottom w:val="nil"/>
              <w:right w:val="single" w:sz="8" w:space="0" w:color="auto"/>
            </w:tcBorders>
            <w:shd w:val="clear" w:color="auto" w:fill="auto"/>
            <w:noWrap/>
            <w:hideMark/>
          </w:tcPr>
          <w:p w:rsidR="00B0098D" w:rsidRPr="00F26BE4" w:rsidRDefault="00B0098D" w:rsidP="00B0098D">
            <w:pPr>
              <w:rPr>
                <w:rFonts w:ascii="Garamond" w:hAnsi="Garamond"/>
                <w:color w:val="000000"/>
                <w:sz w:val="20"/>
                <w:szCs w:val="20"/>
                <w:lang w:eastAsia="en-IN"/>
              </w:rPr>
            </w:pPr>
            <w:r w:rsidRPr="00F26BE4">
              <w:rPr>
                <w:rFonts w:ascii="Garamond" w:hAnsi="Garamond"/>
                <w:color w:val="000000"/>
                <w:sz w:val="20"/>
                <w:szCs w:val="20"/>
                <w:lang w:eastAsia="en-IN"/>
              </w:rPr>
              <w:t>Luxembourg</w:t>
            </w:r>
          </w:p>
        </w:tc>
        <w:tc>
          <w:tcPr>
            <w:tcW w:w="988" w:type="dxa"/>
            <w:tcBorders>
              <w:top w:val="nil"/>
              <w:left w:val="nil"/>
              <w:bottom w:val="nil"/>
              <w:right w:val="nil"/>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312</w:t>
            </w:r>
          </w:p>
        </w:tc>
        <w:tc>
          <w:tcPr>
            <w:tcW w:w="1250" w:type="dxa"/>
            <w:tcBorders>
              <w:top w:val="nil"/>
              <w:left w:val="single" w:sz="8" w:space="0" w:color="auto"/>
              <w:bottom w:val="nil"/>
              <w:right w:val="nil"/>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6.1</w:t>
            </w:r>
          </w:p>
        </w:tc>
        <w:tc>
          <w:tcPr>
            <w:tcW w:w="749" w:type="dxa"/>
            <w:tcBorders>
              <w:top w:val="nil"/>
              <w:left w:val="single" w:sz="8" w:space="0" w:color="auto"/>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18.8</w:t>
            </w:r>
          </w:p>
        </w:tc>
        <w:tc>
          <w:tcPr>
            <w:tcW w:w="1355" w:type="dxa"/>
            <w:tcBorders>
              <w:top w:val="nil"/>
              <w:left w:val="nil"/>
              <w:bottom w:val="nil"/>
              <w:right w:val="single" w:sz="8" w:space="0" w:color="auto"/>
            </w:tcBorders>
            <w:shd w:val="clear" w:color="auto" w:fill="auto"/>
            <w:noWrap/>
            <w:hideMark/>
          </w:tcPr>
          <w:p w:rsidR="00B0098D" w:rsidRPr="00F26BE4" w:rsidRDefault="00B0098D" w:rsidP="00B0098D">
            <w:pPr>
              <w:rPr>
                <w:rFonts w:ascii="Garamond" w:hAnsi="Garamond"/>
                <w:color w:val="000000"/>
                <w:sz w:val="20"/>
                <w:szCs w:val="20"/>
                <w:lang w:eastAsia="en-IN"/>
              </w:rPr>
            </w:pPr>
            <w:r w:rsidRPr="00F26BE4">
              <w:rPr>
                <w:rFonts w:ascii="Garamond" w:hAnsi="Garamond"/>
                <w:color w:val="000000"/>
                <w:sz w:val="20"/>
                <w:szCs w:val="20"/>
                <w:lang w:eastAsia="en-IN"/>
              </w:rPr>
              <w:t>Netherlands</w:t>
            </w:r>
          </w:p>
        </w:tc>
        <w:tc>
          <w:tcPr>
            <w:tcW w:w="1104"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67</w:t>
            </w:r>
          </w:p>
        </w:tc>
        <w:tc>
          <w:tcPr>
            <w:tcW w:w="1913"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2.8</w:t>
            </w:r>
          </w:p>
        </w:tc>
        <w:tc>
          <w:tcPr>
            <w:tcW w:w="684"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-3.0</w:t>
            </w:r>
          </w:p>
        </w:tc>
      </w:tr>
      <w:tr w:rsidR="00B0098D" w:rsidRPr="006037D2" w:rsidTr="00B0098D">
        <w:trPr>
          <w:trHeight w:val="300"/>
        </w:trPr>
        <w:tc>
          <w:tcPr>
            <w:tcW w:w="1835" w:type="dxa"/>
            <w:tcBorders>
              <w:top w:val="nil"/>
              <w:left w:val="single" w:sz="8" w:space="0" w:color="auto"/>
              <w:bottom w:val="nil"/>
              <w:right w:val="single" w:sz="8" w:space="0" w:color="auto"/>
            </w:tcBorders>
            <w:shd w:val="clear" w:color="auto" w:fill="auto"/>
            <w:noWrap/>
            <w:hideMark/>
          </w:tcPr>
          <w:p w:rsidR="00B0098D" w:rsidRPr="00F26BE4" w:rsidRDefault="00B0098D" w:rsidP="00B0098D">
            <w:pPr>
              <w:rPr>
                <w:rFonts w:ascii="Garamond" w:hAnsi="Garamond"/>
                <w:color w:val="000000"/>
                <w:sz w:val="20"/>
                <w:szCs w:val="20"/>
                <w:lang w:eastAsia="en-IN"/>
              </w:rPr>
            </w:pPr>
            <w:r w:rsidRPr="00F26BE4">
              <w:rPr>
                <w:rFonts w:ascii="Garamond" w:hAnsi="Garamond"/>
                <w:color w:val="000000"/>
                <w:sz w:val="20"/>
                <w:szCs w:val="20"/>
                <w:lang w:eastAsia="en-IN"/>
              </w:rPr>
              <w:t>Ireland</w:t>
            </w:r>
          </w:p>
        </w:tc>
        <w:tc>
          <w:tcPr>
            <w:tcW w:w="988" w:type="dxa"/>
            <w:tcBorders>
              <w:top w:val="nil"/>
              <w:left w:val="nil"/>
              <w:bottom w:val="nil"/>
              <w:right w:val="nil"/>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309</w:t>
            </w:r>
          </w:p>
        </w:tc>
        <w:tc>
          <w:tcPr>
            <w:tcW w:w="1250" w:type="dxa"/>
            <w:tcBorders>
              <w:top w:val="nil"/>
              <w:left w:val="single" w:sz="8" w:space="0" w:color="auto"/>
              <w:bottom w:val="nil"/>
              <w:right w:val="nil"/>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-5.1</w:t>
            </w:r>
          </w:p>
        </w:tc>
        <w:tc>
          <w:tcPr>
            <w:tcW w:w="749" w:type="dxa"/>
            <w:tcBorders>
              <w:top w:val="nil"/>
              <w:left w:val="single" w:sz="8" w:space="0" w:color="auto"/>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-2.0</w:t>
            </w:r>
          </w:p>
        </w:tc>
        <w:tc>
          <w:tcPr>
            <w:tcW w:w="1355" w:type="dxa"/>
            <w:tcBorders>
              <w:top w:val="nil"/>
              <w:left w:val="nil"/>
              <w:bottom w:val="nil"/>
              <w:right w:val="single" w:sz="8" w:space="0" w:color="auto"/>
            </w:tcBorders>
            <w:shd w:val="clear" w:color="auto" w:fill="auto"/>
            <w:noWrap/>
            <w:hideMark/>
          </w:tcPr>
          <w:p w:rsidR="00B0098D" w:rsidRPr="00F26BE4" w:rsidRDefault="00B0098D" w:rsidP="00B0098D">
            <w:pPr>
              <w:rPr>
                <w:rFonts w:ascii="Garamond" w:hAnsi="Garamond"/>
                <w:color w:val="000000"/>
                <w:sz w:val="20"/>
                <w:szCs w:val="20"/>
                <w:lang w:eastAsia="en-IN"/>
              </w:rPr>
            </w:pPr>
            <w:r w:rsidRPr="00F26BE4">
              <w:rPr>
                <w:rFonts w:ascii="Garamond" w:hAnsi="Garamond"/>
                <w:color w:val="000000"/>
                <w:sz w:val="20"/>
                <w:szCs w:val="20"/>
                <w:lang w:eastAsia="en-IN"/>
              </w:rPr>
              <w:t>Israel</w:t>
            </w:r>
          </w:p>
        </w:tc>
        <w:tc>
          <w:tcPr>
            <w:tcW w:w="1104"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64</w:t>
            </w:r>
          </w:p>
        </w:tc>
        <w:tc>
          <w:tcPr>
            <w:tcW w:w="1913"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0.2</w:t>
            </w:r>
          </w:p>
        </w:tc>
        <w:tc>
          <w:tcPr>
            <w:tcW w:w="684"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24.3</w:t>
            </w:r>
          </w:p>
        </w:tc>
      </w:tr>
      <w:tr w:rsidR="00B0098D" w:rsidRPr="006037D2" w:rsidTr="00B0098D">
        <w:trPr>
          <w:trHeight w:val="300"/>
        </w:trPr>
        <w:tc>
          <w:tcPr>
            <w:tcW w:w="1835" w:type="dxa"/>
            <w:tcBorders>
              <w:top w:val="nil"/>
              <w:left w:val="single" w:sz="8" w:space="0" w:color="auto"/>
              <w:bottom w:val="nil"/>
              <w:right w:val="single" w:sz="8" w:space="0" w:color="auto"/>
            </w:tcBorders>
            <w:shd w:val="clear" w:color="auto" w:fill="auto"/>
            <w:noWrap/>
            <w:hideMark/>
          </w:tcPr>
          <w:p w:rsidR="00B0098D" w:rsidRPr="00F26BE4" w:rsidRDefault="00B0098D" w:rsidP="00B0098D">
            <w:pPr>
              <w:rPr>
                <w:rFonts w:ascii="Garamond" w:hAnsi="Garamond"/>
                <w:color w:val="000000"/>
                <w:sz w:val="20"/>
                <w:szCs w:val="20"/>
                <w:lang w:eastAsia="en-IN"/>
              </w:rPr>
            </w:pPr>
            <w:r w:rsidRPr="00F26BE4">
              <w:rPr>
                <w:rFonts w:ascii="Garamond" w:hAnsi="Garamond"/>
                <w:color w:val="000000"/>
                <w:sz w:val="20"/>
                <w:szCs w:val="20"/>
                <w:lang w:eastAsia="en-IN"/>
              </w:rPr>
              <w:t>Switzerland</w:t>
            </w:r>
          </w:p>
        </w:tc>
        <w:tc>
          <w:tcPr>
            <w:tcW w:w="988" w:type="dxa"/>
            <w:tcBorders>
              <w:top w:val="nil"/>
              <w:left w:val="nil"/>
              <w:bottom w:val="nil"/>
              <w:right w:val="nil"/>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297</w:t>
            </w:r>
          </w:p>
        </w:tc>
        <w:tc>
          <w:tcPr>
            <w:tcW w:w="1250" w:type="dxa"/>
            <w:tcBorders>
              <w:top w:val="nil"/>
              <w:left w:val="single" w:sz="8" w:space="0" w:color="auto"/>
              <w:bottom w:val="nil"/>
              <w:right w:val="nil"/>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0.6</w:t>
            </w:r>
          </w:p>
        </w:tc>
        <w:tc>
          <w:tcPr>
            <w:tcW w:w="749" w:type="dxa"/>
            <w:tcBorders>
              <w:top w:val="nil"/>
              <w:left w:val="single" w:sz="8" w:space="0" w:color="auto"/>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16.1</w:t>
            </w:r>
          </w:p>
        </w:tc>
        <w:tc>
          <w:tcPr>
            <w:tcW w:w="1355" w:type="dxa"/>
            <w:tcBorders>
              <w:top w:val="nil"/>
              <w:left w:val="nil"/>
              <w:bottom w:val="nil"/>
              <w:right w:val="single" w:sz="8" w:space="0" w:color="auto"/>
            </w:tcBorders>
            <w:shd w:val="clear" w:color="auto" w:fill="auto"/>
            <w:noWrap/>
            <w:hideMark/>
          </w:tcPr>
          <w:p w:rsidR="00B0098D" w:rsidRPr="00F26BE4" w:rsidRDefault="00B0098D" w:rsidP="00B0098D">
            <w:pPr>
              <w:rPr>
                <w:rFonts w:ascii="Garamond" w:hAnsi="Garamond"/>
                <w:color w:val="000000"/>
                <w:sz w:val="20"/>
                <w:szCs w:val="20"/>
                <w:lang w:eastAsia="en-IN"/>
              </w:rPr>
            </w:pPr>
            <w:r w:rsidRPr="00F26BE4">
              <w:rPr>
                <w:rFonts w:ascii="Garamond" w:hAnsi="Garamond"/>
                <w:color w:val="000000"/>
                <w:sz w:val="20"/>
                <w:szCs w:val="20"/>
                <w:lang w:eastAsia="en-IN"/>
              </w:rPr>
              <w:t>Thailand</w:t>
            </w:r>
          </w:p>
        </w:tc>
        <w:tc>
          <w:tcPr>
            <w:tcW w:w="1104"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61</w:t>
            </w:r>
          </w:p>
        </w:tc>
        <w:tc>
          <w:tcPr>
            <w:tcW w:w="1913"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6.5</w:t>
            </w:r>
          </w:p>
        </w:tc>
        <w:tc>
          <w:tcPr>
            <w:tcW w:w="684"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-26.7</w:t>
            </w:r>
          </w:p>
        </w:tc>
      </w:tr>
      <w:tr w:rsidR="00B0098D" w:rsidRPr="006037D2" w:rsidTr="00B0098D">
        <w:trPr>
          <w:trHeight w:val="300"/>
        </w:trPr>
        <w:tc>
          <w:tcPr>
            <w:tcW w:w="1835" w:type="dxa"/>
            <w:tcBorders>
              <w:top w:val="nil"/>
              <w:left w:val="single" w:sz="8" w:space="0" w:color="auto"/>
              <w:bottom w:val="nil"/>
              <w:right w:val="single" w:sz="8" w:space="0" w:color="auto"/>
            </w:tcBorders>
            <w:shd w:val="clear" w:color="auto" w:fill="auto"/>
            <w:noWrap/>
            <w:hideMark/>
          </w:tcPr>
          <w:p w:rsidR="00B0098D" w:rsidRPr="00F26BE4" w:rsidRDefault="00B0098D" w:rsidP="00B0098D">
            <w:pPr>
              <w:rPr>
                <w:rFonts w:ascii="Garamond" w:hAnsi="Garamond"/>
                <w:color w:val="000000"/>
                <w:sz w:val="20"/>
                <w:szCs w:val="20"/>
                <w:lang w:eastAsia="en-IN"/>
              </w:rPr>
            </w:pPr>
            <w:r w:rsidRPr="00F26BE4">
              <w:rPr>
                <w:rFonts w:ascii="Garamond" w:hAnsi="Garamond"/>
                <w:color w:val="000000"/>
                <w:sz w:val="20"/>
                <w:szCs w:val="20"/>
                <w:lang w:eastAsia="en-IN"/>
              </w:rPr>
              <w:t>Cayman Islands</w:t>
            </w:r>
          </w:p>
        </w:tc>
        <w:tc>
          <w:tcPr>
            <w:tcW w:w="988" w:type="dxa"/>
            <w:tcBorders>
              <w:top w:val="nil"/>
              <w:left w:val="nil"/>
              <w:bottom w:val="nil"/>
              <w:right w:val="nil"/>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253</w:t>
            </w:r>
          </w:p>
        </w:tc>
        <w:tc>
          <w:tcPr>
            <w:tcW w:w="1250" w:type="dxa"/>
            <w:tcBorders>
              <w:top w:val="nil"/>
              <w:left w:val="single" w:sz="8" w:space="0" w:color="auto"/>
              <w:bottom w:val="nil"/>
              <w:right w:val="nil"/>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1.4</w:t>
            </w:r>
          </w:p>
        </w:tc>
        <w:tc>
          <w:tcPr>
            <w:tcW w:w="749" w:type="dxa"/>
            <w:tcBorders>
              <w:top w:val="nil"/>
              <w:left w:val="single" w:sz="8" w:space="0" w:color="auto"/>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9.1</w:t>
            </w:r>
          </w:p>
        </w:tc>
        <w:tc>
          <w:tcPr>
            <w:tcW w:w="1355" w:type="dxa"/>
            <w:tcBorders>
              <w:top w:val="nil"/>
              <w:left w:val="nil"/>
              <w:bottom w:val="nil"/>
              <w:right w:val="single" w:sz="8" w:space="0" w:color="auto"/>
            </w:tcBorders>
            <w:shd w:val="clear" w:color="auto" w:fill="auto"/>
            <w:noWrap/>
            <w:hideMark/>
          </w:tcPr>
          <w:p w:rsidR="00B0098D" w:rsidRPr="00F26BE4" w:rsidRDefault="00B0098D" w:rsidP="00B0098D">
            <w:pPr>
              <w:rPr>
                <w:rFonts w:ascii="Garamond" w:hAnsi="Garamond"/>
                <w:color w:val="000000"/>
                <w:sz w:val="20"/>
                <w:szCs w:val="20"/>
                <w:lang w:eastAsia="en-IN"/>
              </w:rPr>
            </w:pPr>
            <w:r w:rsidRPr="00F26BE4">
              <w:rPr>
                <w:rFonts w:ascii="Garamond" w:hAnsi="Garamond"/>
                <w:color w:val="000000"/>
                <w:sz w:val="20"/>
                <w:szCs w:val="20"/>
                <w:lang w:eastAsia="en-IN"/>
              </w:rPr>
              <w:t>United Arab Emirates</w:t>
            </w:r>
          </w:p>
        </w:tc>
        <w:tc>
          <w:tcPr>
            <w:tcW w:w="1104"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58</w:t>
            </w:r>
          </w:p>
        </w:tc>
        <w:tc>
          <w:tcPr>
            <w:tcW w:w="1913"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-1.0</w:t>
            </w:r>
          </w:p>
        </w:tc>
        <w:tc>
          <w:tcPr>
            <w:tcW w:w="684"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75.5</w:t>
            </w:r>
          </w:p>
        </w:tc>
      </w:tr>
      <w:tr w:rsidR="00B0098D" w:rsidRPr="006037D2" w:rsidTr="00B0098D">
        <w:trPr>
          <w:trHeight w:val="300"/>
        </w:trPr>
        <w:tc>
          <w:tcPr>
            <w:tcW w:w="1835" w:type="dxa"/>
            <w:tcBorders>
              <w:top w:val="nil"/>
              <w:left w:val="single" w:sz="8" w:space="0" w:color="auto"/>
              <w:bottom w:val="nil"/>
              <w:right w:val="single" w:sz="8" w:space="0" w:color="auto"/>
            </w:tcBorders>
            <w:shd w:val="clear" w:color="auto" w:fill="auto"/>
            <w:noWrap/>
            <w:hideMark/>
          </w:tcPr>
          <w:p w:rsidR="00B0098D" w:rsidRPr="00F26BE4" w:rsidRDefault="00B0098D" w:rsidP="00B0098D">
            <w:pPr>
              <w:rPr>
                <w:rFonts w:ascii="Garamond" w:hAnsi="Garamond"/>
                <w:color w:val="000000"/>
                <w:sz w:val="20"/>
                <w:szCs w:val="20"/>
                <w:lang w:eastAsia="en-IN"/>
              </w:rPr>
            </w:pPr>
            <w:r w:rsidRPr="00F26BE4">
              <w:rPr>
                <w:rFonts w:ascii="Garamond" w:hAnsi="Garamond"/>
                <w:color w:val="000000"/>
                <w:sz w:val="20"/>
                <w:szCs w:val="20"/>
                <w:lang w:eastAsia="en-IN"/>
              </w:rPr>
              <w:t>Brazil</w:t>
            </w:r>
          </w:p>
        </w:tc>
        <w:tc>
          <w:tcPr>
            <w:tcW w:w="988" w:type="dxa"/>
            <w:tcBorders>
              <w:top w:val="nil"/>
              <w:left w:val="nil"/>
              <w:bottom w:val="nil"/>
              <w:right w:val="nil"/>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249</w:t>
            </w:r>
          </w:p>
        </w:tc>
        <w:tc>
          <w:tcPr>
            <w:tcW w:w="1250" w:type="dxa"/>
            <w:tcBorders>
              <w:top w:val="nil"/>
              <w:left w:val="single" w:sz="8" w:space="0" w:color="auto"/>
              <w:bottom w:val="nil"/>
              <w:right w:val="nil"/>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0.0</w:t>
            </w:r>
          </w:p>
        </w:tc>
        <w:tc>
          <w:tcPr>
            <w:tcW w:w="749" w:type="dxa"/>
            <w:tcBorders>
              <w:top w:val="nil"/>
              <w:left w:val="single" w:sz="8" w:space="0" w:color="auto"/>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-6.1</w:t>
            </w:r>
          </w:p>
        </w:tc>
        <w:tc>
          <w:tcPr>
            <w:tcW w:w="1355" w:type="dxa"/>
            <w:tcBorders>
              <w:top w:val="nil"/>
              <w:left w:val="nil"/>
              <w:bottom w:val="nil"/>
              <w:right w:val="single" w:sz="8" w:space="0" w:color="auto"/>
            </w:tcBorders>
            <w:shd w:val="clear" w:color="auto" w:fill="auto"/>
            <w:noWrap/>
            <w:hideMark/>
          </w:tcPr>
          <w:p w:rsidR="00B0098D" w:rsidRPr="00F26BE4" w:rsidRDefault="00B0098D" w:rsidP="00B0098D">
            <w:pPr>
              <w:rPr>
                <w:rFonts w:ascii="Garamond" w:hAnsi="Garamond"/>
                <w:color w:val="000000"/>
                <w:sz w:val="20"/>
                <w:szCs w:val="20"/>
                <w:lang w:eastAsia="en-IN"/>
              </w:rPr>
            </w:pPr>
            <w:r w:rsidRPr="00F26BE4">
              <w:rPr>
                <w:rFonts w:ascii="Garamond" w:hAnsi="Garamond"/>
                <w:color w:val="000000"/>
                <w:sz w:val="20"/>
                <w:szCs w:val="20"/>
                <w:lang w:eastAsia="en-IN"/>
              </w:rPr>
              <w:t>Poland</w:t>
            </w:r>
          </w:p>
        </w:tc>
        <w:tc>
          <w:tcPr>
            <w:tcW w:w="1104"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54</w:t>
            </w:r>
          </w:p>
        </w:tc>
        <w:tc>
          <w:tcPr>
            <w:tcW w:w="1913"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-1.6</w:t>
            </w:r>
          </w:p>
        </w:tc>
        <w:tc>
          <w:tcPr>
            <w:tcW w:w="684"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23.1</w:t>
            </w:r>
          </w:p>
        </w:tc>
      </w:tr>
      <w:tr w:rsidR="00B0098D" w:rsidRPr="006037D2" w:rsidTr="00B0098D">
        <w:trPr>
          <w:trHeight w:val="300"/>
        </w:trPr>
        <w:tc>
          <w:tcPr>
            <w:tcW w:w="1835" w:type="dxa"/>
            <w:tcBorders>
              <w:top w:val="nil"/>
              <w:left w:val="single" w:sz="8" w:space="0" w:color="auto"/>
              <w:bottom w:val="nil"/>
              <w:right w:val="single" w:sz="8" w:space="0" w:color="auto"/>
            </w:tcBorders>
            <w:shd w:val="clear" w:color="auto" w:fill="auto"/>
            <w:noWrap/>
            <w:hideMark/>
          </w:tcPr>
          <w:p w:rsidR="00B0098D" w:rsidRPr="00F26BE4" w:rsidRDefault="00B0098D" w:rsidP="00B0098D">
            <w:pPr>
              <w:rPr>
                <w:rFonts w:ascii="Garamond" w:hAnsi="Garamond"/>
                <w:color w:val="000000"/>
                <w:sz w:val="20"/>
                <w:szCs w:val="20"/>
                <w:lang w:eastAsia="en-IN"/>
              </w:rPr>
            </w:pPr>
            <w:r w:rsidRPr="00F26BE4">
              <w:rPr>
                <w:rFonts w:ascii="Garamond" w:hAnsi="Garamond"/>
                <w:color w:val="000000"/>
                <w:sz w:val="20"/>
                <w:szCs w:val="20"/>
                <w:lang w:eastAsia="en-IN"/>
              </w:rPr>
              <w:t>France</w:t>
            </w:r>
          </w:p>
        </w:tc>
        <w:tc>
          <w:tcPr>
            <w:tcW w:w="988" w:type="dxa"/>
            <w:tcBorders>
              <w:top w:val="nil"/>
              <w:left w:val="nil"/>
              <w:bottom w:val="nil"/>
              <w:right w:val="nil"/>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242</w:t>
            </w:r>
          </w:p>
        </w:tc>
        <w:tc>
          <w:tcPr>
            <w:tcW w:w="1250" w:type="dxa"/>
            <w:tcBorders>
              <w:top w:val="nil"/>
              <w:left w:val="single" w:sz="8" w:space="0" w:color="auto"/>
              <w:bottom w:val="nil"/>
              <w:right w:val="nil"/>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1.6</w:t>
            </w:r>
          </w:p>
        </w:tc>
        <w:tc>
          <w:tcPr>
            <w:tcW w:w="749" w:type="dxa"/>
            <w:tcBorders>
              <w:top w:val="nil"/>
              <w:left w:val="single" w:sz="8" w:space="0" w:color="auto"/>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79.4</w:t>
            </w:r>
          </w:p>
        </w:tc>
        <w:tc>
          <w:tcPr>
            <w:tcW w:w="1355" w:type="dxa"/>
            <w:tcBorders>
              <w:top w:val="nil"/>
              <w:left w:val="nil"/>
              <w:bottom w:val="nil"/>
              <w:right w:val="single" w:sz="8" w:space="0" w:color="auto"/>
            </w:tcBorders>
            <w:shd w:val="clear" w:color="auto" w:fill="auto"/>
            <w:noWrap/>
            <w:hideMark/>
          </w:tcPr>
          <w:p w:rsidR="00B0098D" w:rsidRPr="00F26BE4" w:rsidRDefault="00B0098D" w:rsidP="00B0098D">
            <w:pPr>
              <w:rPr>
                <w:rFonts w:ascii="Garamond" w:hAnsi="Garamond"/>
                <w:color w:val="000000"/>
                <w:sz w:val="20"/>
                <w:szCs w:val="20"/>
                <w:lang w:eastAsia="en-IN"/>
              </w:rPr>
            </w:pPr>
            <w:r w:rsidRPr="00F26BE4">
              <w:rPr>
                <w:rFonts w:ascii="Garamond" w:hAnsi="Garamond"/>
                <w:color w:val="000000"/>
                <w:sz w:val="20"/>
                <w:szCs w:val="20"/>
                <w:lang w:eastAsia="en-IN"/>
              </w:rPr>
              <w:t>Philippines</w:t>
            </w:r>
          </w:p>
        </w:tc>
        <w:tc>
          <w:tcPr>
            <w:tcW w:w="1104"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51</w:t>
            </w:r>
          </w:p>
        </w:tc>
        <w:tc>
          <w:tcPr>
            <w:tcW w:w="1913"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1.6</w:t>
            </w:r>
          </w:p>
        </w:tc>
        <w:tc>
          <w:tcPr>
            <w:tcW w:w="684"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8.4</w:t>
            </w:r>
          </w:p>
        </w:tc>
      </w:tr>
      <w:tr w:rsidR="00B0098D" w:rsidRPr="006037D2" w:rsidTr="00B0098D">
        <w:trPr>
          <w:trHeight w:val="300"/>
        </w:trPr>
        <w:tc>
          <w:tcPr>
            <w:tcW w:w="1835" w:type="dxa"/>
            <w:tcBorders>
              <w:top w:val="nil"/>
              <w:left w:val="single" w:sz="8" w:space="0" w:color="auto"/>
              <w:bottom w:val="nil"/>
              <w:right w:val="single" w:sz="8" w:space="0" w:color="auto"/>
            </w:tcBorders>
            <w:shd w:val="clear" w:color="auto" w:fill="auto"/>
            <w:noWrap/>
            <w:hideMark/>
          </w:tcPr>
          <w:p w:rsidR="00B0098D" w:rsidRPr="00F26BE4" w:rsidRDefault="00B0098D" w:rsidP="00B0098D">
            <w:pPr>
              <w:rPr>
                <w:rFonts w:ascii="Garamond" w:hAnsi="Garamond"/>
                <w:color w:val="000000"/>
                <w:sz w:val="20"/>
                <w:szCs w:val="20"/>
                <w:lang w:eastAsia="en-IN"/>
              </w:rPr>
            </w:pPr>
            <w:r w:rsidRPr="00F26BE4">
              <w:rPr>
                <w:rFonts w:ascii="Garamond" w:hAnsi="Garamond"/>
                <w:color w:val="000000"/>
                <w:sz w:val="20"/>
                <w:szCs w:val="20"/>
                <w:lang w:eastAsia="en-IN"/>
              </w:rPr>
              <w:t>Taiwan</w:t>
            </w:r>
          </w:p>
        </w:tc>
        <w:tc>
          <w:tcPr>
            <w:tcW w:w="988" w:type="dxa"/>
            <w:tcBorders>
              <w:top w:val="nil"/>
              <w:left w:val="nil"/>
              <w:bottom w:val="nil"/>
              <w:right w:val="nil"/>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240</w:t>
            </w:r>
          </w:p>
        </w:tc>
        <w:tc>
          <w:tcPr>
            <w:tcW w:w="1250" w:type="dxa"/>
            <w:tcBorders>
              <w:top w:val="nil"/>
              <w:left w:val="single" w:sz="8" w:space="0" w:color="auto"/>
              <w:bottom w:val="nil"/>
              <w:right w:val="nil"/>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1.0</w:t>
            </w:r>
          </w:p>
        </w:tc>
        <w:tc>
          <w:tcPr>
            <w:tcW w:w="749" w:type="dxa"/>
            <w:tcBorders>
              <w:top w:val="nil"/>
              <w:left w:val="single" w:sz="8" w:space="0" w:color="auto"/>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12.2</w:t>
            </w:r>
          </w:p>
        </w:tc>
        <w:tc>
          <w:tcPr>
            <w:tcW w:w="1355" w:type="dxa"/>
            <w:tcBorders>
              <w:top w:val="nil"/>
              <w:left w:val="nil"/>
              <w:bottom w:val="nil"/>
              <w:right w:val="single" w:sz="8" w:space="0" w:color="auto"/>
            </w:tcBorders>
            <w:shd w:val="clear" w:color="auto" w:fill="auto"/>
            <w:noWrap/>
            <w:hideMark/>
          </w:tcPr>
          <w:p w:rsidR="00B0098D" w:rsidRPr="00F26BE4" w:rsidRDefault="00B0098D" w:rsidP="00B0098D">
            <w:pPr>
              <w:rPr>
                <w:rFonts w:ascii="Garamond" w:hAnsi="Garamond"/>
                <w:color w:val="000000"/>
                <w:sz w:val="20"/>
                <w:szCs w:val="20"/>
                <w:lang w:eastAsia="en-IN"/>
              </w:rPr>
            </w:pPr>
            <w:r w:rsidRPr="00F26BE4">
              <w:rPr>
                <w:rFonts w:ascii="Garamond" w:hAnsi="Garamond"/>
                <w:color w:val="000000"/>
                <w:sz w:val="20"/>
                <w:szCs w:val="20"/>
                <w:lang w:eastAsia="en-IN"/>
              </w:rPr>
              <w:t>Mexico</w:t>
            </w:r>
          </w:p>
        </w:tc>
        <w:tc>
          <w:tcPr>
            <w:tcW w:w="1104"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48</w:t>
            </w:r>
          </w:p>
        </w:tc>
        <w:tc>
          <w:tcPr>
            <w:tcW w:w="1913"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-4.5</w:t>
            </w:r>
          </w:p>
        </w:tc>
        <w:tc>
          <w:tcPr>
            <w:tcW w:w="684"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-1.6</w:t>
            </w:r>
          </w:p>
        </w:tc>
      </w:tr>
      <w:tr w:rsidR="00B0098D" w:rsidRPr="006037D2" w:rsidTr="00B0098D">
        <w:trPr>
          <w:trHeight w:val="300"/>
        </w:trPr>
        <w:tc>
          <w:tcPr>
            <w:tcW w:w="1835" w:type="dxa"/>
            <w:tcBorders>
              <w:top w:val="nil"/>
              <w:left w:val="single" w:sz="8" w:space="0" w:color="auto"/>
              <w:bottom w:val="nil"/>
              <w:right w:val="single" w:sz="8" w:space="0" w:color="auto"/>
            </w:tcBorders>
            <w:shd w:val="clear" w:color="auto" w:fill="auto"/>
            <w:noWrap/>
            <w:hideMark/>
          </w:tcPr>
          <w:p w:rsidR="00B0098D" w:rsidRPr="00F26BE4" w:rsidRDefault="00B0098D" w:rsidP="00B0098D">
            <w:pPr>
              <w:rPr>
                <w:rFonts w:ascii="Garamond" w:hAnsi="Garamond"/>
                <w:color w:val="000000"/>
                <w:sz w:val="20"/>
                <w:szCs w:val="20"/>
                <w:lang w:eastAsia="en-IN"/>
              </w:rPr>
            </w:pPr>
            <w:r w:rsidRPr="00F26BE4">
              <w:rPr>
                <w:rFonts w:ascii="Garamond" w:hAnsi="Garamond"/>
                <w:color w:val="000000"/>
                <w:sz w:val="20"/>
                <w:szCs w:val="20"/>
                <w:lang w:eastAsia="en-IN"/>
              </w:rPr>
              <w:t>Hong Kong</w:t>
            </w:r>
          </w:p>
        </w:tc>
        <w:tc>
          <w:tcPr>
            <w:tcW w:w="988" w:type="dxa"/>
            <w:tcBorders>
              <w:top w:val="nil"/>
              <w:left w:val="nil"/>
              <w:bottom w:val="nil"/>
              <w:right w:val="nil"/>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230</w:t>
            </w:r>
          </w:p>
        </w:tc>
        <w:tc>
          <w:tcPr>
            <w:tcW w:w="1250" w:type="dxa"/>
            <w:tcBorders>
              <w:top w:val="nil"/>
              <w:left w:val="single" w:sz="8" w:space="0" w:color="auto"/>
              <w:bottom w:val="nil"/>
              <w:right w:val="nil"/>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4.6</w:t>
            </w:r>
          </w:p>
        </w:tc>
        <w:tc>
          <w:tcPr>
            <w:tcW w:w="749" w:type="dxa"/>
            <w:tcBorders>
              <w:top w:val="nil"/>
              <w:left w:val="single" w:sz="8" w:space="0" w:color="auto"/>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-5.0</w:t>
            </w:r>
          </w:p>
        </w:tc>
        <w:tc>
          <w:tcPr>
            <w:tcW w:w="1355" w:type="dxa"/>
            <w:tcBorders>
              <w:top w:val="nil"/>
              <w:left w:val="nil"/>
              <w:bottom w:val="nil"/>
              <w:right w:val="single" w:sz="8" w:space="0" w:color="auto"/>
            </w:tcBorders>
            <w:shd w:val="clear" w:color="auto" w:fill="auto"/>
            <w:noWrap/>
            <w:hideMark/>
          </w:tcPr>
          <w:p w:rsidR="00B0098D" w:rsidRPr="00F26BE4" w:rsidRDefault="00B0098D" w:rsidP="00B0098D">
            <w:pPr>
              <w:rPr>
                <w:rFonts w:ascii="Garamond" w:hAnsi="Garamond"/>
                <w:color w:val="000000"/>
                <w:sz w:val="20"/>
                <w:szCs w:val="20"/>
                <w:lang w:eastAsia="en-IN"/>
              </w:rPr>
            </w:pPr>
            <w:r w:rsidRPr="00F26BE4">
              <w:rPr>
                <w:rFonts w:ascii="Garamond" w:hAnsi="Garamond"/>
                <w:color w:val="000000"/>
                <w:sz w:val="20"/>
                <w:szCs w:val="20"/>
                <w:lang w:eastAsia="en-IN"/>
              </w:rPr>
              <w:t>Australia</w:t>
            </w:r>
          </w:p>
        </w:tc>
        <w:tc>
          <w:tcPr>
            <w:tcW w:w="1104"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48</w:t>
            </w:r>
          </w:p>
        </w:tc>
        <w:tc>
          <w:tcPr>
            <w:tcW w:w="1913"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1.5</w:t>
            </w:r>
          </w:p>
        </w:tc>
        <w:tc>
          <w:tcPr>
            <w:tcW w:w="684"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21.6</w:t>
            </w:r>
          </w:p>
        </w:tc>
      </w:tr>
      <w:tr w:rsidR="00B0098D" w:rsidRPr="006037D2" w:rsidTr="00B0098D">
        <w:trPr>
          <w:trHeight w:val="300"/>
        </w:trPr>
        <w:tc>
          <w:tcPr>
            <w:tcW w:w="1835" w:type="dxa"/>
            <w:tcBorders>
              <w:top w:val="nil"/>
              <w:left w:val="single" w:sz="8" w:space="0" w:color="auto"/>
              <w:bottom w:val="nil"/>
              <w:right w:val="single" w:sz="8" w:space="0" w:color="auto"/>
            </w:tcBorders>
            <w:shd w:val="clear" w:color="auto" w:fill="auto"/>
            <w:noWrap/>
            <w:hideMark/>
          </w:tcPr>
          <w:p w:rsidR="00B0098D" w:rsidRPr="00F26BE4" w:rsidRDefault="00B0098D" w:rsidP="00B0098D">
            <w:pPr>
              <w:rPr>
                <w:rFonts w:ascii="Garamond" w:hAnsi="Garamond"/>
                <w:color w:val="000000"/>
                <w:sz w:val="20"/>
                <w:szCs w:val="20"/>
                <w:lang w:eastAsia="en-IN"/>
              </w:rPr>
            </w:pPr>
            <w:r w:rsidRPr="00F26BE4">
              <w:rPr>
                <w:rFonts w:ascii="Garamond" w:hAnsi="Garamond"/>
                <w:color w:val="000000"/>
                <w:sz w:val="20"/>
                <w:szCs w:val="20"/>
                <w:lang w:eastAsia="en-IN"/>
              </w:rPr>
              <w:t>Belgium</w:t>
            </w:r>
          </w:p>
        </w:tc>
        <w:tc>
          <w:tcPr>
            <w:tcW w:w="988" w:type="dxa"/>
            <w:tcBorders>
              <w:top w:val="nil"/>
              <w:left w:val="nil"/>
              <w:bottom w:val="nil"/>
              <w:right w:val="nil"/>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221</w:t>
            </w:r>
          </w:p>
        </w:tc>
        <w:tc>
          <w:tcPr>
            <w:tcW w:w="1250" w:type="dxa"/>
            <w:tcBorders>
              <w:top w:val="nil"/>
              <w:left w:val="single" w:sz="8" w:space="0" w:color="auto"/>
              <w:bottom w:val="nil"/>
              <w:right w:val="nil"/>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-3.0</w:t>
            </w:r>
          </w:p>
        </w:tc>
        <w:tc>
          <w:tcPr>
            <w:tcW w:w="749" w:type="dxa"/>
            <w:tcBorders>
              <w:top w:val="nil"/>
              <w:left w:val="single" w:sz="8" w:space="0" w:color="auto"/>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1.3</w:t>
            </w:r>
          </w:p>
        </w:tc>
        <w:tc>
          <w:tcPr>
            <w:tcW w:w="1355" w:type="dxa"/>
            <w:tcBorders>
              <w:top w:val="nil"/>
              <w:left w:val="nil"/>
              <w:bottom w:val="nil"/>
              <w:right w:val="single" w:sz="8" w:space="0" w:color="auto"/>
            </w:tcBorders>
            <w:shd w:val="clear" w:color="auto" w:fill="auto"/>
            <w:noWrap/>
            <w:hideMark/>
          </w:tcPr>
          <w:p w:rsidR="00B0098D" w:rsidRPr="00F26BE4" w:rsidRDefault="00B0098D" w:rsidP="00B0098D">
            <w:pPr>
              <w:rPr>
                <w:rFonts w:ascii="Garamond" w:hAnsi="Garamond"/>
                <w:color w:val="000000"/>
                <w:sz w:val="20"/>
                <w:szCs w:val="20"/>
                <w:lang w:eastAsia="en-IN"/>
              </w:rPr>
            </w:pPr>
            <w:r w:rsidRPr="00F26BE4">
              <w:rPr>
                <w:rFonts w:ascii="Garamond" w:hAnsi="Garamond"/>
                <w:color w:val="000000"/>
                <w:sz w:val="20"/>
                <w:szCs w:val="20"/>
                <w:lang w:eastAsia="en-IN"/>
              </w:rPr>
              <w:t>Kuwait</w:t>
            </w:r>
          </w:p>
        </w:tc>
        <w:tc>
          <w:tcPr>
            <w:tcW w:w="1104"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46</w:t>
            </w:r>
          </w:p>
        </w:tc>
        <w:tc>
          <w:tcPr>
            <w:tcW w:w="1913"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-1.1</w:t>
            </w:r>
          </w:p>
        </w:tc>
        <w:tc>
          <w:tcPr>
            <w:tcW w:w="684"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-0.6</w:t>
            </w:r>
          </w:p>
        </w:tc>
      </w:tr>
      <w:tr w:rsidR="00B0098D" w:rsidRPr="006037D2" w:rsidTr="00B0098D">
        <w:trPr>
          <w:trHeight w:val="300"/>
        </w:trPr>
        <w:tc>
          <w:tcPr>
            <w:tcW w:w="1835" w:type="dxa"/>
            <w:tcBorders>
              <w:top w:val="nil"/>
              <w:left w:val="single" w:sz="8" w:space="0" w:color="auto"/>
              <w:bottom w:val="nil"/>
              <w:right w:val="single" w:sz="8" w:space="0" w:color="auto"/>
            </w:tcBorders>
            <w:shd w:val="clear" w:color="auto" w:fill="auto"/>
            <w:noWrap/>
            <w:hideMark/>
          </w:tcPr>
          <w:p w:rsidR="00B0098D" w:rsidRPr="00F26BE4" w:rsidRDefault="00B0098D" w:rsidP="00B0098D">
            <w:pPr>
              <w:rPr>
                <w:rFonts w:ascii="Garamond" w:hAnsi="Garamond"/>
                <w:color w:val="000000"/>
                <w:sz w:val="20"/>
                <w:szCs w:val="20"/>
                <w:lang w:eastAsia="en-IN"/>
              </w:rPr>
            </w:pPr>
            <w:r w:rsidRPr="00F26BE4">
              <w:rPr>
                <w:rFonts w:ascii="Garamond" w:hAnsi="Garamond"/>
                <w:color w:val="000000"/>
                <w:sz w:val="20"/>
                <w:szCs w:val="20"/>
                <w:lang w:eastAsia="en-IN"/>
              </w:rPr>
              <w:t>India</w:t>
            </w:r>
          </w:p>
        </w:tc>
        <w:tc>
          <w:tcPr>
            <w:tcW w:w="988" w:type="dxa"/>
            <w:tcBorders>
              <w:top w:val="nil"/>
              <w:left w:val="nil"/>
              <w:bottom w:val="nil"/>
              <w:right w:val="nil"/>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218</w:t>
            </w:r>
          </w:p>
        </w:tc>
        <w:tc>
          <w:tcPr>
            <w:tcW w:w="1250" w:type="dxa"/>
            <w:tcBorders>
              <w:top w:val="nil"/>
              <w:left w:val="single" w:sz="8" w:space="0" w:color="auto"/>
              <w:bottom w:val="nil"/>
              <w:right w:val="nil"/>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0.6</w:t>
            </w:r>
          </w:p>
        </w:tc>
        <w:tc>
          <w:tcPr>
            <w:tcW w:w="749" w:type="dxa"/>
            <w:tcBorders>
              <w:top w:val="nil"/>
              <w:left w:val="single" w:sz="8" w:space="0" w:color="auto"/>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2.3</w:t>
            </w:r>
          </w:p>
        </w:tc>
        <w:tc>
          <w:tcPr>
            <w:tcW w:w="1355" w:type="dxa"/>
            <w:tcBorders>
              <w:top w:val="nil"/>
              <w:left w:val="nil"/>
              <w:bottom w:val="nil"/>
              <w:right w:val="single" w:sz="8" w:space="0" w:color="auto"/>
            </w:tcBorders>
            <w:shd w:val="clear" w:color="auto" w:fill="auto"/>
            <w:noWrap/>
            <w:hideMark/>
          </w:tcPr>
          <w:p w:rsidR="00B0098D" w:rsidRPr="00F26BE4" w:rsidRDefault="00B0098D" w:rsidP="00B0098D">
            <w:pPr>
              <w:rPr>
                <w:rFonts w:ascii="Garamond" w:hAnsi="Garamond"/>
                <w:color w:val="000000"/>
                <w:sz w:val="20"/>
                <w:szCs w:val="20"/>
                <w:lang w:eastAsia="en-IN"/>
              </w:rPr>
            </w:pPr>
            <w:r w:rsidRPr="00F26BE4">
              <w:rPr>
                <w:rFonts w:ascii="Garamond" w:hAnsi="Garamond"/>
                <w:color w:val="000000"/>
                <w:sz w:val="20"/>
                <w:szCs w:val="20"/>
                <w:lang w:eastAsia="en-IN"/>
              </w:rPr>
              <w:t>Vietnam</w:t>
            </w:r>
          </w:p>
        </w:tc>
        <w:tc>
          <w:tcPr>
            <w:tcW w:w="1104"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45</w:t>
            </w:r>
          </w:p>
        </w:tc>
        <w:tc>
          <w:tcPr>
            <w:tcW w:w="1913"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0.9</w:t>
            </w:r>
          </w:p>
        </w:tc>
        <w:tc>
          <w:tcPr>
            <w:tcW w:w="684"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48.7</w:t>
            </w:r>
          </w:p>
        </w:tc>
      </w:tr>
      <w:tr w:rsidR="00B0098D" w:rsidRPr="006037D2" w:rsidTr="00B0098D">
        <w:trPr>
          <w:trHeight w:val="300"/>
        </w:trPr>
        <w:tc>
          <w:tcPr>
            <w:tcW w:w="1835" w:type="dxa"/>
            <w:tcBorders>
              <w:top w:val="nil"/>
              <w:left w:val="single" w:sz="8" w:space="0" w:color="auto"/>
              <w:bottom w:val="nil"/>
              <w:right w:val="single" w:sz="8" w:space="0" w:color="auto"/>
            </w:tcBorders>
            <w:shd w:val="clear" w:color="auto" w:fill="auto"/>
            <w:noWrap/>
            <w:hideMark/>
          </w:tcPr>
          <w:p w:rsidR="00B0098D" w:rsidRPr="00F26BE4" w:rsidRDefault="00B0098D" w:rsidP="00B0098D">
            <w:pPr>
              <w:rPr>
                <w:rFonts w:ascii="Garamond" w:hAnsi="Garamond"/>
                <w:color w:val="000000"/>
                <w:sz w:val="20"/>
                <w:szCs w:val="20"/>
                <w:lang w:eastAsia="en-IN"/>
              </w:rPr>
            </w:pPr>
            <w:r w:rsidRPr="00F26BE4">
              <w:rPr>
                <w:rFonts w:ascii="Garamond" w:hAnsi="Garamond"/>
                <w:color w:val="000000"/>
                <w:sz w:val="20"/>
                <w:szCs w:val="20"/>
                <w:lang w:eastAsia="en-IN"/>
              </w:rPr>
              <w:t>Singapore</w:t>
            </w:r>
          </w:p>
        </w:tc>
        <w:tc>
          <w:tcPr>
            <w:tcW w:w="988" w:type="dxa"/>
            <w:tcBorders>
              <w:top w:val="nil"/>
              <w:left w:val="nil"/>
              <w:bottom w:val="nil"/>
              <w:right w:val="nil"/>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189</w:t>
            </w:r>
          </w:p>
        </w:tc>
        <w:tc>
          <w:tcPr>
            <w:tcW w:w="1250" w:type="dxa"/>
            <w:tcBorders>
              <w:top w:val="nil"/>
              <w:left w:val="single" w:sz="8" w:space="0" w:color="auto"/>
              <w:bottom w:val="nil"/>
              <w:right w:val="nil"/>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-1.1</w:t>
            </w:r>
          </w:p>
        </w:tc>
        <w:tc>
          <w:tcPr>
            <w:tcW w:w="749" w:type="dxa"/>
            <w:tcBorders>
              <w:top w:val="nil"/>
              <w:left w:val="single" w:sz="8" w:space="0" w:color="auto"/>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19.1</w:t>
            </w:r>
          </w:p>
        </w:tc>
        <w:tc>
          <w:tcPr>
            <w:tcW w:w="1355" w:type="dxa"/>
            <w:tcBorders>
              <w:top w:val="nil"/>
              <w:left w:val="nil"/>
              <w:bottom w:val="nil"/>
              <w:right w:val="single" w:sz="8" w:space="0" w:color="auto"/>
            </w:tcBorders>
            <w:shd w:val="clear" w:color="auto" w:fill="auto"/>
            <w:noWrap/>
            <w:hideMark/>
          </w:tcPr>
          <w:p w:rsidR="00B0098D" w:rsidRPr="00F26BE4" w:rsidRDefault="00B0098D" w:rsidP="00B0098D">
            <w:pPr>
              <w:rPr>
                <w:rFonts w:ascii="Garamond" w:hAnsi="Garamond"/>
                <w:color w:val="000000"/>
                <w:sz w:val="20"/>
                <w:szCs w:val="20"/>
                <w:lang w:eastAsia="en-IN"/>
              </w:rPr>
            </w:pPr>
            <w:r w:rsidRPr="00F26BE4">
              <w:rPr>
                <w:rFonts w:ascii="Garamond" w:hAnsi="Garamond"/>
                <w:color w:val="000000"/>
                <w:sz w:val="20"/>
                <w:szCs w:val="20"/>
                <w:lang w:eastAsia="en-IN"/>
              </w:rPr>
              <w:t>Sweden</w:t>
            </w:r>
          </w:p>
        </w:tc>
        <w:tc>
          <w:tcPr>
            <w:tcW w:w="1104"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43</w:t>
            </w:r>
          </w:p>
        </w:tc>
        <w:tc>
          <w:tcPr>
            <w:tcW w:w="1913"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0.2</w:t>
            </w:r>
          </w:p>
        </w:tc>
        <w:tc>
          <w:tcPr>
            <w:tcW w:w="684"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13.4</w:t>
            </w:r>
          </w:p>
        </w:tc>
      </w:tr>
      <w:tr w:rsidR="00B0098D" w:rsidRPr="006037D2" w:rsidTr="00B0098D">
        <w:trPr>
          <w:trHeight w:val="300"/>
        </w:trPr>
        <w:tc>
          <w:tcPr>
            <w:tcW w:w="1835" w:type="dxa"/>
            <w:tcBorders>
              <w:top w:val="nil"/>
              <w:left w:val="single" w:sz="8" w:space="0" w:color="auto"/>
              <w:bottom w:val="nil"/>
              <w:right w:val="single" w:sz="8" w:space="0" w:color="auto"/>
            </w:tcBorders>
            <w:shd w:val="clear" w:color="auto" w:fill="auto"/>
            <w:noWrap/>
            <w:hideMark/>
          </w:tcPr>
          <w:p w:rsidR="00B0098D" w:rsidRPr="00F26BE4" w:rsidRDefault="00B0098D" w:rsidP="00B0098D">
            <w:pPr>
              <w:rPr>
                <w:rFonts w:ascii="Garamond" w:hAnsi="Garamond"/>
                <w:color w:val="000000"/>
                <w:sz w:val="20"/>
                <w:szCs w:val="20"/>
                <w:lang w:eastAsia="en-IN"/>
              </w:rPr>
            </w:pPr>
            <w:r w:rsidRPr="00F26BE4">
              <w:rPr>
                <w:rFonts w:ascii="Garamond" w:hAnsi="Garamond"/>
                <w:color w:val="000000"/>
                <w:sz w:val="20"/>
                <w:szCs w:val="20"/>
                <w:lang w:eastAsia="en-IN"/>
              </w:rPr>
              <w:t>Canada</w:t>
            </w:r>
          </w:p>
        </w:tc>
        <w:tc>
          <w:tcPr>
            <w:tcW w:w="988" w:type="dxa"/>
            <w:tcBorders>
              <w:top w:val="nil"/>
              <w:left w:val="nil"/>
              <w:bottom w:val="nil"/>
              <w:right w:val="nil"/>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167</w:t>
            </w:r>
          </w:p>
        </w:tc>
        <w:tc>
          <w:tcPr>
            <w:tcW w:w="1250" w:type="dxa"/>
            <w:tcBorders>
              <w:top w:val="nil"/>
              <w:left w:val="single" w:sz="8" w:space="0" w:color="auto"/>
              <w:bottom w:val="nil"/>
              <w:right w:val="nil"/>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-1.2</w:t>
            </w:r>
          </w:p>
        </w:tc>
        <w:tc>
          <w:tcPr>
            <w:tcW w:w="749" w:type="dxa"/>
            <w:tcBorders>
              <w:top w:val="nil"/>
              <w:left w:val="single" w:sz="8" w:space="0" w:color="auto"/>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30.5</w:t>
            </w:r>
          </w:p>
        </w:tc>
        <w:tc>
          <w:tcPr>
            <w:tcW w:w="1355" w:type="dxa"/>
            <w:tcBorders>
              <w:top w:val="nil"/>
              <w:left w:val="nil"/>
              <w:bottom w:val="nil"/>
              <w:right w:val="single" w:sz="8" w:space="0" w:color="auto"/>
            </w:tcBorders>
            <w:shd w:val="clear" w:color="auto" w:fill="auto"/>
            <w:noWrap/>
            <w:hideMark/>
          </w:tcPr>
          <w:p w:rsidR="00B0098D" w:rsidRPr="00F26BE4" w:rsidRDefault="00B0098D" w:rsidP="00B0098D">
            <w:pPr>
              <w:rPr>
                <w:rFonts w:ascii="Garamond" w:hAnsi="Garamond"/>
                <w:color w:val="000000"/>
                <w:sz w:val="20"/>
                <w:szCs w:val="20"/>
                <w:lang w:eastAsia="en-IN"/>
              </w:rPr>
            </w:pPr>
            <w:r w:rsidRPr="00F26BE4">
              <w:rPr>
                <w:rFonts w:ascii="Garamond" w:hAnsi="Garamond"/>
                <w:color w:val="000000"/>
                <w:sz w:val="20"/>
                <w:szCs w:val="20"/>
                <w:lang w:eastAsia="en-IN"/>
              </w:rPr>
              <w:t>Italy</w:t>
            </w:r>
          </w:p>
        </w:tc>
        <w:tc>
          <w:tcPr>
            <w:tcW w:w="1104"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42</w:t>
            </w:r>
          </w:p>
        </w:tc>
        <w:tc>
          <w:tcPr>
            <w:tcW w:w="1913"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2.0</w:t>
            </w:r>
          </w:p>
        </w:tc>
        <w:tc>
          <w:tcPr>
            <w:tcW w:w="684"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-5.0</w:t>
            </w:r>
          </w:p>
        </w:tc>
      </w:tr>
      <w:tr w:rsidR="00B0098D" w:rsidRPr="006037D2" w:rsidTr="00B0098D">
        <w:trPr>
          <w:trHeight w:val="300"/>
        </w:trPr>
        <w:tc>
          <w:tcPr>
            <w:tcW w:w="1835" w:type="dxa"/>
            <w:tcBorders>
              <w:top w:val="nil"/>
              <w:left w:val="single" w:sz="8" w:space="0" w:color="auto"/>
              <w:bottom w:val="nil"/>
              <w:right w:val="single" w:sz="8" w:space="0" w:color="auto"/>
            </w:tcBorders>
            <w:shd w:val="clear" w:color="auto" w:fill="auto"/>
            <w:noWrap/>
            <w:hideMark/>
          </w:tcPr>
          <w:p w:rsidR="00B0098D" w:rsidRPr="00F26BE4" w:rsidRDefault="00B0098D" w:rsidP="00B0098D">
            <w:pPr>
              <w:rPr>
                <w:rFonts w:ascii="Garamond" w:hAnsi="Garamond"/>
                <w:color w:val="000000"/>
                <w:sz w:val="20"/>
                <w:szCs w:val="20"/>
                <w:lang w:eastAsia="en-IN"/>
              </w:rPr>
            </w:pPr>
            <w:r w:rsidRPr="00F26BE4">
              <w:rPr>
                <w:rFonts w:ascii="Garamond" w:hAnsi="Garamond"/>
                <w:color w:val="000000"/>
                <w:sz w:val="20"/>
                <w:szCs w:val="20"/>
                <w:lang w:eastAsia="en-IN"/>
              </w:rPr>
              <w:t>Korea</w:t>
            </w:r>
          </w:p>
        </w:tc>
        <w:tc>
          <w:tcPr>
            <w:tcW w:w="988" w:type="dxa"/>
            <w:tcBorders>
              <w:top w:val="nil"/>
              <w:left w:val="nil"/>
              <w:bottom w:val="nil"/>
              <w:right w:val="nil"/>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130</w:t>
            </w:r>
          </w:p>
        </w:tc>
        <w:tc>
          <w:tcPr>
            <w:tcW w:w="1250" w:type="dxa"/>
            <w:tcBorders>
              <w:top w:val="nil"/>
              <w:left w:val="single" w:sz="8" w:space="0" w:color="auto"/>
              <w:bottom w:val="nil"/>
              <w:right w:val="nil"/>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0.9</w:t>
            </w:r>
          </w:p>
        </w:tc>
        <w:tc>
          <w:tcPr>
            <w:tcW w:w="749" w:type="dxa"/>
            <w:tcBorders>
              <w:top w:val="nil"/>
              <w:left w:val="single" w:sz="8" w:space="0" w:color="auto"/>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5.6</w:t>
            </w:r>
          </w:p>
        </w:tc>
        <w:tc>
          <w:tcPr>
            <w:tcW w:w="1355" w:type="dxa"/>
            <w:tcBorders>
              <w:top w:val="nil"/>
              <w:left w:val="nil"/>
              <w:bottom w:val="nil"/>
              <w:right w:val="single" w:sz="8" w:space="0" w:color="auto"/>
            </w:tcBorders>
            <w:shd w:val="clear" w:color="auto" w:fill="auto"/>
            <w:noWrap/>
            <w:hideMark/>
          </w:tcPr>
          <w:p w:rsidR="00B0098D" w:rsidRPr="00F26BE4" w:rsidRDefault="00B0098D" w:rsidP="00B0098D">
            <w:pPr>
              <w:rPr>
                <w:rFonts w:ascii="Garamond" w:hAnsi="Garamond"/>
                <w:color w:val="000000"/>
                <w:sz w:val="20"/>
                <w:szCs w:val="20"/>
                <w:lang w:eastAsia="en-IN"/>
              </w:rPr>
            </w:pPr>
            <w:r w:rsidRPr="00F26BE4">
              <w:rPr>
                <w:rFonts w:ascii="Garamond" w:hAnsi="Garamond"/>
                <w:color w:val="000000"/>
                <w:sz w:val="20"/>
                <w:szCs w:val="20"/>
                <w:lang w:eastAsia="en-IN"/>
              </w:rPr>
              <w:t>Chile</w:t>
            </w:r>
          </w:p>
        </w:tc>
        <w:tc>
          <w:tcPr>
            <w:tcW w:w="1104"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39</w:t>
            </w:r>
          </w:p>
        </w:tc>
        <w:tc>
          <w:tcPr>
            <w:tcW w:w="1913"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1.3</w:t>
            </w:r>
          </w:p>
        </w:tc>
        <w:tc>
          <w:tcPr>
            <w:tcW w:w="684"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32.0</w:t>
            </w:r>
          </w:p>
        </w:tc>
      </w:tr>
      <w:tr w:rsidR="00B0098D" w:rsidRPr="006037D2" w:rsidTr="00B0098D">
        <w:trPr>
          <w:trHeight w:val="300"/>
        </w:trPr>
        <w:tc>
          <w:tcPr>
            <w:tcW w:w="1835" w:type="dxa"/>
            <w:tcBorders>
              <w:top w:val="nil"/>
              <w:left w:val="single" w:sz="8" w:space="0" w:color="auto"/>
              <w:bottom w:val="nil"/>
              <w:right w:val="single" w:sz="8" w:space="0" w:color="auto"/>
            </w:tcBorders>
            <w:shd w:val="clear" w:color="auto" w:fill="auto"/>
            <w:noWrap/>
            <w:hideMark/>
          </w:tcPr>
          <w:p w:rsidR="00B0098D" w:rsidRPr="00F26BE4" w:rsidRDefault="00B0098D" w:rsidP="00B0098D">
            <w:pPr>
              <w:rPr>
                <w:rFonts w:ascii="Garamond" w:hAnsi="Garamond"/>
                <w:color w:val="000000"/>
                <w:sz w:val="20"/>
                <w:szCs w:val="20"/>
                <w:lang w:eastAsia="en-IN"/>
              </w:rPr>
            </w:pPr>
            <w:r w:rsidRPr="00F26BE4">
              <w:rPr>
                <w:rFonts w:ascii="Garamond" w:hAnsi="Garamond"/>
                <w:color w:val="000000"/>
                <w:sz w:val="20"/>
                <w:szCs w:val="20"/>
                <w:lang w:eastAsia="en-IN"/>
              </w:rPr>
              <w:t>Saudi Arabia</w:t>
            </w:r>
          </w:p>
        </w:tc>
        <w:tc>
          <w:tcPr>
            <w:tcW w:w="988" w:type="dxa"/>
            <w:tcBorders>
              <w:top w:val="nil"/>
              <w:left w:val="nil"/>
              <w:bottom w:val="nil"/>
              <w:right w:val="nil"/>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124</w:t>
            </w:r>
          </w:p>
        </w:tc>
        <w:tc>
          <w:tcPr>
            <w:tcW w:w="1250" w:type="dxa"/>
            <w:tcBorders>
              <w:top w:val="nil"/>
              <w:left w:val="single" w:sz="8" w:space="0" w:color="auto"/>
              <w:bottom w:val="nil"/>
              <w:right w:val="nil"/>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0.2</w:t>
            </w:r>
          </w:p>
        </w:tc>
        <w:tc>
          <w:tcPr>
            <w:tcW w:w="749" w:type="dxa"/>
            <w:tcBorders>
              <w:top w:val="nil"/>
              <w:left w:val="single" w:sz="8" w:space="0" w:color="auto"/>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-5.3</w:t>
            </w:r>
          </w:p>
        </w:tc>
        <w:tc>
          <w:tcPr>
            <w:tcW w:w="1355" w:type="dxa"/>
            <w:tcBorders>
              <w:top w:val="nil"/>
              <w:left w:val="nil"/>
              <w:bottom w:val="nil"/>
              <w:right w:val="single" w:sz="8" w:space="0" w:color="auto"/>
            </w:tcBorders>
            <w:shd w:val="clear" w:color="auto" w:fill="auto"/>
            <w:noWrap/>
            <w:hideMark/>
          </w:tcPr>
          <w:p w:rsidR="00B0098D" w:rsidRPr="00F26BE4" w:rsidRDefault="00B0098D" w:rsidP="00B0098D">
            <w:pPr>
              <w:rPr>
                <w:rFonts w:ascii="Garamond" w:hAnsi="Garamond"/>
                <w:color w:val="000000"/>
                <w:sz w:val="20"/>
                <w:szCs w:val="20"/>
                <w:lang w:eastAsia="en-IN"/>
              </w:rPr>
            </w:pPr>
            <w:r w:rsidRPr="00F26BE4">
              <w:rPr>
                <w:rFonts w:ascii="Garamond" w:hAnsi="Garamond"/>
                <w:color w:val="000000"/>
                <w:sz w:val="20"/>
                <w:szCs w:val="20"/>
                <w:lang w:eastAsia="en-IN"/>
              </w:rPr>
              <w:t>Colombia</w:t>
            </w:r>
          </w:p>
        </w:tc>
        <w:tc>
          <w:tcPr>
            <w:tcW w:w="1104"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33</w:t>
            </w:r>
          </w:p>
        </w:tc>
        <w:tc>
          <w:tcPr>
            <w:tcW w:w="1913"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0.9</w:t>
            </w:r>
          </w:p>
        </w:tc>
        <w:tc>
          <w:tcPr>
            <w:tcW w:w="684" w:type="dxa"/>
            <w:tcBorders>
              <w:top w:val="nil"/>
              <w:left w:val="nil"/>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12.1</w:t>
            </w:r>
          </w:p>
        </w:tc>
      </w:tr>
      <w:tr w:rsidR="00B0098D" w:rsidRPr="006037D2" w:rsidTr="00B0098D">
        <w:trPr>
          <w:trHeight w:val="300"/>
        </w:trPr>
        <w:tc>
          <w:tcPr>
            <w:tcW w:w="1835" w:type="dxa"/>
            <w:tcBorders>
              <w:top w:val="nil"/>
              <w:left w:val="single" w:sz="8" w:space="0" w:color="auto"/>
              <w:bottom w:val="nil"/>
              <w:right w:val="single" w:sz="8" w:space="0" w:color="auto"/>
            </w:tcBorders>
            <w:shd w:val="clear" w:color="auto" w:fill="auto"/>
            <w:noWrap/>
            <w:hideMark/>
          </w:tcPr>
          <w:p w:rsidR="00B0098D" w:rsidRPr="00B0098D" w:rsidRDefault="00B0098D" w:rsidP="00B0098D">
            <w:pPr>
              <w:rPr>
                <w:rFonts w:ascii="Garamond" w:hAnsi="Garamond"/>
                <w:color w:val="000000"/>
                <w:sz w:val="20"/>
                <w:szCs w:val="20"/>
                <w:lang w:eastAsia="en-IN"/>
              </w:rPr>
            </w:pPr>
            <w:r w:rsidRPr="00B0098D">
              <w:rPr>
                <w:rFonts w:ascii="Garamond" w:hAnsi="Garamond"/>
                <w:color w:val="000000"/>
                <w:sz w:val="20"/>
                <w:szCs w:val="20"/>
                <w:lang w:eastAsia="en-IN"/>
              </w:rPr>
              <w:t>All Other</w:t>
            </w:r>
          </w:p>
        </w:tc>
        <w:tc>
          <w:tcPr>
            <w:tcW w:w="988" w:type="dxa"/>
            <w:tcBorders>
              <w:top w:val="nil"/>
              <w:left w:val="nil"/>
              <w:bottom w:val="nil"/>
              <w:right w:val="nil"/>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476</w:t>
            </w:r>
          </w:p>
        </w:tc>
        <w:tc>
          <w:tcPr>
            <w:tcW w:w="1250" w:type="dxa"/>
            <w:tcBorders>
              <w:top w:val="nil"/>
              <w:left w:val="single" w:sz="8" w:space="0" w:color="auto"/>
              <w:bottom w:val="nil"/>
              <w:right w:val="nil"/>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-1.6</w:t>
            </w:r>
          </w:p>
        </w:tc>
        <w:tc>
          <w:tcPr>
            <w:tcW w:w="749" w:type="dxa"/>
            <w:tcBorders>
              <w:top w:val="nil"/>
              <w:left w:val="single" w:sz="8" w:space="0" w:color="auto"/>
              <w:bottom w:val="nil"/>
              <w:right w:val="single" w:sz="8" w:space="0" w:color="auto"/>
            </w:tcBorders>
            <w:shd w:val="clear" w:color="auto" w:fill="auto"/>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-10.8</w:t>
            </w:r>
          </w:p>
        </w:tc>
        <w:tc>
          <w:tcPr>
            <w:tcW w:w="1355" w:type="dxa"/>
            <w:tcBorders>
              <w:top w:val="nil"/>
              <w:left w:val="nil"/>
              <w:bottom w:val="nil"/>
              <w:right w:val="single" w:sz="8" w:space="0" w:color="auto"/>
            </w:tcBorders>
            <w:shd w:val="clear" w:color="auto" w:fill="auto"/>
            <w:noWrap/>
          </w:tcPr>
          <w:p w:rsidR="00B0098D" w:rsidRPr="00F26BE4" w:rsidRDefault="00B0098D" w:rsidP="00B0098D">
            <w:pPr>
              <w:rPr>
                <w:rFonts w:ascii="Garamond" w:hAnsi="Garamond"/>
                <w:color w:val="000000"/>
                <w:sz w:val="20"/>
                <w:szCs w:val="20"/>
                <w:lang w:eastAsia="en-IN"/>
              </w:rPr>
            </w:pPr>
          </w:p>
        </w:tc>
        <w:tc>
          <w:tcPr>
            <w:tcW w:w="1104" w:type="dxa"/>
            <w:tcBorders>
              <w:top w:val="nil"/>
              <w:left w:val="nil"/>
              <w:bottom w:val="nil"/>
              <w:right w:val="single" w:sz="8" w:space="0" w:color="auto"/>
            </w:tcBorders>
            <w:shd w:val="clear" w:color="auto" w:fill="auto"/>
            <w:noWrap/>
          </w:tcPr>
          <w:p w:rsidR="00B0098D" w:rsidRPr="00F26BE4" w:rsidRDefault="00B0098D" w:rsidP="00B0098D">
            <w:pPr>
              <w:jc w:val="center"/>
              <w:rPr>
                <w:rFonts w:ascii="Garamond" w:hAnsi="Garamond"/>
                <w:color w:val="000000"/>
                <w:sz w:val="20"/>
                <w:szCs w:val="20"/>
                <w:lang w:eastAsia="en-IN"/>
              </w:rPr>
            </w:pPr>
          </w:p>
        </w:tc>
        <w:tc>
          <w:tcPr>
            <w:tcW w:w="1913" w:type="dxa"/>
            <w:tcBorders>
              <w:top w:val="nil"/>
              <w:left w:val="nil"/>
              <w:bottom w:val="nil"/>
              <w:right w:val="single" w:sz="8" w:space="0" w:color="auto"/>
            </w:tcBorders>
            <w:shd w:val="clear" w:color="auto" w:fill="auto"/>
            <w:noWrap/>
          </w:tcPr>
          <w:p w:rsidR="00B0098D" w:rsidRPr="00F26BE4" w:rsidRDefault="00B0098D" w:rsidP="00B0098D">
            <w:pPr>
              <w:jc w:val="center"/>
              <w:rPr>
                <w:rFonts w:ascii="Garamond" w:hAnsi="Garamond"/>
                <w:color w:val="000000"/>
                <w:sz w:val="20"/>
                <w:szCs w:val="20"/>
                <w:lang w:eastAsia="en-IN"/>
              </w:rPr>
            </w:pPr>
          </w:p>
        </w:tc>
        <w:tc>
          <w:tcPr>
            <w:tcW w:w="684" w:type="dxa"/>
            <w:tcBorders>
              <w:top w:val="nil"/>
              <w:left w:val="nil"/>
              <w:bottom w:val="nil"/>
              <w:right w:val="single" w:sz="8" w:space="0" w:color="auto"/>
            </w:tcBorders>
            <w:shd w:val="clear" w:color="auto" w:fill="auto"/>
            <w:noWrap/>
          </w:tcPr>
          <w:p w:rsidR="00B0098D" w:rsidRPr="00F26BE4" w:rsidRDefault="00B0098D" w:rsidP="00B0098D">
            <w:pPr>
              <w:jc w:val="center"/>
              <w:rPr>
                <w:rFonts w:ascii="Garamond" w:hAnsi="Garamond"/>
                <w:color w:val="000000"/>
                <w:sz w:val="20"/>
                <w:szCs w:val="20"/>
                <w:lang w:eastAsia="en-IN"/>
              </w:rPr>
            </w:pPr>
          </w:p>
        </w:tc>
      </w:tr>
      <w:tr w:rsidR="00B0098D" w:rsidRPr="006037D2" w:rsidTr="00B0098D">
        <w:trPr>
          <w:trHeight w:val="300"/>
        </w:trPr>
        <w:tc>
          <w:tcPr>
            <w:tcW w:w="1835" w:type="dxa"/>
            <w:tcBorders>
              <w:top w:val="nil"/>
              <w:left w:val="single" w:sz="8" w:space="0" w:color="auto"/>
              <w:bottom w:val="nil"/>
              <w:right w:val="single" w:sz="8" w:space="0" w:color="auto"/>
            </w:tcBorders>
            <w:shd w:val="clear" w:color="000000" w:fill="D5DCE4"/>
            <w:noWrap/>
            <w:hideMark/>
          </w:tcPr>
          <w:p w:rsidR="00B0098D" w:rsidRPr="00B0098D" w:rsidRDefault="00B0098D" w:rsidP="00B0098D">
            <w:pPr>
              <w:rPr>
                <w:rFonts w:ascii="Garamond" w:hAnsi="Garamond"/>
                <w:color w:val="000000"/>
                <w:sz w:val="20"/>
                <w:szCs w:val="20"/>
                <w:lang w:eastAsia="en-IN"/>
              </w:rPr>
            </w:pPr>
            <w:r w:rsidRPr="00B0098D">
              <w:rPr>
                <w:rFonts w:ascii="Garamond" w:hAnsi="Garamond"/>
                <w:color w:val="000000"/>
                <w:sz w:val="20"/>
                <w:szCs w:val="20"/>
                <w:lang w:eastAsia="en-IN"/>
              </w:rPr>
              <w:t>Grand Total</w:t>
            </w:r>
          </w:p>
        </w:tc>
        <w:tc>
          <w:tcPr>
            <w:tcW w:w="988" w:type="dxa"/>
            <w:tcBorders>
              <w:top w:val="nil"/>
              <w:left w:val="nil"/>
              <w:bottom w:val="nil"/>
              <w:right w:val="nil"/>
            </w:tcBorders>
            <w:shd w:val="clear" w:color="000000" w:fill="D5DCE4"/>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7,549</w:t>
            </w:r>
          </w:p>
        </w:tc>
        <w:tc>
          <w:tcPr>
            <w:tcW w:w="1250" w:type="dxa"/>
            <w:tcBorders>
              <w:top w:val="nil"/>
              <w:left w:val="single" w:sz="8" w:space="0" w:color="auto"/>
              <w:bottom w:val="nil"/>
              <w:right w:val="nil"/>
            </w:tcBorders>
            <w:shd w:val="clear" w:color="000000" w:fill="D5DCE4"/>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-0.1</w:t>
            </w:r>
          </w:p>
        </w:tc>
        <w:tc>
          <w:tcPr>
            <w:tcW w:w="749" w:type="dxa"/>
            <w:tcBorders>
              <w:top w:val="nil"/>
              <w:left w:val="single" w:sz="8" w:space="0" w:color="auto"/>
              <w:bottom w:val="nil"/>
              <w:right w:val="single" w:sz="8" w:space="0" w:color="auto"/>
            </w:tcBorders>
            <w:shd w:val="clear" w:color="000000" w:fill="D5DCE4"/>
            <w:noWrap/>
            <w:hideMark/>
          </w:tcPr>
          <w:p w:rsidR="00B0098D" w:rsidRPr="00F26BE4" w:rsidRDefault="00B0098D" w:rsidP="00B0098D">
            <w:pPr>
              <w:jc w:val="center"/>
              <w:rPr>
                <w:rFonts w:ascii="Garamond" w:hAnsi="Garamond"/>
                <w:color w:val="000000"/>
                <w:sz w:val="20"/>
                <w:szCs w:val="20"/>
                <w:lang w:eastAsia="en-IN"/>
              </w:rPr>
            </w:pPr>
            <w:r w:rsidRPr="00F26BE4">
              <w:rPr>
                <w:rFonts w:ascii="Garamond" w:hAnsi="Garamond"/>
                <w:color w:val="000000"/>
                <w:sz w:val="20"/>
                <w:szCs w:val="20"/>
                <w:lang w:eastAsia="en-IN"/>
              </w:rPr>
              <w:t>6.8</w:t>
            </w:r>
          </w:p>
        </w:tc>
        <w:tc>
          <w:tcPr>
            <w:tcW w:w="1355" w:type="dxa"/>
            <w:tcBorders>
              <w:top w:val="nil"/>
              <w:left w:val="nil"/>
              <w:bottom w:val="nil"/>
              <w:right w:val="single" w:sz="8" w:space="0" w:color="auto"/>
            </w:tcBorders>
            <w:shd w:val="clear" w:color="000000" w:fill="D5DCE4"/>
            <w:noWrap/>
            <w:hideMark/>
          </w:tcPr>
          <w:p w:rsidR="00B0098D" w:rsidRPr="006037D2" w:rsidRDefault="00B0098D" w:rsidP="00B0098D">
            <w:pPr>
              <w:jc w:val="right"/>
              <w:rPr>
                <w:rFonts w:ascii="Garamond" w:eastAsia="Times New Roman" w:hAnsi="Garamond" w:cs="Calibri"/>
                <w:b/>
                <w:bCs/>
                <w:color w:val="000000"/>
                <w:lang w:val="en-US" w:bidi="hi-IN"/>
              </w:rPr>
            </w:pPr>
            <w:r w:rsidRPr="006037D2">
              <w:rPr>
                <w:rFonts w:ascii="Garamond" w:eastAsia="Times New Roman" w:hAnsi="Garamond" w:cs="Calibri"/>
                <w:b/>
                <w:bCs/>
                <w:color w:val="000000"/>
                <w:lang w:bidi="hi-IN"/>
              </w:rPr>
              <w:t> </w:t>
            </w:r>
          </w:p>
        </w:tc>
        <w:tc>
          <w:tcPr>
            <w:tcW w:w="1104" w:type="dxa"/>
            <w:tcBorders>
              <w:top w:val="nil"/>
              <w:left w:val="nil"/>
              <w:bottom w:val="nil"/>
              <w:right w:val="single" w:sz="8" w:space="0" w:color="auto"/>
            </w:tcBorders>
            <w:shd w:val="clear" w:color="000000" w:fill="D5DCE4"/>
            <w:noWrap/>
            <w:hideMark/>
          </w:tcPr>
          <w:p w:rsidR="00B0098D" w:rsidRPr="006037D2" w:rsidRDefault="00B0098D" w:rsidP="00B0098D">
            <w:pPr>
              <w:jc w:val="right"/>
              <w:rPr>
                <w:rFonts w:ascii="Garamond" w:eastAsia="Times New Roman" w:hAnsi="Garamond" w:cs="Calibri"/>
                <w:b/>
                <w:bCs/>
                <w:color w:val="000000"/>
                <w:lang w:val="en-US" w:bidi="hi-IN"/>
              </w:rPr>
            </w:pPr>
            <w:r w:rsidRPr="006037D2">
              <w:rPr>
                <w:rFonts w:ascii="Garamond" w:eastAsia="Times New Roman" w:hAnsi="Garamond" w:cs="Calibri"/>
                <w:b/>
                <w:bCs/>
                <w:color w:val="000000"/>
                <w:lang w:bidi="hi-IN"/>
              </w:rPr>
              <w:t> </w:t>
            </w:r>
          </w:p>
        </w:tc>
        <w:tc>
          <w:tcPr>
            <w:tcW w:w="1913" w:type="dxa"/>
            <w:tcBorders>
              <w:top w:val="nil"/>
              <w:left w:val="nil"/>
              <w:bottom w:val="nil"/>
              <w:right w:val="single" w:sz="8" w:space="0" w:color="auto"/>
            </w:tcBorders>
            <w:shd w:val="clear" w:color="000000" w:fill="D5DCE4"/>
            <w:noWrap/>
            <w:hideMark/>
          </w:tcPr>
          <w:p w:rsidR="00B0098D" w:rsidRPr="006037D2" w:rsidRDefault="00B0098D" w:rsidP="00B0098D">
            <w:pPr>
              <w:jc w:val="right"/>
              <w:rPr>
                <w:rFonts w:ascii="Garamond" w:eastAsia="Times New Roman" w:hAnsi="Garamond" w:cs="Calibri"/>
                <w:b/>
                <w:bCs/>
                <w:color w:val="000000"/>
                <w:lang w:val="en-US" w:bidi="hi-IN"/>
              </w:rPr>
            </w:pPr>
            <w:r w:rsidRPr="006037D2">
              <w:rPr>
                <w:rFonts w:ascii="Garamond" w:eastAsia="Times New Roman" w:hAnsi="Garamond" w:cs="Calibri"/>
                <w:b/>
                <w:bCs/>
                <w:color w:val="000000"/>
                <w:lang w:bidi="hi-IN"/>
              </w:rPr>
              <w:t> </w:t>
            </w:r>
          </w:p>
        </w:tc>
        <w:tc>
          <w:tcPr>
            <w:tcW w:w="684" w:type="dxa"/>
            <w:tcBorders>
              <w:top w:val="nil"/>
              <w:left w:val="nil"/>
              <w:bottom w:val="nil"/>
              <w:right w:val="single" w:sz="8" w:space="0" w:color="auto"/>
            </w:tcBorders>
            <w:shd w:val="clear" w:color="000000" w:fill="D5DCE4"/>
            <w:noWrap/>
            <w:hideMark/>
          </w:tcPr>
          <w:p w:rsidR="00B0098D" w:rsidRPr="006037D2" w:rsidRDefault="00B0098D" w:rsidP="00B0098D">
            <w:pPr>
              <w:jc w:val="right"/>
              <w:rPr>
                <w:rFonts w:ascii="Garamond" w:eastAsia="Times New Roman" w:hAnsi="Garamond" w:cs="Calibri"/>
                <w:b/>
                <w:bCs/>
                <w:color w:val="000000"/>
                <w:lang w:val="en-US" w:bidi="hi-IN"/>
              </w:rPr>
            </w:pPr>
            <w:r w:rsidRPr="006037D2">
              <w:rPr>
                <w:rFonts w:ascii="Garamond" w:eastAsia="Times New Roman" w:hAnsi="Garamond" w:cs="Calibri"/>
                <w:b/>
                <w:bCs/>
                <w:color w:val="000000"/>
                <w:lang w:bidi="hi-IN"/>
              </w:rPr>
              <w:t> </w:t>
            </w:r>
          </w:p>
        </w:tc>
      </w:tr>
      <w:tr w:rsidR="00185553" w:rsidRPr="006037D2" w:rsidTr="00B0098D">
        <w:trPr>
          <w:trHeight w:val="300"/>
        </w:trPr>
        <w:tc>
          <w:tcPr>
            <w:tcW w:w="1835" w:type="dxa"/>
            <w:tcBorders>
              <w:top w:val="nil"/>
              <w:left w:val="single" w:sz="8" w:space="0" w:color="auto"/>
              <w:bottom w:val="nil"/>
              <w:right w:val="single" w:sz="8" w:space="0" w:color="auto"/>
            </w:tcBorders>
            <w:shd w:val="clear" w:color="auto" w:fill="auto"/>
            <w:noWrap/>
            <w:hideMark/>
          </w:tcPr>
          <w:p w:rsidR="00185553" w:rsidRPr="00B0098D" w:rsidRDefault="00185553" w:rsidP="00185553">
            <w:pPr>
              <w:rPr>
                <w:rFonts w:ascii="Garamond" w:hAnsi="Garamond"/>
                <w:color w:val="000000"/>
                <w:sz w:val="20"/>
                <w:szCs w:val="20"/>
                <w:lang w:eastAsia="en-IN"/>
              </w:rPr>
            </w:pPr>
            <w:r w:rsidRPr="00B0098D">
              <w:rPr>
                <w:rFonts w:ascii="Garamond" w:hAnsi="Garamond"/>
                <w:color w:val="000000"/>
                <w:sz w:val="20"/>
                <w:szCs w:val="20"/>
                <w:lang w:eastAsia="en-IN"/>
              </w:rPr>
              <w:t> </w:t>
            </w:r>
          </w:p>
        </w:tc>
        <w:tc>
          <w:tcPr>
            <w:tcW w:w="988" w:type="dxa"/>
            <w:tcBorders>
              <w:top w:val="nil"/>
              <w:left w:val="nil"/>
              <w:bottom w:val="nil"/>
              <w:right w:val="nil"/>
            </w:tcBorders>
            <w:shd w:val="clear" w:color="auto" w:fill="auto"/>
            <w:noWrap/>
            <w:hideMark/>
          </w:tcPr>
          <w:p w:rsidR="00185553" w:rsidRPr="006037D2" w:rsidRDefault="00185553" w:rsidP="00185553">
            <w:pPr>
              <w:rPr>
                <w:rFonts w:ascii="Garamond" w:eastAsia="Times New Roman" w:hAnsi="Garamond" w:cs="Calibri"/>
                <w:color w:val="000000"/>
                <w:lang w:val="en-US" w:bidi="hi-IN"/>
              </w:rPr>
            </w:pPr>
          </w:p>
        </w:tc>
        <w:tc>
          <w:tcPr>
            <w:tcW w:w="1250" w:type="dxa"/>
            <w:tcBorders>
              <w:top w:val="nil"/>
              <w:left w:val="single" w:sz="8" w:space="0" w:color="auto"/>
              <w:bottom w:val="nil"/>
              <w:right w:val="nil"/>
            </w:tcBorders>
            <w:shd w:val="clear" w:color="auto" w:fill="auto"/>
            <w:noWrap/>
            <w:hideMark/>
          </w:tcPr>
          <w:p w:rsidR="00185553" w:rsidRPr="006037D2" w:rsidRDefault="00185553" w:rsidP="00185553">
            <w:pPr>
              <w:jc w:val="right"/>
              <w:rPr>
                <w:rFonts w:ascii="Garamond" w:eastAsia="Times New Roman" w:hAnsi="Garamond" w:cs="Calibri"/>
                <w:color w:val="000000"/>
                <w:lang w:val="en-US" w:bidi="hi-IN"/>
              </w:rPr>
            </w:pPr>
            <w:r w:rsidRPr="006037D2">
              <w:rPr>
                <w:rFonts w:ascii="Garamond" w:eastAsia="Times New Roman" w:hAnsi="Garamond" w:cs="Calibri"/>
                <w:color w:val="000000"/>
                <w:lang w:bidi="hi-IN"/>
              </w:rPr>
              <w:t> </w:t>
            </w:r>
          </w:p>
        </w:tc>
        <w:tc>
          <w:tcPr>
            <w:tcW w:w="749" w:type="dxa"/>
            <w:tcBorders>
              <w:top w:val="nil"/>
              <w:left w:val="single" w:sz="8" w:space="0" w:color="auto"/>
              <w:bottom w:val="nil"/>
              <w:right w:val="single" w:sz="8" w:space="0" w:color="auto"/>
            </w:tcBorders>
            <w:shd w:val="clear" w:color="auto" w:fill="auto"/>
            <w:noWrap/>
            <w:hideMark/>
          </w:tcPr>
          <w:p w:rsidR="00185553" w:rsidRPr="006037D2" w:rsidRDefault="00185553" w:rsidP="00185553">
            <w:pPr>
              <w:jc w:val="right"/>
              <w:rPr>
                <w:rFonts w:ascii="Garamond" w:eastAsia="Times New Roman" w:hAnsi="Garamond" w:cs="Calibri"/>
                <w:color w:val="000000"/>
                <w:lang w:val="en-US" w:bidi="hi-IN"/>
              </w:rPr>
            </w:pPr>
            <w:r w:rsidRPr="006037D2">
              <w:rPr>
                <w:rFonts w:ascii="Garamond" w:eastAsia="Times New Roman" w:hAnsi="Garamond" w:cs="Calibri"/>
                <w:color w:val="000000"/>
                <w:lang w:bidi="hi-IN"/>
              </w:rPr>
              <w:t> </w:t>
            </w:r>
          </w:p>
        </w:tc>
        <w:tc>
          <w:tcPr>
            <w:tcW w:w="5056" w:type="dxa"/>
            <w:gridSpan w:val="4"/>
            <w:vMerge w:val="restart"/>
            <w:tcBorders>
              <w:top w:val="nil"/>
              <w:left w:val="nil"/>
              <w:right w:val="single" w:sz="8" w:space="0" w:color="auto"/>
            </w:tcBorders>
            <w:shd w:val="clear" w:color="auto" w:fill="auto"/>
            <w:noWrap/>
            <w:hideMark/>
          </w:tcPr>
          <w:p w:rsidR="00185553" w:rsidRPr="006037D2" w:rsidRDefault="00185553" w:rsidP="00185553">
            <w:pPr>
              <w:jc w:val="right"/>
              <w:rPr>
                <w:rFonts w:ascii="Garamond" w:eastAsia="Times New Roman" w:hAnsi="Garamond" w:cs="Calibri"/>
                <w:color w:val="000000"/>
                <w:lang w:val="en-US" w:bidi="hi-IN"/>
              </w:rPr>
            </w:pPr>
            <w:r w:rsidRPr="006037D2">
              <w:rPr>
                <w:rFonts w:ascii="Garamond" w:eastAsia="Times New Roman" w:hAnsi="Garamond" w:cs="Calibri"/>
                <w:color w:val="000000"/>
                <w:lang w:bidi="hi-IN"/>
              </w:rPr>
              <w:t> </w:t>
            </w:r>
          </w:p>
          <w:p w:rsidR="00185553" w:rsidRPr="006037D2" w:rsidRDefault="00185553" w:rsidP="00185553">
            <w:pPr>
              <w:jc w:val="right"/>
              <w:rPr>
                <w:rFonts w:ascii="Garamond" w:eastAsia="Times New Roman" w:hAnsi="Garamond" w:cs="Calibri"/>
                <w:color w:val="000000"/>
                <w:lang w:val="en-US" w:bidi="hi-IN"/>
              </w:rPr>
            </w:pPr>
            <w:r w:rsidRPr="006037D2">
              <w:rPr>
                <w:rFonts w:ascii="Garamond" w:eastAsia="Times New Roman" w:hAnsi="Garamond" w:cs="Calibri"/>
                <w:color w:val="000000"/>
                <w:lang w:bidi="hi-IN"/>
              </w:rPr>
              <w:t> </w:t>
            </w:r>
          </w:p>
          <w:p w:rsidR="00185553" w:rsidRPr="006037D2" w:rsidRDefault="00185553" w:rsidP="00185553">
            <w:pPr>
              <w:jc w:val="right"/>
              <w:rPr>
                <w:rFonts w:ascii="Garamond" w:eastAsia="Times New Roman" w:hAnsi="Garamond" w:cs="Calibri"/>
                <w:color w:val="000000"/>
                <w:lang w:val="en-US" w:bidi="hi-IN"/>
              </w:rPr>
            </w:pPr>
            <w:r w:rsidRPr="006037D2">
              <w:rPr>
                <w:rFonts w:ascii="Garamond" w:eastAsia="Times New Roman" w:hAnsi="Garamond" w:cs="Calibri"/>
                <w:color w:val="000000"/>
                <w:lang w:bidi="hi-IN"/>
              </w:rPr>
              <w:t> </w:t>
            </w:r>
          </w:p>
          <w:p w:rsidR="00185553" w:rsidRPr="006037D2" w:rsidRDefault="00185553" w:rsidP="00185553">
            <w:pPr>
              <w:jc w:val="right"/>
              <w:rPr>
                <w:rFonts w:ascii="Garamond" w:eastAsia="Times New Roman" w:hAnsi="Garamond" w:cs="Calibri"/>
                <w:color w:val="000000"/>
                <w:lang w:val="en-US" w:bidi="hi-IN"/>
              </w:rPr>
            </w:pPr>
            <w:r w:rsidRPr="006037D2">
              <w:rPr>
                <w:rFonts w:ascii="Garamond" w:eastAsia="Times New Roman" w:hAnsi="Garamond" w:cs="Calibri"/>
                <w:color w:val="000000"/>
                <w:lang w:bidi="hi-IN"/>
              </w:rPr>
              <w:t> </w:t>
            </w:r>
          </w:p>
          <w:p w:rsidR="00185553" w:rsidRPr="006037D2" w:rsidRDefault="00185553" w:rsidP="00185553">
            <w:pPr>
              <w:jc w:val="right"/>
              <w:rPr>
                <w:rFonts w:ascii="Garamond" w:eastAsia="Times New Roman" w:hAnsi="Garamond" w:cs="Calibri"/>
                <w:color w:val="000000"/>
                <w:lang w:val="en-US" w:bidi="hi-IN"/>
              </w:rPr>
            </w:pPr>
            <w:r w:rsidRPr="006037D2">
              <w:rPr>
                <w:rFonts w:ascii="Garamond" w:eastAsia="Times New Roman" w:hAnsi="Garamond" w:cs="Calibri"/>
                <w:color w:val="000000"/>
                <w:lang w:bidi="hi-IN"/>
              </w:rPr>
              <w:t> </w:t>
            </w:r>
          </w:p>
          <w:p w:rsidR="00185553" w:rsidRPr="006037D2" w:rsidRDefault="00185553" w:rsidP="00185553">
            <w:pPr>
              <w:jc w:val="right"/>
              <w:rPr>
                <w:rFonts w:ascii="Garamond" w:eastAsia="Times New Roman" w:hAnsi="Garamond" w:cs="Calibri"/>
                <w:color w:val="000000"/>
                <w:lang w:val="en-US" w:bidi="hi-IN"/>
              </w:rPr>
            </w:pPr>
            <w:r w:rsidRPr="006037D2">
              <w:rPr>
                <w:rFonts w:ascii="Garamond" w:eastAsia="Times New Roman" w:hAnsi="Garamond" w:cs="Calibri"/>
                <w:color w:val="000000"/>
                <w:lang w:bidi="hi-IN"/>
              </w:rPr>
              <w:t> </w:t>
            </w:r>
          </w:p>
        </w:tc>
      </w:tr>
      <w:tr w:rsidR="00185553" w:rsidRPr="006037D2" w:rsidTr="00B0098D">
        <w:trPr>
          <w:trHeight w:val="300"/>
        </w:trPr>
        <w:tc>
          <w:tcPr>
            <w:tcW w:w="1835" w:type="dxa"/>
            <w:tcBorders>
              <w:top w:val="nil"/>
              <w:left w:val="single" w:sz="8" w:space="0" w:color="auto"/>
              <w:bottom w:val="nil"/>
              <w:right w:val="single" w:sz="8" w:space="0" w:color="auto"/>
            </w:tcBorders>
            <w:shd w:val="clear" w:color="auto" w:fill="auto"/>
            <w:noWrap/>
            <w:hideMark/>
          </w:tcPr>
          <w:p w:rsidR="00185553" w:rsidRPr="00B0098D" w:rsidRDefault="00185553" w:rsidP="00185553">
            <w:pPr>
              <w:rPr>
                <w:rFonts w:ascii="Garamond" w:hAnsi="Garamond"/>
                <w:i/>
                <w:iCs/>
                <w:color w:val="000000"/>
                <w:sz w:val="20"/>
                <w:szCs w:val="20"/>
                <w:lang w:eastAsia="en-IN"/>
              </w:rPr>
            </w:pPr>
            <w:r w:rsidRPr="00B0098D">
              <w:rPr>
                <w:rFonts w:ascii="Garamond" w:hAnsi="Garamond"/>
                <w:i/>
                <w:iCs/>
                <w:color w:val="000000"/>
                <w:sz w:val="20"/>
                <w:szCs w:val="20"/>
                <w:lang w:eastAsia="en-IN"/>
              </w:rPr>
              <w:t>Of which:</w:t>
            </w:r>
          </w:p>
        </w:tc>
        <w:tc>
          <w:tcPr>
            <w:tcW w:w="988" w:type="dxa"/>
            <w:tcBorders>
              <w:top w:val="nil"/>
              <w:left w:val="nil"/>
              <w:bottom w:val="nil"/>
              <w:right w:val="nil"/>
            </w:tcBorders>
            <w:shd w:val="clear" w:color="auto" w:fill="auto"/>
            <w:noWrap/>
            <w:hideMark/>
          </w:tcPr>
          <w:p w:rsidR="00185553" w:rsidRPr="00B0098D" w:rsidRDefault="00185553" w:rsidP="00185553">
            <w:pPr>
              <w:rPr>
                <w:rFonts w:ascii="Garamond" w:eastAsia="Times New Roman" w:hAnsi="Garamond" w:cs="Calibri"/>
                <w:i/>
                <w:iCs/>
                <w:color w:val="000000"/>
                <w:lang w:val="en-US" w:bidi="hi-IN"/>
              </w:rPr>
            </w:pPr>
          </w:p>
        </w:tc>
        <w:tc>
          <w:tcPr>
            <w:tcW w:w="1250" w:type="dxa"/>
            <w:tcBorders>
              <w:top w:val="nil"/>
              <w:left w:val="single" w:sz="8" w:space="0" w:color="auto"/>
              <w:bottom w:val="nil"/>
              <w:right w:val="nil"/>
            </w:tcBorders>
            <w:shd w:val="clear" w:color="auto" w:fill="auto"/>
            <w:noWrap/>
            <w:hideMark/>
          </w:tcPr>
          <w:p w:rsidR="00185553" w:rsidRPr="00B0098D" w:rsidRDefault="00185553" w:rsidP="00185553">
            <w:pPr>
              <w:jc w:val="right"/>
              <w:rPr>
                <w:rFonts w:ascii="Garamond" w:eastAsia="Times New Roman" w:hAnsi="Garamond" w:cs="Calibri"/>
                <w:i/>
                <w:iCs/>
                <w:color w:val="000000"/>
                <w:lang w:val="en-US" w:bidi="hi-IN"/>
              </w:rPr>
            </w:pPr>
            <w:r w:rsidRPr="00B0098D">
              <w:rPr>
                <w:rFonts w:ascii="Garamond" w:eastAsia="Times New Roman" w:hAnsi="Garamond" w:cs="Calibri"/>
                <w:i/>
                <w:iCs/>
                <w:color w:val="000000"/>
                <w:lang w:bidi="hi-IN"/>
              </w:rPr>
              <w:t> </w:t>
            </w:r>
          </w:p>
        </w:tc>
        <w:tc>
          <w:tcPr>
            <w:tcW w:w="749" w:type="dxa"/>
            <w:tcBorders>
              <w:top w:val="nil"/>
              <w:left w:val="single" w:sz="8" w:space="0" w:color="auto"/>
              <w:bottom w:val="nil"/>
              <w:right w:val="single" w:sz="8" w:space="0" w:color="auto"/>
            </w:tcBorders>
            <w:shd w:val="clear" w:color="auto" w:fill="auto"/>
            <w:noWrap/>
            <w:hideMark/>
          </w:tcPr>
          <w:p w:rsidR="00185553" w:rsidRPr="00B0098D" w:rsidRDefault="00185553" w:rsidP="00185553">
            <w:pPr>
              <w:jc w:val="right"/>
              <w:rPr>
                <w:rFonts w:ascii="Garamond" w:eastAsia="Times New Roman" w:hAnsi="Garamond" w:cs="Calibri"/>
                <w:i/>
                <w:iCs/>
                <w:color w:val="000000"/>
                <w:lang w:val="en-US" w:bidi="hi-IN"/>
              </w:rPr>
            </w:pPr>
            <w:r w:rsidRPr="00B0098D">
              <w:rPr>
                <w:rFonts w:ascii="Garamond" w:eastAsia="Times New Roman" w:hAnsi="Garamond" w:cs="Calibri"/>
                <w:i/>
                <w:iCs/>
                <w:color w:val="000000"/>
                <w:lang w:bidi="hi-IN"/>
              </w:rPr>
              <w:t> </w:t>
            </w:r>
          </w:p>
        </w:tc>
        <w:tc>
          <w:tcPr>
            <w:tcW w:w="5056" w:type="dxa"/>
            <w:gridSpan w:val="4"/>
            <w:vMerge/>
            <w:tcBorders>
              <w:left w:val="nil"/>
              <w:right w:val="single" w:sz="8" w:space="0" w:color="auto"/>
            </w:tcBorders>
            <w:shd w:val="clear" w:color="auto" w:fill="auto"/>
            <w:noWrap/>
            <w:hideMark/>
          </w:tcPr>
          <w:p w:rsidR="00185553" w:rsidRPr="006037D2" w:rsidRDefault="00185553" w:rsidP="00185553">
            <w:pPr>
              <w:jc w:val="right"/>
              <w:rPr>
                <w:rFonts w:ascii="Garamond" w:eastAsia="Times New Roman" w:hAnsi="Garamond" w:cs="Calibri"/>
                <w:color w:val="000000"/>
                <w:lang w:val="en-US" w:bidi="hi-IN"/>
              </w:rPr>
            </w:pPr>
          </w:p>
        </w:tc>
      </w:tr>
      <w:tr w:rsidR="00B0098D" w:rsidRPr="006037D2" w:rsidTr="00B0098D">
        <w:trPr>
          <w:trHeight w:val="300"/>
        </w:trPr>
        <w:tc>
          <w:tcPr>
            <w:tcW w:w="1835" w:type="dxa"/>
            <w:tcBorders>
              <w:top w:val="nil"/>
              <w:left w:val="single" w:sz="8" w:space="0" w:color="auto"/>
              <w:bottom w:val="nil"/>
              <w:right w:val="single" w:sz="8" w:space="0" w:color="auto"/>
            </w:tcBorders>
            <w:shd w:val="clear" w:color="auto" w:fill="auto"/>
            <w:noWrap/>
            <w:hideMark/>
          </w:tcPr>
          <w:p w:rsidR="00B0098D" w:rsidRPr="00B0098D" w:rsidRDefault="00B0098D" w:rsidP="00B0098D">
            <w:pPr>
              <w:rPr>
                <w:rFonts w:ascii="Garamond" w:hAnsi="Garamond"/>
                <w:i/>
                <w:iCs/>
                <w:color w:val="000000"/>
                <w:sz w:val="20"/>
                <w:szCs w:val="20"/>
                <w:lang w:eastAsia="en-IN"/>
              </w:rPr>
            </w:pPr>
            <w:r w:rsidRPr="00B0098D">
              <w:rPr>
                <w:rFonts w:ascii="Garamond" w:hAnsi="Garamond"/>
                <w:i/>
                <w:iCs/>
                <w:color w:val="000000"/>
                <w:sz w:val="20"/>
                <w:szCs w:val="20"/>
                <w:lang w:eastAsia="en-IN"/>
              </w:rPr>
              <w:t>For. Official</w:t>
            </w:r>
          </w:p>
        </w:tc>
        <w:tc>
          <w:tcPr>
            <w:tcW w:w="988" w:type="dxa"/>
            <w:tcBorders>
              <w:top w:val="nil"/>
              <w:left w:val="nil"/>
              <w:bottom w:val="nil"/>
              <w:right w:val="nil"/>
            </w:tcBorders>
            <w:shd w:val="clear" w:color="auto" w:fill="auto"/>
            <w:noWrap/>
            <w:hideMark/>
          </w:tcPr>
          <w:p w:rsidR="00B0098D" w:rsidRPr="00B0098D" w:rsidRDefault="00B0098D" w:rsidP="00B0098D">
            <w:pPr>
              <w:jc w:val="center"/>
              <w:rPr>
                <w:rFonts w:ascii="Garamond" w:hAnsi="Garamond"/>
                <w:i/>
                <w:iCs/>
                <w:color w:val="000000"/>
                <w:sz w:val="20"/>
                <w:szCs w:val="20"/>
                <w:lang w:eastAsia="en-IN"/>
              </w:rPr>
            </w:pPr>
            <w:r w:rsidRPr="00B0098D">
              <w:rPr>
                <w:rFonts w:ascii="Garamond" w:hAnsi="Garamond"/>
                <w:i/>
                <w:iCs/>
                <w:color w:val="000000"/>
                <w:sz w:val="20"/>
                <w:szCs w:val="20"/>
                <w:lang w:eastAsia="en-IN"/>
              </w:rPr>
              <w:t>4,233</w:t>
            </w:r>
          </w:p>
        </w:tc>
        <w:tc>
          <w:tcPr>
            <w:tcW w:w="1250" w:type="dxa"/>
            <w:tcBorders>
              <w:top w:val="nil"/>
              <w:left w:val="single" w:sz="8" w:space="0" w:color="auto"/>
              <w:bottom w:val="nil"/>
              <w:right w:val="nil"/>
            </w:tcBorders>
            <w:shd w:val="clear" w:color="auto" w:fill="auto"/>
            <w:noWrap/>
            <w:hideMark/>
          </w:tcPr>
          <w:p w:rsidR="00B0098D" w:rsidRPr="00B0098D" w:rsidRDefault="00B0098D" w:rsidP="00B0098D">
            <w:pPr>
              <w:jc w:val="center"/>
              <w:rPr>
                <w:rFonts w:ascii="Garamond" w:hAnsi="Garamond"/>
                <w:i/>
                <w:iCs/>
                <w:color w:val="000000"/>
                <w:sz w:val="20"/>
                <w:szCs w:val="20"/>
                <w:lang w:eastAsia="en-IN"/>
              </w:rPr>
            </w:pPr>
            <w:r w:rsidRPr="00B0098D">
              <w:rPr>
                <w:rFonts w:ascii="Garamond" w:hAnsi="Garamond"/>
                <w:i/>
                <w:iCs/>
                <w:color w:val="000000"/>
                <w:sz w:val="20"/>
                <w:szCs w:val="20"/>
                <w:lang w:eastAsia="en-IN"/>
              </w:rPr>
              <w:t>-0.2</w:t>
            </w:r>
          </w:p>
        </w:tc>
        <w:tc>
          <w:tcPr>
            <w:tcW w:w="749" w:type="dxa"/>
            <w:tcBorders>
              <w:top w:val="nil"/>
              <w:left w:val="single" w:sz="8" w:space="0" w:color="auto"/>
              <w:bottom w:val="nil"/>
              <w:right w:val="single" w:sz="8" w:space="0" w:color="auto"/>
            </w:tcBorders>
            <w:shd w:val="clear" w:color="auto" w:fill="auto"/>
            <w:noWrap/>
            <w:hideMark/>
          </w:tcPr>
          <w:p w:rsidR="00B0098D" w:rsidRPr="00B0098D" w:rsidRDefault="00B0098D" w:rsidP="00B0098D">
            <w:pPr>
              <w:jc w:val="center"/>
              <w:rPr>
                <w:rFonts w:ascii="Garamond" w:hAnsi="Garamond"/>
                <w:i/>
                <w:iCs/>
                <w:color w:val="000000"/>
                <w:sz w:val="20"/>
                <w:szCs w:val="20"/>
                <w:lang w:eastAsia="en-IN"/>
              </w:rPr>
            </w:pPr>
            <w:r w:rsidRPr="00B0098D">
              <w:rPr>
                <w:rFonts w:ascii="Garamond" w:hAnsi="Garamond"/>
                <w:i/>
                <w:iCs/>
                <w:color w:val="000000"/>
                <w:sz w:val="20"/>
                <w:szCs w:val="20"/>
                <w:lang w:eastAsia="en-IN"/>
              </w:rPr>
              <w:t>0.8</w:t>
            </w:r>
          </w:p>
        </w:tc>
        <w:tc>
          <w:tcPr>
            <w:tcW w:w="5056" w:type="dxa"/>
            <w:gridSpan w:val="4"/>
            <w:vMerge/>
            <w:tcBorders>
              <w:left w:val="nil"/>
              <w:right w:val="single" w:sz="8" w:space="0" w:color="auto"/>
            </w:tcBorders>
            <w:shd w:val="clear" w:color="auto" w:fill="auto"/>
            <w:noWrap/>
            <w:hideMark/>
          </w:tcPr>
          <w:p w:rsidR="00B0098D" w:rsidRPr="006037D2" w:rsidRDefault="00B0098D" w:rsidP="00B0098D">
            <w:pPr>
              <w:jc w:val="right"/>
              <w:rPr>
                <w:rFonts w:ascii="Garamond" w:eastAsia="Times New Roman" w:hAnsi="Garamond" w:cs="Calibri"/>
                <w:color w:val="000000"/>
                <w:lang w:val="en-US" w:bidi="hi-IN"/>
              </w:rPr>
            </w:pPr>
          </w:p>
        </w:tc>
      </w:tr>
      <w:tr w:rsidR="00B0098D" w:rsidRPr="006037D2" w:rsidTr="00B0098D">
        <w:trPr>
          <w:trHeight w:val="300"/>
        </w:trPr>
        <w:tc>
          <w:tcPr>
            <w:tcW w:w="1835" w:type="dxa"/>
            <w:tcBorders>
              <w:top w:val="nil"/>
              <w:left w:val="single" w:sz="8" w:space="0" w:color="auto"/>
              <w:bottom w:val="nil"/>
              <w:right w:val="single" w:sz="8" w:space="0" w:color="auto"/>
            </w:tcBorders>
            <w:shd w:val="clear" w:color="auto" w:fill="auto"/>
            <w:noWrap/>
            <w:hideMark/>
          </w:tcPr>
          <w:p w:rsidR="00B0098D" w:rsidRPr="00B0098D" w:rsidRDefault="00B0098D" w:rsidP="00B0098D">
            <w:pPr>
              <w:rPr>
                <w:rFonts w:ascii="Garamond" w:hAnsi="Garamond"/>
                <w:i/>
                <w:iCs/>
                <w:color w:val="000000"/>
                <w:sz w:val="20"/>
                <w:szCs w:val="20"/>
                <w:lang w:eastAsia="en-IN"/>
              </w:rPr>
            </w:pPr>
            <w:r w:rsidRPr="00B0098D">
              <w:rPr>
                <w:rFonts w:ascii="Garamond" w:hAnsi="Garamond"/>
                <w:i/>
                <w:iCs/>
                <w:color w:val="000000"/>
                <w:sz w:val="20"/>
                <w:szCs w:val="20"/>
                <w:lang w:eastAsia="en-IN"/>
              </w:rPr>
              <w:t>Treasury Bills</w:t>
            </w:r>
          </w:p>
        </w:tc>
        <w:tc>
          <w:tcPr>
            <w:tcW w:w="988" w:type="dxa"/>
            <w:tcBorders>
              <w:top w:val="nil"/>
              <w:left w:val="nil"/>
              <w:bottom w:val="nil"/>
              <w:right w:val="nil"/>
            </w:tcBorders>
            <w:shd w:val="clear" w:color="auto" w:fill="auto"/>
            <w:noWrap/>
            <w:hideMark/>
          </w:tcPr>
          <w:p w:rsidR="00B0098D" w:rsidRPr="00B0098D" w:rsidRDefault="00B0098D" w:rsidP="00B0098D">
            <w:pPr>
              <w:jc w:val="center"/>
              <w:rPr>
                <w:rFonts w:ascii="Garamond" w:hAnsi="Garamond"/>
                <w:i/>
                <w:iCs/>
                <w:color w:val="000000"/>
                <w:sz w:val="20"/>
                <w:szCs w:val="20"/>
                <w:lang w:eastAsia="en-IN"/>
              </w:rPr>
            </w:pPr>
            <w:r w:rsidRPr="00B0098D">
              <w:rPr>
                <w:rFonts w:ascii="Garamond" w:hAnsi="Garamond"/>
                <w:i/>
                <w:iCs/>
                <w:color w:val="000000"/>
                <w:sz w:val="20"/>
                <w:szCs w:val="20"/>
                <w:lang w:eastAsia="en-IN"/>
              </w:rPr>
              <w:t>266</w:t>
            </w:r>
          </w:p>
        </w:tc>
        <w:tc>
          <w:tcPr>
            <w:tcW w:w="1250" w:type="dxa"/>
            <w:tcBorders>
              <w:top w:val="nil"/>
              <w:left w:val="single" w:sz="8" w:space="0" w:color="auto"/>
              <w:bottom w:val="nil"/>
              <w:right w:val="nil"/>
            </w:tcBorders>
            <w:shd w:val="clear" w:color="auto" w:fill="auto"/>
            <w:noWrap/>
            <w:hideMark/>
          </w:tcPr>
          <w:p w:rsidR="00B0098D" w:rsidRPr="00B0098D" w:rsidRDefault="00B0098D" w:rsidP="00B0098D">
            <w:pPr>
              <w:jc w:val="center"/>
              <w:rPr>
                <w:rFonts w:ascii="Garamond" w:hAnsi="Garamond"/>
                <w:i/>
                <w:iCs/>
                <w:color w:val="000000"/>
                <w:sz w:val="20"/>
                <w:szCs w:val="20"/>
                <w:lang w:eastAsia="en-IN"/>
              </w:rPr>
            </w:pPr>
            <w:r w:rsidRPr="00B0098D">
              <w:rPr>
                <w:rFonts w:ascii="Garamond" w:hAnsi="Garamond"/>
                <w:i/>
                <w:iCs/>
                <w:color w:val="000000"/>
                <w:sz w:val="20"/>
                <w:szCs w:val="20"/>
                <w:lang w:eastAsia="en-IN"/>
              </w:rPr>
              <w:t>-0.9</w:t>
            </w:r>
          </w:p>
        </w:tc>
        <w:tc>
          <w:tcPr>
            <w:tcW w:w="749" w:type="dxa"/>
            <w:tcBorders>
              <w:top w:val="nil"/>
              <w:left w:val="single" w:sz="8" w:space="0" w:color="auto"/>
              <w:bottom w:val="nil"/>
              <w:right w:val="single" w:sz="8" w:space="0" w:color="auto"/>
            </w:tcBorders>
            <w:shd w:val="clear" w:color="auto" w:fill="auto"/>
            <w:noWrap/>
            <w:hideMark/>
          </w:tcPr>
          <w:p w:rsidR="00B0098D" w:rsidRPr="00B0098D" w:rsidRDefault="00B0098D" w:rsidP="00B0098D">
            <w:pPr>
              <w:jc w:val="center"/>
              <w:rPr>
                <w:rFonts w:ascii="Garamond" w:hAnsi="Garamond"/>
                <w:i/>
                <w:iCs/>
                <w:color w:val="000000"/>
                <w:sz w:val="20"/>
                <w:szCs w:val="20"/>
                <w:lang w:eastAsia="en-IN"/>
              </w:rPr>
            </w:pPr>
            <w:r w:rsidRPr="00B0098D">
              <w:rPr>
                <w:rFonts w:ascii="Garamond" w:hAnsi="Garamond"/>
                <w:i/>
                <w:iCs/>
                <w:color w:val="000000"/>
                <w:sz w:val="20"/>
                <w:szCs w:val="20"/>
                <w:lang w:eastAsia="en-IN"/>
              </w:rPr>
              <w:t>-28.5</w:t>
            </w:r>
          </w:p>
        </w:tc>
        <w:tc>
          <w:tcPr>
            <w:tcW w:w="5056" w:type="dxa"/>
            <w:gridSpan w:val="4"/>
            <w:vMerge/>
            <w:tcBorders>
              <w:left w:val="nil"/>
              <w:right w:val="single" w:sz="8" w:space="0" w:color="auto"/>
            </w:tcBorders>
            <w:shd w:val="clear" w:color="auto" w:fill="auto"/>
            <w:noWrap/>
            <w:hideMark/>
          </w:tcPr>
          <w:p w:rsidR="00B0098D" w:rsidRPr="006037D2" w:rsidRDefault="00B0098D" w:rsidP="00B0098D">
            <w:pPr>
              <w:jc w:val="right"/>
              <w:rPr>
                <w:rFonts w:ascii="Garamond" w:eastAsia="Times New Roman" w:hAnsi="Garamond" w:cs="Calibri"/>
                <w:color w:val="000000"/>
                <w:lang w:val="en-US" w:bidi="hi-IN"/>
              </w:rPr>
            </w:pPr>
          </w:p>
        </w:tc>
      </w:tr>
      <w:tr w:rsidR="00B0098D" w:rsidRPr="006037D2" w:rsidTr="00B0098D">
        <w:trPr>
          <w:trHeight w:val="188"/>
        </w:trPr>
        <w:tc>
          <w:tcPr>
            <w:tcW w:w="1835" w:type="dxa"/>
            <w:tcBorders>
              <w:top w:val="nil"/>
              <w:left w:val="single" w:sz="8" w:space="0" w:color="auto"/>
              <w:bottom w:val="single" w:sz="8" w:space="0" w:color="auto"/>
              <w:right w:val="single" w:sz="8" w:space="0" w:color="auto"/>
            </w:tcBorders>
            <w:shd w:val="clear" w:color="auto" w:fill="auto"/>
            <w:noWrap/>
            <w:hideMark/>
          </w:tcPr>
          <w:p w:rsidR="00B0098D" w:rsidRPr="00B0098D" w:rsidRDefault="00B0098D" w:rsidP="00B0098D">
            <w:pPr>
              <w:rPr>
                <w:rFonts w:ascii="Garamond" w:hAnsi="Garamond"/>
                <w:i/>
                <w:iCs/>
                <w:color w:val="000000"/>
                <w:sz w:val="20"/>
                <w:szCs w:val="20"/>
                <w:lang w:eastAsia="en-IN"/>
              </w:rPr>
            </w:pPr>
            <w:r w:rsidRPr="00B0098D">
              <w:rPr>
                <w:rFonts w:ascii="Garamond" w:hAnsi="Garamond"/>
                <w:i/>
                <w:iCs/>
                <w:color w:val="000000"/>
                <w:sz w:val="20"/>
                <w:szCs w:val="20"/>
                <w:lang w:eastAsia="en-IN"/>
              </w:rPr>
              <w:t>T-Bonds &amp; Notes</w:t>
            </w:r>
          </w:p>
        </w:tc>
        <w:tc>
          <w:tcPr>
            <w:tcW w:w="988" w:type="dxa"/>
            <w:tcBorders>
              <w:top w:val="nil"/>
              <w:left w:val="nil"/>
              <w:bottom w:val="single" w:sz="8" w:space="0" w:color="auto"/>
              <w:right w:val="nil"/>
            </w:tcBorders>
            <w:shd w:val="clear" w:color="auto" w:fill="auto"/>
            <w:noWrap/>
            <w:hideMark/>
          </w:tcPr>
          <w:p w:rsidR="00B0098D" w:rsidRPr="00B0098D" w:rsidRDefault="00B0098D" w:rsidP="00B0098D">
            <w:pPr>
              <w:jc w:val="center"/>
              <w:rPr>
                <w:rFonts w:ascii="Garamond" w:hAnsi="Garamond"/>
                <w:i/>
                <w:iCs/>
                <w:color w:val="000000"/>
                <w:sz w:val="20"/>
                <w:szCs w:val="20"/>
                <w:lang w:eastAsia="en-IN"/>
              </w:rPr>
            </w:pPr>
            <w:r w:rsidRPr="00B0098D">
              <w:rPr>
                <w:rFonts w:ascii="Garamond" w:hAnsi="Garamond"/>
                <w:i/>
                <w:iCs/>
                <w:color w:val="000000"/>
                <w:sz w:val="20"/>
                <w:szCs w:val="20"/>
                <w:lang w:eastAsia="en-IN"/>
              </w:rPr>
              <w:t>3,967</w:t>
            </w:r>
          </w:p>
        </w:tc>
        <w:tc>
          <w:tcPr>
            <w:tcW w:w="1250" w:type="dxa"/>
            <w:tcBorders>
              <w:top w:val="nil"/>
              <w:left w:val="single" w:sz="8" w:space="0" w:color="auto"/>
              <w:bottom w:val="single" w:sz="8" w:space="0" w:color="auto"/>
              <w:right w:val="nil"/>
            </w:tcBorders>
            <w:shd w:val="clear" w:color="auto" w:fill="auto"/>
            <w:noWrap/>
            <w:hideMark/>
          </w:tcPr>
          <w:p w:rsidR="00B0098D" w:rsidRPr="00B0098D" w:rsidRDefault="00B0098D" w:rsidP="00B0098D">
            <w:pPr>
              <w:jc w:val="center"/>
              <w:rPr>
                <w:rFonts w:ascii="Garamond" w:hAnsi="Garamond"/>
                <w:i/>
                <w:iCs/>
                <w:color w:val="000000"/>
                <w:sz w:val="20"/>
                <w:szCs w:val="20"/>
                <w:lang w:eastAsia="en-IN"/>
              </w:rPr>
            </w:pPr>
            <w:r w:rsidRPr="00B0098D">
              <w:rPr>
                <w:rFonts w:ascii="Garamond" w:hAnsi="Garamond"/>
                <w:i/>
                <w:iCs/>
                <w:color w:val="000000"/>
                <w:sz w:val="20"/>
                <w:szCs w:val="20"/>
                <w:lang w:eastAsia="en-IN"/>
              </w:rPr>
              <w:t>-0.1</w:t>
            </w:r>
          </w:p>
        </w:tc>
        <w:tc>
          <w:tcPr>
            <w:tcW w:w="749" w:type="dxa"/>
            <w:tcBorders>
              <w:top w:val="nil"/>
              <w:left w:val="single" w:sz="8" w:space="0" w:color="auto"/>
              <w:bottom w:val="single" w:sz="8" w:space="0" w:color="auto"/>
              <w:right w:val="single" w:sz="8" w:space="0" w:color="auto"/>
            </w:tcBorders>
            <w:shd w:val="clear" w:color="auto" w:fill="auto"/>
            <w:noWrap/>
            <w:hideMark/>
          </w:tcPr>
          <w:p w:rsidR="00B0098D" w:rsidRPr="00B0098D" w:rsidRDefault="00B0098D" w:rsidP="00B0098D">
            <w:pPr>
              <w:jc w:val="center"/>
              <w:rPr>
                <w:rFonts w:ascii="Garamond" w:hAnsi="Garamond"/>
                <w:i/>
                <w:iCs/>
                <w:color w:val="000000"/>
                <w:sz w:val="20"/>
                <w:szCs w:val="20"/>
                <w:lang w:eastAsia="en-IN"/>
              </w:rPr>
            </w:pPr>
            <w:r w:rsidRPr="00B0098D">
              <w:rPr>
                <w:rFonts w:ascii="Garamond" w:hAnsi="Garamond"/>
                <w:i/>
                <w:iCs/>
                <w:color w:val="000000"/>
                <w:sz w:val="20"/>
                <w:szCs w:val="20"/>
                <w:lang w:eastAsia="en-IN"/>
              </w:rPr>
              <w:t>3.6</w:t>
            </w:r>
          </w:p>
        </w:tc>
        <w:tc>
          <w:tcPr>
            <w:tcW w:w="5056" w:type="dxa"/>
            <w:gridSpan w:val="4"/>
            <w:vMerge/>
            <w:tcBorders>
              <w:left w:val="nil"/>
              <w:bottom w:val="single" w:sz="8" w:space="0" w:color="auto"/>
              <w:right w:val="single" w:sz="8" w:space="0" w:color="auto"/>
            </w:tcBorders>
            <w:shd w:val="clear" w:color="auto" w:fill="auto"/>
            <w:noWrap/>
            <w:hideMark/>
          </w:tcPr>
          <w:p w:rsidR="00B0098D" w:rsidRPr="006037D2" w:rsidRDefault="00B0098D" w:rsidP="00B0098D">
            <w:pPr>
              <w:jc w:val="right"/>
              <w:rPr>
                <w:rFonts w:ascii="Garamond" w:eastAsia="Times New Roman" w:hAnsi="Garamond" w:cs="Calibri"/>
                <w:color w:val="000000"/>
                <w:lang w:val="en-US" w:bidi="hi-IN"/>
              </w:rPr>
            </w:pPr>
          </w:p>
        </w:tc>
      </w:tr>
    </w:tbl>
    <w:p w:rsidR="0018293F" w:rsidRPr="006037D2" w:rsidRDefault="0018293F" w:rsidP="0018293F">
      <w:pPr>
        <w:spacing w:line="23" w:lineRule="atLeast"/>
        <w:rPr>
          <w:rFonts w:ascii="Garamond" w:hAnsi="Garamond"/>
          <w:bCs/>
        </w:rPr>
      </w:pPr>
    </w:p>
    <w:p w:rsidR="0018293F" w:rsidRPr="00B0098D" w:rsidRDefault="0018293F" w:rsidP="0018293F">
      <w:pPr>
        <w:spacing w:line="23" w:lineRule="atLeast"/>
        <w:rPr>
          <w:rFonts w:ascii="Garamond" w:hAnsi="Garamond"/>
          <w:bCs/>
          <w:sz w:val="20"/>
          <w:szCs w:val="20"/>
        </w:rPr>
      </w:pPr>
      <w:r w:rsidRPr="006037D2">
        <w:rPr>
          <w:rFonts w:ascii="Garamond" w:hAnsi="Garamond"/>
          <w:bCs/>
        </w:rPr>
        <w:t xml:space="preserve"> </w:t>
      </w:r>
      <w:r w:rsidRPr="00B0098D">
        <w:rPr>
          <w:rFonts w:ascii="Garamond" w:hAnsi="Garamond"/>
          <w:b/>
          <w:sz w:val="20"/>
          <w:szCs w:val="20"/>
        </w:rPr>
        <w:t>Note</w:t>
      </w:r>
      <w:r w:rsidRPr="00B0098D">
        <w:rPr>
          <w:rFonts w:ascii="Garamond" w:hAnsi="Garamond"/>
          <w:bCs/>
          <w:sz w:val="20"/>
          <w:szCs w:val="20"/>
        </w:rPr>
        <w:t xml:space="preserve">: </w:t>
      </w:r>
    </w:p>
    <w:p w:rsidR="0018293F" w:rsidRPr="00B0098D" w:rsidRDefault="0018293F" w:rsidP="00456F4D">
      <w:pPr>
        <w:numPr>
          <w:ilvl w:val="0"/>
          <w:numId w:val="9"/>
        </w:numPr>
        <w:spacing w:line="23" w:lineRule="atLeast"/>
        <w:ind w:left="360"/>
        <w:contextualSpacing/>
        <w:jc w:val="both"/>
        <w:rPr>
          <w:rFonts w:ascii="Garamond" w:hAnsi="Garamond"/>
          <w:bCs/>
          <w:sz w:val="20"/>
          <w:szCs w:val="20"/>
          <w:lang w:val="en-US"/>
        </w:rPr>
      </w:pPr>
      <w:r w:rsidRPr="00B0098D">
        <w:rPr>
          <w:rFonts w:ascii="Garamond" w:hAnsi="Garamond"/>
          <w:bCs/>
          <w:sz w:val="20"/>
          <w:szCs w:val="20"/>
          <w:lang w:val="en-US"/>
        </w:rPr>
        <w:t xml:space="preserve">Data available as on </w:t>
      </w:r>
      <w:r w:rsidR="00B0098D" w:rsidRPr="00B0098D">
        <w:rPr>
          <w:rFonts w:ascii="Garamond" w:hAnsi="Garamond"/>
          <w:bCs/>
          <w:sz w:val="20"/>
          <w:szCs w:val="20"/>
          <w:lang w:val="en-US"/>
        </w:rPr>
        <w:t>Nov</w:t>
      </w:r>
      <w:r w:rsidRPr="00B0098D">
        <w:rPr>
          <w:rFonts w:ascii="Garamond" w:hAnsi="Garamond"/>
          <w:bCs/>
          <w:sz w:val="20"/>
          <w:szCs w:val="20"/>
          <w:lang w:val="en-US"/>
        </w:rPr>
        <w:t xml:space="preserve"> 1</w:t>
      </w:r>
      <w:r w:rsidR="00B0098D" w:rsidRPr="00B0098D">
        <w:rPr>
          <w:rFonts w:ascii="Garamond" w:hAnsi="Garamond"/>
          <w:bCs/>
          <w:sz w:val="20"/>
          <w:szCs w:val="20"/>
          <w:lang w:val="en-US"/>
        </w:rPr>
        <w:t>6</w:t>
      </w:r>
      <w:r w:rsidRPr="00B0098D">
        <w:rPr>
          <w:rFonts w:ascii="Garamond" w:hAnsi="Garamond"/>
          <w:bCs/>
          <w:sz w:val="20"/>
          <w:szCs w:val="20"/>
          <w:lang w:val="en-US"/>
        </w:rPr>
        <w:t>, 2021</w:t>
      </w:r>
    </w:p>
    <w:p w:rsidR="0018293F" w:rsidRPr="00B0098D" w:rsidRDefault="0018293F" w:rsidP="00456F4D">
      <w:pPr>
        <w:numPr>
          <w:ilvl w:val="0"/>
          <w:numId w:val="9"/>
        </w:numPr>
        <w:spacing w:line="23" w:lineRule="atLeast"/>
        <w:ind w:left="360"/>
        <w:contextualSpacing/>
        <w:jc w:val="both"/>
        <w:rPr>
          <w:rFonts w:ascii="Garamond" w:hAnsi="Garamond"/>
          <w:bCs/>
          <w:sz w:val="20"/>
          <w:szCs w:val="20"/>
          <w:lang w:val="en-US"/>
        </w:rPr>
      </w:pPr>
      <w:r w:rsidRPr="00B0098D">
        <w:rPr>
          <w:rFonts w:ascii="Garamond" w:hAnsi="Garamond"/>
          <w:bCs/>
          <w:sz w:val="20"/>
          <w:szCs w:val="20"/>
          <w:lang w:val="en-US"/>
        </w:rPr>
        <w:t>The data in this table are collected primarily from U.S.-based custodians and broker-dealers. Since U.S. securities held in overseas custody accounts may not be attributed to the actual owners, the data may not provide a precise accounting of individual country ownership of Treasury securities (see TIC FAQ #7 at: http://www.treasury.gov/resource-center/data-chart-center/tic/Pages/ticfaq1.aspx)</w:t>
      </w:r>
    </w:p>
    <w:p w:rsidR="0018293F" w:rsidRPr="00B0098D" w:rsidRDefault="0018293F" w:rsidP="00456F4D">
      <w:pPr>
        <w:numPr>
          <w:ilvl w:val="0"/>
          <w:numId w:val="9"/>
        </w:numPr>
        <w:spacing w:line="23" w:lineRule="atLeast"/>
        <w:ind w:left="360"/>
        <w:contextualSpacing/>
        <w:jc w:val="both"/>
        <w:rPr>
          <w:rFonts w:ascii="Garamond" w:hAnsi="Garamond"/>
          <w:bCs/>
          <w:sz w:val="20"/>
          <w:szCs w:val="20"/>
          <w:lang w:val="en-US"/>
        </w:rPr>
      </w:pPr>
      <w:r w:rsidRPr="00B0098D">
        <w:rPr>
          <w:rFonts w:ascii="Garamond" w:hAnsi="Garamond"/>
          <w:bCs/>
          <w:sz w:val="20"/>
          <w:szCs w:val="20"/>
          <w:lang w:val="en-US"/>
        </w:rPr>
        <w:t>Estimated foreign holdings of U.S. Treasury marketable and non-marketable bills, bonds, and notes reported under the Treasury  International Capital (TIC) reporting system are based on monthly data on holdings of Treasury bonds and notes  as reported on TIC Form SLT, Aggregate Holdings of Long-Term Securities by U.S. and Foreign Residents  and on TIC Form BL2, Report of Customers' U.S. Dollar Liabilities to Foreign Residents.</w:t>
      </w:r>
    </w:p>
    <w:p w:rsidR="0018293F" w:rsidRPr="00B0098D" w:rsidRDefault="0018293F" w:rsidP="0018293F">
      <w:pPr>
        <w:spacing w:line="23" w:lineRule="atLeast"/>
        <w:rPr>
          <w:rFonts w:ascii="Garamond" w:hAnsi="Garamond"/>
          <w:bCs/>
          <w:sz w:val="20"/>
          <w:szCs w:val="20"/>
        </w:rPr>
      </w:pPr>
    </w:p>
    <w:p w:rsidR="0018293F" w:rsidRPr="00B0098D" w:rsidRDefault="0018293F" w:rsidP="0018293F">
      <w:pPr>
        <w:spacing w:line="23" w:lineRule="atLeast"/>
        <w:rPr>
          <w:rFonts w:ascii="Garamond" w:hAnsi="Garamond"/>
          <w:bCs/>
          <w:sz w:val="20"/>
          <w:szCs w:val="20"/>
        </w:rPr>
      </w:pPr>
      <w:r w:rsidRPr="00B0098D">
        <w:rPr>
          <w:rFonts w:ascii="Garamond" w:hAnsi="Garamond"/>
          <w:b/>
          <w:sz w:val="20"/>
          <w:szCs w:val="20"/>
        </w:rPr>
        <w:t>Source</w:t>
      </w:r>
      <w:r w:rsidRPr="00B0098D">
        <w:rPr>
          <w:rFonts w:ascii="Garamond" w:hAnsi="Garamond"/>
          <w:bCs/>
          <w:sz w:val="20"/>
          <w:szCs w:val="20"/>
        </w:rPr>
        <w:t>: Department of the Treasury/Federal Reserve Board</w:t>
      </w:r>
    </w:p>
    <w:p w:rsidR="003B0112" w:rsidRPr="006037D2" w:rsidRDefault="003B0112" w:rsidP="0018293F">
      <w:pPr>
        <w:spacing w:line="23" w:lineRule="atLeast"/>
        <w:rPr>
          <w:rFonts w:ascii="Garamond" w:hAnsi="Garamond"/>
          <w:bCs/>
        </w:rPr>
      </w:pPr>
    </w:p>
    <w:p w:rsidR="0018293F" w:rsidRPr="006037D2" w:rsidRDefault="0018293F" w:rsidP="0018293F">
      <w:pPr>
        <w:spacing w:line="23" w:lineRule="atLeast"/>
        <w:jc w:val="both"/>
        <w:outlineLvl w:val="0"/>
        <w:rPr>
          <w:rFonts w:ascii="Garamond" w:hAnsi="Garamond"/>
          <w:b/>
          <w:bCs/>
        </w:rPr>
      </w:pPr>
      <w:r w:rsidRPr="006037D2">
        <w:rPr>
          <w:rFonts w:ascii="Garamond" w:hAnsi="Garamond"/>
          <w:b/>
          <w:bCs/>
        </w:rPr>
        <w:t xml:space="preserve">Table </w:t>
      </w:r>
      <w:r w:rsidR="00AE7510">
        <w:rPr>
          <w:rFonts w:ascii="Garamond" w:hAnsi="Garamond"/>
          <w:b/>
          <w:bCs/>
        </w:rPr>
        <w:t>5</w:t>
      </w:r>
      <w:r w:rsidRPr="006037D2">
        <w:rPr>
          <w:rFonts w:ascii="Garamond" w:hAnsi="Garamond"/>
          <w:b/>
          <w:bCs/>
        </w:rPr>
        <w:t xml:space="preserve">: List of select global exchanges </w:t>
      </w:r>
    </w:p>
    <w:p w:rsidR="00D0385D" w:rsidRPr="006037D2" w:rsidRDefault="00D0385D" w:rsidP="0018293F">
      <w:pPr>
        <w:spacing w:line="23" w:lineRule="atLeast"/>
        <w:jc w:val="both"/>
        <w:outlineLvl w:val="0"/>
        <w:rPr>
          <w:rFonts w:ascii="Garamond" w:hAnsi="Garamond"/>
          <w:b/>
          <w:bCs/>
        </w:rPr>
      </w:pPr>
    </w:p>
    <w:tbl>
      <w:tblPr>
        <w:tblW w:w="9781" w:type="dxa"/>
        <w:tblInd w:w="-10" w:type="dxa"/>
        <w:tblLook w:val="04A0" w:firstRow="1" w:lastRow="0" w:firstColumn="1" w:lastColumn="0" w:noHBand="0" w:noVBand="1"/>
      </w:tblPr>
      <w:tblGrid>
        <w:gridCol w:w="960"/>
        <w:gridCol w:w="4002"/>
        <w:gridCol w:w="1134"/>
        <w:gridCol w:w="3685"/>
      </w:tblGrid>
      <w:tr w:rsidR="00D0385D" w:rsidRPr="003B0112" w:rsidTr="00D0385D">
        <w:trPr>
          <w:trHeight w:val="330"/>
        </w:trPr>
        <w:tc>
          <w:tcPr>
            <w:tcW w:w="960" w:type="dxa"/>
            <w:tcBorders>
              <w:top w:val="single" w:sz="8" w:space="0" w:color="auto"/>
              <w:left w:val="single" w:sz="8" w:space="0" w:color="auto"/>
              <w:bottom w:val="single" w:sz="8" w:space="0" w:color="auto"/>
              <w:right w:val="single" w:sz="8" w:space="0" w:color="auto"/>
            </w:tcBorders>
            <w:shd w:val="clear" w:color="auto" w:fill="auto"/>
            <w:noWrap/>
            <w:hideMark/>
          </w:tcPr>
          <w:p w:rsidR="00D0385D" w:rsidRPr="003B0112" w:rsidRDefault="00D0385D" w:rsidP="00D0385D">
            <w:pPr>
              <w:jc w:val="center"/>
              <w:rPr>
                <w:rFonts w:ascii="Garamond" w:eastAsia="Times New Roman" w:hAnsi="Garamond" w:cs="Calibri"/>
                <w:b/>
                <w:bCs/>
                <w:color w:val="000000"/>
                <w:sz w:val="20"/>
                <w:szCs w:val="20"/>
                <w:lang w:val="en-US" w:bidi="hi-IN"/>
              </w:rPr>
            </w:pPr>
            <w:r w:rsidRPr="003B0112">
              <w:rPr>
                <w:rFonts w:ascii="Garamond" w:eastAsia="Times New Roman" w:hAnsi="Garamond" w:cs="Calibri"/>
                <w:b/>
                <w:bCs/>
                <w:color w:val="000000"/>
                <w:sz w:val="20"/>
                <w:szCs w:val="20"/>
                <w:lang w:val="en-IN" w:bidi="hi-IN"/>
              </w:rPr>
              <w:t>S.No.</w:t>
            </w:r>
          </w:p>
        </w:tc>
        <w:tc>
          <w:tcPr>
            <w:tcW w:w="4002" w:type="dxa"/>
            <w:tcBorders>
              <w:top w:val="single" w:sz="8" w:space="0" w:color="auto"/>
              <w:left w:val="nil"/>
              <w:bottom w:val="single" w:sz="8" w:space="0" w:color="auto"/>
              <w:right w:val="single" w:sz="8" w:space="0" w:color="auto"/>
            </w:tcBorders>
            <w:shd w:val="clear" w:color="auto" w:fill="auto"/>
            <w:noWrap/>
            <w:hideMark/>
          </w:tcPr>
          <w:p w:rsidR="00D0385D" w:rsidRPr="003B0112" w:rsidRDefault="00D0385D" w:rsidP="00D0385D">
            <w:pPr>
              <w:rPr>
                <w:rFonts w:ascii="Garamond" w:eastAsia="Times New Roman" w:hAnsi="Garamond" w:cs="Calibri"/>
                <w:b/>
                <w:bCs/>
                <w:color w:val="000000"/>
                <w:sz w:val="20"/>
                <w:szCs w:val="20"/>
                <w:lang w:val="en-US" w:bidi="hi-IN"/>
              </w:rPr>
            </w:pPr>
            <w:r w:rsidRPr="003B0112">
              <w:rPr>
                <w:rFonts w:ascii="Garamond" w:eastAsia="Times New Roman" w:hAnsi="Garamond" w:cs="Calibri"/>
                <w:b/>
                <w:bCs/>
                <w:color w:val="000000"/>
                <w:sz w:val="20"/>
                <w:szCs w:val="20"/>
                <w:lang w:val="en-IN" w:bidi="hi-IN"/>
              </w:rPr>
              <w:t>Exchange</w:t>
            </w:r>
          </w:p>
        </w:tc>
        <w:tc>
          <w:tcPr>
            <w:tcW w:w="1134" w:type="dxa"/>
            <w:tcBorders>
              <w:top w:val="single" w:sz="8" w:space="0" w:color="auto"/>
              <w:left w:val="nil"/>
              <w:bottom w:val="single" w:sz="8" w:space="0" w:color="auto"/>
              <w:right w:val="single" w:sz="8" w:space="0" w:color="auto"/>
            </w:tcBorders>
            <w:shd w:val="clear" w:color="auto" w:fill="auto"/>
            <w:noWrap/>
            <w:hideMark/>
          </w:tcPr>
          <w:p w:rsidR="00D0385D" w:rsidRPr="003B0112" w:rsidRDefault="00D0385D" w:rsidP="00D0385D">
            <w:pPr>
              <w:jc w:val="center"/>
              <w:rPr>
                <w:rFonts w:ascii="Garamond" w:eastAsia="Times New Roman" w:hAnsi="Garamond" w:cs="Calibri"/>
                <w:b/>
                <w:bCs/>
                <w:color w:val="000000"/>
                <w:sz w:val="20"/>
                <w:szCs w:val="20"/>
                <w:lang w:val="en-US" w:bidi="hi-IN"/>
              </w:rPr>
            </w:pPr>
            <w:r w:rsidRPr="003B0112">
              <w:rPr>
                <w:rFonts w:ascii="Garamond" w:eastAsia="Times New Roman" w:hAnsi="Garamond" w:cs="Calibri"/>
                <w:b/>
                <w:bCs/>
                <w:color w:val="000000"/>
                <w:sz w:val="20"/>
                <w:szCs w:val="20"/>
                <w:lang w:val="en-IN" w:bidi="hi-IN"/>
              </w:rPr>
              <w:t>S.No.</w:t>
            </w:r>
          </w:p>
        </w:tc>
        <w:tc>
          <w:tcPr>
            <w:tcW w:w="3685" w:type="dxa"/>
            <w:tcBorders>
              <w:top w:val="single" w:sz="8" w:space="0" w:color="auto"/>
              <w:left w:val="nil"/>
              <w:bottom w:val="single" w:sz="8" w:space="0" w:color="auto"/>
              <w:right w:val="single" w:sz="8" w:space="0" w:color="auto"/>
            </w:tcBorders>
            <w:shd w:val="clear" w:color="auto" w:fill="auto"/>
            <w:noWrap/>
            <w:hideMark/>
          </w:tcPr>
          <w:p w:rsidR="00D0385D" w:rsidRPr="003B0112" w:rsidRDefault="00D0385D" w:rsidP="00D0385D">
            <w:pPr>
              <w:rPr>
                <w:rFonts w:ascii="Garamond" w:eastAsia="Times New Roman" w:hAnsi="Garamond" w:cs="Calibri"/>
                <w:b/>
                <w:bCs/>
                <w:color w:val="000000"/>
                <w:sz w:val="20"/>
                <w:szCs w:val="20"/>
                <w:lang w:val="en-US" w:bidi="hi-IN"/>
              </w:rPr>
            </w:pPr>
            <w:r w:rsidRPr="003B0112">
              <w:rPr>
                <w:rFonts w:ascii="Garamond" w:eastAsia="Times New Roman" w:hAnsi="Garamond" w:cs="Calibri"/>
                <w:b/>
                <w:bCs/>
                <w:color w:val="000000"/>
                <w:sz w:val="20"/>
                <w:szCs w:val="20"/>
                <w:lang w:val="en-IN" w:bidi="hi-IN"/>
              </w:rPr>
              <w:t>Exchange</w:t>
            </w:r>
          </w:p>
        </w:tc>
      </w:tr>
      <w:tr w:rsidR="00D0385D" w:rsidRPr="003B0112" w:rsidTr="00D0385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D0385D" w:rsidRPr="003B0112" w:rsidRDefault="00D0385D" w:rsidP="00D0385D">
            <w:pPr>
              <w:jc w:val="cente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1</w:t>
            </w:r>
          </w:p>
        </w:tc>
        <w:tc>
          <w:tcPr>
            <w:tcW w:w="4002"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ASX Australian Securities Exchange</w:t>
            </w:r>
          </w:p>
        </w:tc>
        <w:tc>
          <w:tcPr>
            <w:tcW w:w="1134"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jc w:val="cente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21</w:t>
            </w:r>
          </w:p>
        </w:tc>
        <w:tc>
          <w:tcPr>
            <w:tcW w:w="3685"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London Metal Exchange</w:t>
            </w:r>
          </w:p>
        </w:tc>
      </w:tr>
      <w:tr w:rsidR="00D0385D" w:rsidRPr="003B0112" w:rsidTr="00D0385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D0385D" w:rsidRPr="003B0112" w:rsidRDefault="00D0385D" w:rsidP="00D0385D">
            <w:pPr>
              <w:jc w:val="cente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2</w:t>
            </w:r>
          </w:p>
        </w:tc>
        <w:tc>
          <w:tcPr>
            <w:tcW w:w="4002"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Athens Stock Exchange</w:t>
            </w:r>
          </w:p>
        </w:tc>
        <w:tc>
          <w:tcPr>
            <w:tcW w:w="1134"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jc w:val="cente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22</w:t>
            </w:r>
          </w:p>
        </w:tc>
        <w:tc>
          <w:tcPr>
            <w:tcW w:w="3685"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LSE Group London Stock Exchange</w:t>
            </w:r>
          </w:p>
        </w:tc>
      </w:tr>
      <w:tr w:rsidR="00D0385D" w:rsidRPr="003B0112" w:rsidTr="00D0385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D0385D" w:rsidRPr="003B0112" w:rsidRDefault="00D0385D" w:rsidP="00D0385D">
            <w:pPr>
              <w:jc w:val="cente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3</w:t>
            </w:r>
          </w:p>
        </w:tc>
        <w:tc>
          <w:tcPr>
            <w:tcW w:w="4002"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B3 - Brasil Bolsa Balcão</w:t>
            </w:r>
          </w:p>
        </w:tc>
        <w:tc>
          <w:tcPr>
            <w:tcW w:w="1134"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jc w:val="cente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23</w:t>
            </w:r>
          </w:p>
        </w:tc>
        <w:tc>
          <w:tcPr>
            <w:tcW w:w="3685"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Matba Rofex</w:t>
            </w:r>
          </w:p>
        </w:tc>
      </w:tr>
      <w:tr w:rsidR="00D0385D" w:rsidRPr="003B0112" w:rsidTr="00D0385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D0385D" w:rsidRPr="003B0112" w:rsidRDefault="00D0385D" w:rsidP="00D0385D">
            <w:pPr>
              <w:jc w:val="cente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4</w:t>
            </w:r>
          </w:p>
        </w:tc>
        <w:tc>
          <w:tcPr>
            <w:tcW w:w="4002"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BME Spanish Exchanges</w:t>
            </w:r>
          </w:p>
        </w:tc>
        <w:tc>
          <w:tcPr>
            <w:tcW w:w="1134"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jc w:val="cente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24</w:t>
            </w:r>
          </w:p>
        </w:tc>
        <w:tc>
          <w:tcPr>
            <w:tcW w:w="3685"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MIAX Exchange Group</w:t>
            </w:r>
          </w:p>
        </w:tc>
      </w:tr>
      <w:tr w:rsidR="00D0385D" w:rsidRPr="003B0112" w:rsidTr="00D0385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D0385D" w:rsidRPr="003B0112" w:rsidRDefault="00D0385D" w:rsidP="00D0385D">
            <w:pPr>
              <w:jc w:val="cente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5</w:t>
            </w:r>
          </w:p>
        </w:tc>
        <w:tc>
          <w:tcPr>
            <w:tcW w:w="4002"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Bolsa de Valores de Colombia</w:t>
            </w:r>
          </w:p>
        </w:tc>
        <w:tc>
          <w:tcPr>
            <w:tcW w:w="1134"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jc w:val="cente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25</w:t>
            </w:r>
          </w:p>
        </w:tc>
        <w:tc>
          <w:tcPr>
            <w:tcW w:w="3685"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Moscow Exchange</w:t>
            </w:r>
          </w:p>
        </w:tc>
      </w:tr>
      <w:tr w:rsidR="00D0385D" w:rsidRPr="003B0112" w:rsidTr="00D0385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D0385D" w:rsidRPr="003B0112" w:rsidRDefault="00D0385D" w:rsidP="00D0385D">
            <w:pPr>
              <w:jc w:val="cente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6</w:t>
            </w:r>
          </w:p>
        </w:tc>
        <w:tc>
          <w:tcPr>
            <w:tcW w:w="4002"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Bolsa Mexicana de Valores</w:t>
            </w:r>
          </w:p>
        </w:tc>
        <w:tc>
          <w:tcPr>
            <w:tcW w:w="1134"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jc w:val="cente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26</w:t>
            </w:r>
          </w:p>
        </w:tc>
        <w:tc>
          <w:tcPr>
            <w:tcW w:w="3685"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Multi Commodity Exchange of India</w:t>
            </w:r>
          </w:p>
        </w:tc>
      </w:tr>
      <w:tr w:rsidR="00D0385D" w:rsidRPr="003B0112" w:rsidTr="00D0385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D0385D" w:rsidRPr="003B0112" w:rsidRDefault="00D0385D" w:rsidP="00D0385D">
            <w:pPr>
              <w:jc w:val="cente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7</w:t>
            </w:r>
          </w:p>
        </w:tc>
        <w:tc>
          <w:tcPr>
            <w:tcW w:w="4002"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Borsa Istanbul</w:t>
            </w:r>
          </w:p>
        </w:tc>
        <w:tc>
          <w:tcPr>
            <w:tcW w:w="1134"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jc w:val="cente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27</w:t>
            </w:r>
          </w:p>
        </w:tc>
        <w:tc>
          <w:tcPr>
            <w:tcW w:w="3685"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Nasdaq - US</w:t>
            </w:r>
          </w:p>
        </w:tc>
      </w:tr>
      <w:tr w:rsidR="00D0385D" w:rsidRPr="003B0112" w:rsidTr="00D0385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D0385D" w:rsidRPr="003B0112" w:rsidRDefault="00D0385D" w:rsidP="00D0385D">
            <w:pPr>
              <w:jc w:val="cente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8</w:t>
            </w:r>
          </w:p>
        </w:tc>
        <w:tc>
          <w:tcPr>
            <w:tcW w:w="4002"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Budapest Stock Exchange</w:t>
            </w:r>
          </w:p>
        </w:tc>
        <w:tc>
          <w:tcPr>
            <w:tcW w:w="1134"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jc w:val="cente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28</w:t>
            </w:r>
          </w:p>
        </w:tc>
        <w:tc>
          <w:tcPr>
            <w:tcW w:w="3685"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Nasdaq Nordic and Baltics</w:t>
            </w:r>
          </w:p>
        </w:tc>
      </w:tr>
      <w:tr w:rsidR="00D0385D" w:rsidRPr="003B0112" w:rsidTr="00D0385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D0385D" w:rsidRPr="003B0112" w:rsidRDefault="00D0385D" w:rsidP="00D0385D">
            <w:pPr>
              <w:jc w:val="cente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9</w:t>
            </w:r>
          </w:p>
        </w:tc>
        <w:tc>
          <w:tcPr>
            <w:tcW w:w="4002"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Bursa Malaysia Derivatives</w:t>
            </w:r>
          </w:p>
        </w:tc>
        <w:tc>
          <w:tcPr>
            <w:tcW w:w="1134"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jc w:val="cente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29</w:t>
            </w:r>
          </w:p>
        </w:tc>
        <w:tc>
          <w:tcPr>
            <w:tcW w:w="3685"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National Stock Exchange of India</w:t>
            </w:r>
          </w:p>
        </w:tc>
      </w:tr>
      <w:tr w:rsidR="00D0385D" w:rsidRPr="003B0112" w:rsidTr="00D0385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D0385D" w:rsidRPr="003B0112" w:rsidRDefault="00D0385D" w:rsidP="00D0385D">
            <w:pPr>
              <w:jc w:val="cente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10</w:t>
            </w:r>
          </w:p>
        </w:tc>
        <w:tc>
          <w:tcPr>
            <w:tcW w:w="4002"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Cboe Futures Exchange</w:t>
            </w:r>
          </w:p>
        </w:tc>
        <w:tc>
          <w:tcPr>
            <w:tcW w:w="1134"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jc w:val="cente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30</w:t>
            </w:r>
          </w:p>
        </w:tc>
        <w:tc>
          <w:tcPr>
            <w:tcW w:w="3685"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NZX Limited</w:t>
            </w:r>
          </w:p>
        </w:tc>
      </w:tr>
      <w:tr w:rsidR="00D0385D" w:rsidRPr="003B0112" w:rsidTr="00D0385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D0385D" w:rsidRPr="003B0112" w:rsidRDefault="00D0385D" w:rsidP="00D0385D">
            <w:pPr>
              <w:jc w:val="cente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11</w:t>
            </w:r>
          </w:p>
        </w:tc>
        <w:tc>
          <w:tcPr>
            <w:tcW w:w="4002"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Cboe Global Markets</w:t>
            </w:r>
          </w:p>
        </w:tc>
        <w:tc>
          <w:tcPr>
            <w:tcW w:w="1134"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jc w:val="cente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31</w:t>
            </w:r>
          </w:p>
        </w:tc>
        <w:tc>
          <w:tcPr>
            <w:tcW w:w="3685"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Shanghai Futures Exchange</w:t>
            </w:r>
          </w:p>
        </w:tc>
      </w:tr>
      <w:tr w:rsidR="00D0385D" w:rsidRPr="003B0112" w:rsidTr="00D0385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D0385D" w:rsidRPr="003B0112" w:rsidRDefault="00D0385D" w:rsidP="00D0385D">
            <w:pPr>
              <w:jc w:val="cente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12</w:t>
            </w:r>
          </w:p>
        </w:tc>
        <w:tc>
          <w:tcPr>
            <w:tcW w:w="4002"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China Financial Futures Exchange</w:t>
            </w:r>
          </w:p>
        </w:tc>
        <w:tc>
          <w:tcPr>
            <w:tcW w:w="1134"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jc w:val="cente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32</w:t>
            </w:r>
          </w:p>
        </w:tc>
        <w:tc>
          <w:tcPr>
            <w:tcW w:w="3685"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Singapore Exchange</w:t>
            </w:r>
          </w:p>
        </w:tc>
      </w:tr>
      <w:tr w:rsidR="00D0385D" w:rsidRPr="003B0112" w:rsidTr="00D0385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D0385D" w:rsidRPr="003B0112" w:rsidRDefault="00D0385D" w:rsidP="00D0385D">
            <w:pPr>
              <w:jc w:val="cente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13</w:t>
            </w:r>
          </w:p>
        </w:tc>
        <w:tc>
          <w:tcPr>
            <w:tcW w:w="4002"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CME Group</w:t>
            </w:r>
          </w:p>
        </w:tc>
        <w:tc>
          <w:tcPr>
            <w:tcW w:w="1134"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jc w:val="cente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33</w:t>
            </w:r>
          </w:p>
        </w:tc>
        <w:tc>
          <w:tcPr>
            <w:tcW w:w="3685"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Taiwan Futures Exchange</w:t>
            </w:r>
          </w:p>
        </w:tc>
      </w:tr>
      <w:tr w:rsidR="00D0385D" w:rsidRPr="003B0112" w:rsidTr="00D0385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D0385D" w:rsidRPr="003B0112" w:rsidRDefault="00D0385D" w:rsidP="00D0385D">
            <w:pPr>
              <w:jc w:val="cente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14</w:t>
            </w:r>
          </w:p>
        </w:tc>
        <w:tc>
          <w:tcPr>
            <w:tcW w:w="4002"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Dalian Commodity Exchange</w:t>
            </w:r>
          </w:p>
        </w:tc>
        <w:tc>
          <w:tcPr>
            <w:tcW w:w="1134"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jc w:val="cente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34</w:t>
            </w:r>
          </w:p>
        </w:tc>
        <w:tc>
          <w:tcPr>
            <w:tcW w:w="3685"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Tehran Stock Exchange</w:t>
            </w:r>
          </w:p>
        </w:tc>
      </w:tr>
      <w:tr w:rsidR="00D0385D" w:rsidRPr="003B0112" w:rsidTr="00D0385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D0385D" w:rsidRPr="003B0112" w:rsidRDefault="00D0385D" w:rsidP="00D0385D">
            <w:pPr>
              <w:jc w:val="cente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15</w:t>
            </w:r>
          </w:p>
        </w:tc>
        <w:tc>
          <w:tcPr>
            <w:tcW w:w="4002"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Deutsche Boerse AG</w:t>
            </w:r>
          </w:p>
        </w:tc>
        <w:tc>
          <w:tcPr>
            <w:tcW w:w="1134"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jc w:val="cente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35</w:t>
            </w:r>
          </w:p>
        </w:tc>
        <w:tc>
          <w:tcPr>
            <w:tcW w:w="3685"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Tel-Aviv Stock Exchange</w:t>
            </w:r>
          </w:p>
        </w:tc>
      </w:tr>
      <w:tr w:rsidR="00D0385D" w:rsidRPr="003B0112" w:rsidTr="00D0385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D0385D" w:rsidRPr="003B0112" w:rsidRDefault="00D0385D" w:rsidP="00D0385D">
            <w:pPr>
              <w:jc w:val="cente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16</w:t>
            </w:r>
          </w:p>
        </w:tc>
        <w:tc>
          <w:tcPr>
            <w:tcW w:w="4002"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Dubai Gold and Commodities Exchange</w:t>
            </w:r>
          </w:p>
        </w:tc>
        <w:tc>
          <w:tcPr>
            <w:tcW w:w="1134"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jc w:val="cente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36</w:t>
            </w:r>
          </w:p>
        </w:tc>
        <w:tc>
          <w:tcPr>
            <w:tcW w:w="3685"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Thailand Futures Exchange</w:t>
            </w:r>
          </w:p>
        </w:tc>
      </w:tr>
      <w:tr w:rsidR="00D0385D" w:rsidRPr="003B0112" w:rsidTr="00D0385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D0385D" w:rsidRPr="003B0112" w:rsidRDefault="00D0385D" w:rsidP="00D0385D">
            <w:pPr>
              <w:jc w:val="cente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17</w:t>
            </w:r>
          </w:p>
        </w:tc>
        <w:tc>
          <w:tcPr>
            <w:tcW w:w="4002"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Euronext</w:t>
            </w:r>
          </w:p>
        </w:tc>
        <w:tc>
          <w:tcPr>
            <w:tcW w:w="1134"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jc w:val="cente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37</w:t>
            </w:r>
          </w:p>
        </w:tc>
        <w:tc>
          <w:tcPr>
            <w:tcW w:w="3685"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The Saint-Petersburg International Mercantile Exchange</w:t>
            </w:r>
          </w:p>
        </w:tc>
      </w:tr>
      <w:tr w:rsidR="00D0385D" w:rsidRPr="003B0112" w:rsidTr="00D0385D">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D0385D" w:rsidRPr="003B0112" w:rsidRDefault="00D0385D" w:rsidP="00D0385D">
            <w:pPr>
              <w:jc w:val="cente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18</w:t>
            </w:r>
          </w:p>
        </w:tc>
        <w:tc>
          <w:tcPr>
            <w:tcW w:w="4002"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Hong Kong Exchanges and Clearing</w:t>
            </w:r>
          </w:p>
        </w:tc>
        <w:tc>
          <w:tcPr>
            <w:tcW w:w="1134"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jc w:val="cente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38</w:t>
            </w:r>
          </w:p>
        </w:tc>
        <w:tc>
          <w:tcPr>
            <w:tcW w:w="3685"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Warsaw Stock Exchange</w:t>
            </w:r>
          </w:p>
        </w:tc>
      </w:tr>
      <w:tr w:rsidR="00D0385D" w:rsidRPr="003B0112" w:rsidTr="006A6CB3">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D0385D" w:rsidRPr="003B0112" w:rsidRDefault="00D0385D" w:rsidP="00D0385D">
            <w:pPr>
              <w:jc w:val="cente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19</w:t>
            </w:r>
          </w:p>
        </w:tc>
        <w:tc>
          <w:tcPr>
            <w:tcW w:w="4002"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Japan Exchange Group</w:t>
            </w:r>
          </w:p>
        </w:tc>
        <w:tc>
          <w:tcPr>
            <w:tcW w:w="1134" w:type="dxa"/>
            <w:vMerge w:val="restart"/>
            <w:tcBorders>
              <w:top w:val="nil"/>
              <w:left w:val="nil"/>
              <w:right w:val="single" w:sz="8" w:space="0" w:color="auto"/>
            </w:tcBorders>
            <w:shd w:val="clear" w:color="auto" w:fill="auto"/>
            <w:noWrap/>
            <w:hideMark/>
          </w:tcPr>
          <w:p w:rsidR="00D0385D" w:rsidRPr="003B0112" w:rsidRDefault="00D0385D" w:rsidP="00D0385D">
            <w:pPr>
              <w:jc w:val="cente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39</w:t>
            </w:r>
          </w:p>
          <w:p w:rsidR="00D0385D" w:rsidRPr="003B0112" w:rsidRDefault="00D0385D" w:rsidP="00D0385D">
            <w:pP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 </w:t>
            </w:r>
          </w:p>
        </w:tc>
        <w:tc>
          <w:tcPr>
            <w:tcW w:w="3685" w:type="dxa"/>
            <w:vMerge w:val="restart"/>
            <w:tcBorders>
              <w:top w:val="nil"/>
              <w:left w:val="nil"/>
              <w:right w:val="single" w:sz="8" w:space="0" w:color="auto"/>
            </w:tcBorders>
            <w:shd w:val="clear" w:color="auto" w:fill="auto"/>
            <w:noWrap/>
            <w:hideMark/>
          </w:tcPr>
          <w:p w:rsidR="00D0385D" w:rsidRPr="003B0112" w:rsidRDefault="00D0385D" w:rsidP="00D0385D">
            <w:pP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Zhengzhou Commodity Exchange</w:t>
            </w:r>
          </w:p>
          <w:p w:rsidR="00D0385D" w:rsidRPr="003B0112" w:rsidRDefault="00D0385D" w:rsidP="00D0385D">
            <w:pP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 </w:t>
            </w:r>
          </w:p>
        </w:tc>
      </w:tr>
      <w:tr w:rsidR="00D0385D" w:rsidRPr="003B0112" w:rsidTr="006A6CB3">
        <w:trPr>
          <w:trHeight w:val="330"/>
        </w:trPr>
        <w:tc>
          <w:tcPr>
            <w:tcW w:w="960" w:type="dxa"/>
            <w:tcBorders>
              <w:top w:val="nil"/>
              <w:left w:val="single" w:sz="8" w:space="0" w:color="auto"/>
              <w:bottom w:val="single" w:sz="8" w:space="0" w:color="auto"/>
              <w:right w:val="single" w:sz="8" w:space="0" w:color="auto"/>
            </w:tcBorders>
            <w:shd w:val="clear" w:color="auto" w:fill="auto"/>
            <w:noWrap/>
            <w:hideMark/>
          </w:tcPr>
          <w:p w:rsidR="00D0385D" w:rsidRPr="003B0112" w:rsidRDefault="00D0385D" w:rsidP="00D0385D">
            <w:pPr>
              <w:jc w:val="cente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20</w:t>
            </w:r>
          </w:p>
        </w:tc>
        <w:tc>
          <w:tcPr>
            <w:tcW w:w="4002" w:type="dxa"/>
            <w:tcBorders>
              <w:top w:val="nil"/>
              <w:left w:val="nil"/>
              <w:bottom w:val="single" w:sz="8" w:space="0" w:color="auto"/>
              <w:right w:val="single" w:sz="8" w:space="0" w:color="auto"/>
            </w:tcBorders>
            <w:shd w:val="clear" w:color="auto" w:fill="auto"/>
            <w:noWrap/>
            <w:hideMark/>
          </w:tcPr>
          <w:p w:rsidR="00D0385D" w:rsidRPr="003B0112" w:rsidRDefault="00D0385D" w:rsidP="00D0385D">
            <w:pPr>
              <w:rPr>
                <w:rFonts w:ascii="Garamond" w:eastAsia="Times New Roman" w:hAnsi="Garamond" w:cs="Calibri"/>
                <w:color w:val="000000"/>
                <w:sz w:val="20"/>
                <w:szCs w:val="20"/>
                <w:lang w:val="en-US" w:bidi="hi-IN"/>
              </w:rPr>
            </w:pPr>
            <w:r w:rsidRPr="003B0112">
              <w:rPr>
                <w:rFonts w:ascii="Garamond" w:eastAsia="Times New Roman" w:hAnsi="Garamond" w:cs="Calibri"/>
                <w:color w:val="000000"/>
                <w:sz w:val="20"/>
                <w:szCs w:val="20"/>
                <w:lang w:val="en-IN" w:bidi="hi-IN"/>
              </w:rPr>
              <w:t>Korea Exchange</w:t>
            </w:r>
          </w:p>
        </w:tc>
        <w:tc>
          <w:tcPr>
            <w:tcW w:w="1134" w:type="dxa"/>
            <w:vMerge/>
            <w:tcBorders>
              <w:left w:val="nil"/>
              <w:bottom w:val="single" w:sz="8" w:space="0" w:color="auto"/>
              <w:right w:val="single" w:sz="8" w:space="0" w:color="auto"/>
            </w:tcBorders>
            <w:shd w:val="clear" w:color="auto" w:fill="auto"/>
            <w:hideMark/>
          </w:tcPr>
          <w:p w:rsidR="00D0385D" w:rsidRPr="003B0112" w:rsidRDefault="00D0385D" w:rsidP="00D0385D">
            <w:pPr>
              <w:rPr>
                <w:rFonts w:ascii="Garamond" w:eastAsia="Times New Roman" w:hAnsi="Garamond" w:cs="Calibri"/>
                <w:color w:val="000000"/>
                <w:sz w:val="20"/>
                <w:szCs w:val="20"/>
                <w:lang w:val="en-US" w:bidi="hi-IN"/>
              </w:rPr>
            </w:pPr>
          </w:p>
        </w:tc>
        <w:tc>
          <w:tcPr>
            <w:tcW w:w="3685" w:type="dxa"/>
            <w:vMerge/>
            <w:tcBorders>
              <w:left w:val="nil"/>
              <w:bottom w:val="single" w:sz="8" w:space="0" w:color="auto"/>
              <w:right w:val="single" w:sz="8" w:space="0" w:color="auto"/>
            </w:tcBorders>
            <w:shd w:val="clear" w:color="auto" w:fill="auto"/>
            <w:hideMark/>
          </w:tcPr>
          <w:p w:rsidR="00D0385D" w:rsidRPr="003B0112" w:rsidRDefault="00D0385D" w:rsidP="00D0385D">
            <w:pPr>
              <w:rPr>
                <w:rFonts w:ascii="Garamond" w:eastAsia="Times New Roman" w:hAnsi="Garamond" w:cs="Calibri"/>
                <w:color w:val="000000"/>
                <w:sz w:val="20"/>
                <w:szCs w:val="20"/>
                <w:lang w:val="en-US" w:bidi="hi-IN"/>
              </w:rPr>
            </w:pPr>
          </w:p>
        </w:tc>
      </w:tr>
    </w:tbl>
    <w:p w:rsidR="00D0385D" w:rsidRPr="000577B9" w:rsidRDefault="00D0385D" w:rsidP="0018293F">
      <w:pPr>
        <w:spacing w:line="23" w:lineRule="atLeast"/>
        <w:jc w:val="both"/>
        <w:outlineLvl w:val="0"/>
        <w:rPr>
          <w:rFonts w:ascii="Garamond" w:hAnsi="Garamond"/>
          <w:b/>
          <w:bCs/>
        </w:rPr>
      </w:pPr>
    </w:p>
    <w:p w:rsidR="0018293F" w:rsidRPr="000577B9" w:rsidRDefault="0018293F" w:rsidP="0018293F">
      <w:pPr>
        <w:spacing w:line="23" w:lineRule="atLeast"/>
        <w:jc w:val="both"/>
        <w:rPr>
          <w:rFonts w:ascii="Garamond" w:hAnsi="Garamond"/>
          <w:bCs/>
        </w:rPr>
      </w:pPr>
    </w:p>
    <w:p w:rsidR="0018293F" w:rsidRDefault="0018293F" w:rsidP="0018293F">
      <w:pPr>
        <w:spacing w:line="23" w:lineRule="atLeast"/>
        <w:jc w:val="both"/>
        <w:rPr>
          <w:rFonts w:ascii="Palatino Linotype" w:eastAsia="Calibri" w:hAnsi="Palatino Linotype"/>
          <w:bCs/>
          <w:sz w:val="18"/>
          <w:szCs w:val="18"/>
        </w:rPr>
      </w:pPr>
    </w:p>
    <w:p w:rsidR="0018293F" w:rsidRDefault="0018293F" w:rsidP="0018293F">
      <w:pPr>
        <w:spacing w:line="23" w:lineRule="atLeast"/>
        <w:rPr>
          <w:rFonts w:ascii="Palatino Linotype" w:hAnsi="Palatino Linotype"/>
          <w:bCs/>
          <w:sz w:val="18"/>
          <w:szCs w:val="18"/>
        </w:rPr>
      </w:pPr>
    </w:p>
    <w:p w:rsidR="003C2485" w:rsidRDefault="003C2485" w:rsidP="00D0385D">
      <w:pPr>
        <w:spacing w:line="23" w:lineRule="atLeast"/>
        <w:rPr>
          <w:rFonts w:ascii="Palatino Linotype" w:hAnsi="Palatino Linotype" w:cs="Calibri"/>
          <w:b/>
          <w:sz w:val="28"/>
          <w:szCs w:val="28"/>
        </w:rPr>
      </w:pPr>
    </w:p>
    <w:p w:rsidR="000C6BCB" w:rsidRDefault="000C6BCB" w:rsidP="00D0385D">
      <w:pPr>
        <w:spacing w:line="23" w:lineRule="atLeast"/>
        <w:rPr>
          <w:rFonts w:ascii="Palatino Linotype" w:hAnsi="Palatino Linotype" w:cs="Calibri"/>
          <w:b/>
          <w:sz w:val="28"/>
          <w:szCs w:val="28"/>
        </w:rPr>
      </w:pPr>
    </w:p>
    <w:p w:rsidR="00D0385D" w:rsidRDefault="00D0385D" w:rsidP="00D0385D">
      <w:pPr>
        <w:spacing w:line="23" w:lineRule="atLeast"/>
        <w:rPr>
          <w:rFonts w:ascii="Palatino Linotype" w:hAnsi="Palatino Linotype" w:cs="Calibri"/>
          <w:b/>
          <w:sz w:val="28"/>
          <w:szCs w:val="28"/>
        </w:rPr>
      </w:pPr>
    </w:p>
    <w:p w:rsidR="000F236F" w:rsidRPr="00D0385D" w:rsidRDefault="000F236F" w:rsidP="009D5D54">
      <w:pPr>
        <w:spacing w:line="23" w:lineRule="atLeast"/>
        <w:jc w:val="center"/>
        <w:rPr>
          <w:rFonts w:ascii="Palatino Linotype" w:hAnsi="Palatino Linotype" w:cs="Calibri"/>
          <w:b/>
          <w:color w:val="1F4E79" w:themeColor="accent1" w:themeShade="80"/>
          <w:sz w:val="28"/>
          <w:szCs w:val="28"/>
        </w:rPr>
      </w:pPr>
      <w:r w:rsidRPr="00D0385D">
        <w:rPr>
          <w:rFonts w:ascii="Palatino Linotype" w:hAnsi="Palatino Linotype" w:cs="Calibri"/>
          <w:b/>
          <w:color w:val="1F4E79" w:themeColor="accent1" w:themeShade="80"/>
          <w:sz w:val="28"/>
          <w:szCs w:val="28"/>
        </w:rPr>
        <w:lastRenderedPageBreak/>
        <w:t>HIGHLIGHTS OF DEVELOPMENTS IN</w:t>
      </w:r>
    </w:p>
    <w:p w:rsidR="000F236F" w:rsidRPr="00D0385D" w:rsidRDefault="000F236F" w:rsidP="000E125F">
      <w:pPr>
        <w:jc w:val="center"/>
        <w:rPr>
          <w:rFonts w:ascii="Palatino Linotype" w:hAnsi="Palatino Linotype" w:cs="Calibri"/>
          <w:b/>
          <w:color w:val="1F4E79" w:themeColor="accent1" w:themeShade="80"/>
          <w:sz w:val="28"/>
          <w:szCs w:val="28"/>
        </w:rPr>
      </w:pPr>
      <w:r w:rsidRPr="00D0385D">
        <w:rPr>
          <w:rFonts w:ascii="Palatino Linotype" w:hAnsi="Palatino Linotype" w:cs="Calibri"/>
          <w:b/>
          <w:color w:val="1F4E79" w:themeColor="accent1" w:themeShade="80"/>
          <w:sz w:val="28"/>
          <w:szCs w:val="28"/>
        </w:rPr>
        <w:t>INTERNATIONAL SECURITIES MARKET</w:t>
      </w:r>
    </w:p>
    <w:p w:rsidR="000F236F" w:rsidRDefault="000F236F" w:rsidP="000F236F">
      <w:pPr>
        <w:tabs>
          <w:tab w:val="left" w:pos="8160"/>
        </w:tabs>
        <w:jc w:val="both"/>
        <w:rPr>
          <w:rFonts w:ascii="Palatino Linotype" w:hAnsi="Palatino Linotype"/>
          <w:b/>
          <w:sz w:val="22"/>
          <w:szCs w:val="22"/>
        </w:rPr>
      </w:pPr>
    </w:p>
    <w:p w:rsidR="000F236F" w:rsidRDefault="000F236F" w:rsidP="000F236F">
      <w:pPr>
        <w:pStyle w:val="NormalWeb"/>
        <w:shd w:val="clear" w:color="auto" w:fill="FFFFFF"/>
        <w:spacing w:before="0" w:beforeAutospacing="0" w:after="0" w:afterAutospacing="0"/>
        <w:textAlignment w:val="baseline"/>
        <w:rPr>
          <w:rFonts w:ascii="Palatino Linotype" w:hAnsi="Palatino Linotype" w:cs="Arial"/>
          <w:b/>
          <w:bCs/>
          <w:sz w:val="22"/>
          <w:szCs w:val="22"/>
          <w:bdr w:val="none" w:sz="0" w:space="0" w:color="auto" w:frame="1"/>
        </w:rPr>
      </w:pPr>
    </w:p>
    <w:p w:rsidR="00D428DD" w:rsidRPr="00D428DD" w:rsidRDefault="003B0112" w:rsidP="00D428DD">
      <w:pPr>
        <w:shd w:val="clear" w:color="auto" w:fill="FFFFFF"/>
        <w:spacing w:after="150"/>
        <w:jc w:val="both"/>
        <w:textAlignment w:val="baseline"/>
        <w:outlineLvl w:val="0"/>
        <w:rPr>
          <w:rFonts w:ascii="Garamond" w:hAnsi="Garamond" w:cstheme="minorBidi"/>
          <w:b/>
          <w:bCs/>
          <w:color w:val="000000"/>
          <w:shd w:val="clear" w:color="auto" w:fill="FFFFFF"/>
          <w:lang w:val="en-US"/>
        </w:rPr>
      </w:pPr>
      <w:r>
        <w:rPr>
          <w:rFonts w:ascii="Garamond" w:hAnsi="Garamond" w:cstheme="minorBidi"/>
          <w:b/>
          <w:bCs/>
          <w:color w:val="000000"/>
          <w:shd w:val="clear" w:color="auto" w:fill="FFFFFF"/>
          <w:lang w:val="en-US"/>
        </w:rPr>
        <w:t xml:space="preserve">1. </w:t>
      </w:r>
      <w:r w:rsidR="00D428DD" w:rsidRPr="003B0112">
        <w:rPr>
          <w:rFonts w:ascii="Garamond" w:eastAsia="Calibri" w:hAnsi="Garamond" w:cs="Mangal"/>
          <w:b/>
          <w:bCs/>
          <w:lang w:val="en-US" w:bidi="hi-IN"/>
        </w:rPr>
        <w:t>SEC modernizes filing fee disclosure and payment methods</w:t>
      </w:r>
    </w:p>
    <w:p w:rsidR="00D428DD" w:rsidRPr="00D428DD" w:rsidRDefault="00D428DD" w:rsidP="00D428DD">
      <w:pPr>
        <w:spacing w:after="160" w:line="259" w:lineRule="auto"/>
        <w:jc w:val="both"/>
        <w:rPr>
          <w:rFonts w:ascii="Garamond" w:hAnsi="Garamond" w:cstheme="minorBidi"/>
          <w:color w:val="000000"/>
          <w:shd w:val="clear" w:color="auto" w:fill="FFFFFF"/>
          <w:lang w:val="en-US"/>
        </w:rPr>
      </w:pPr>
      <w:r w:rsidRPr="00D428DD">
        <w:rPr>
          <w:rFonts w:ascii="Garamond" w:hAnsi="Garamond" w:cstheme="minorBidi"/>
          <w:color w:val="000000"/>
          <w:shd w:val="clear" w:color="auto" w:fill="FFFFFF"/>
          <w:lang w:val="en-US"/>
        </w:rPr>
        <w:t>The Securities and Exchange Commission (SEC), USA has adopted amendments to modernize filing fee disclosure and payment methods. The amendments are intended to improve filing fee preparation and payment processing by facilitating both enhanced validation through filing fee structuring and lower-cost, easily routable payments through the Automated Clearing House payment option. </w:t>
      </w:r>
    </w:p>
    <w:p w:rsidR="00D428DD" w:rsidRPr="00D428DD" w:rsidRDefault="00D428DD" w:rsidP="00D428DD">
      <w:pPr>
        <w:spacing w:after="160" w:line="259" w:lineRule="auto"/>
        <w:jc w:val="both"/>
        <w:rPr>
          <w:rFonts w:ascii="Garamond" w:hAnsi="Garamond" w:cstheme="minorBidi"/>
          <w:color w:val="000000"/>
          <w:shd w:val="clear" w:color="auto" w:fill="FFFFFF"/>
          <w:lang w:val="en-US"/>
        </w:rPr>
      </w:pPr>
      <w:r w:rsidRPr="00D428DD">
        <w:rPr>
          <w:rFonts w:ascii="Garamond" w:hAnsi="Garamond" w:cstheme="minorBidi"/>
          <w:color w:val="000000"/>
          <w:shd w:val="clear" w:color="auto" w:fill="FFFFFF"/>
          <w:lang w:val="en-US"/>
        </w:rPr>
        <w:t xml:space="preserve">Source: </w:t>
      </w:r>
      <w:hyperlink r:id="rId36" w:history="1">
        <w:r w:rsidRPr="00D428DD">
          <w:rPr>
            <w:rFonts w:ascii="Garamond" w:hAnsi="Garamond" w:cstheme="minorBidi"/>
            <w:color w:val="0563C1" w:themeColor="hyperlink"/>
            <w:u w:val="single"/>
            <w:shd w:val="clear" w:color="auto" w:fill="FFFFFF"/>
            <w:lang w:val="en-US"/>
          </w:rPr>
          <w:t>https://www.sec.gov/news/press-release/2021-209</w:t>
        </w:r>
      </w:hyperlink>
    </w:p>
    <w:p w:rsidR="00D428DD" w:rsidRPr="00D428DD" w:rsidRDefault="003B0112" w:rsidP="00D428DD">
      <w:pPr>
        <w:shd w:val="clear" w:color="auto" w:fill="FFFFFF"/>
        <w:spacing w:after="150"/>
        <w:jc w:val="both"/>
        <w:textAlignment w:val="baseline"/>
        <w:outlineLvl w:val="0"/>
        <w:rPr>
          <w:rFonts w:ascii="Garamond" w:hAnsi="Garamond" w:cstheme="minorBidi"/>
          <w:b/>
          <w:bCs/>
          <w:color w:val="000000"/>
          <w:shd w:val="clear" w:color="auto" w:fill="FFFFFF"/>
          <w:lang w:val="en-US"/>
        </w:rPr>
      </w:pPr>
      <w:r>
        <w:rPr>
          <w:rFonts w:ascii="Garamond" w:hAnsi="Garamond" w:cstheme="minorBidi"/>
          <w:b/>
          <w:bCs/>
          <w:color w:val="000000"/>
          <w:shd w:val="clear" w:color="auto" w:fill="FFFFFF"/>
          <w:lang w:val="en-US"/>
        </w:rPr>
        <w:t xml:space="preserve">2. </w:t>
      </w:r>
      <w:r w:rsidR="00D428DD" w:rsidRPr="00D428DD">
        <w:rPr>
          <w:rFonts w:ascii="Garamond" w:hAnsi="Garamond" w:cstheme="minorBidi"/>
          <w:b/>
          <w:bCs/>
          <w:color w:val="000000"/>
          <w:shd w:val="clear" w:color="auto" w:fill="FFFFFF"/>
          <w:lang w:val="en-US"/>
        </w:rPr>
        <w:t>SEC staff releases report on equity and options market structure conditions in early 2021</w:t>
      </w:r>
    </w:p>
    <w:p w:rsidR="00D428DD" w:rsidRPr="00D428DD" w:rsidRDefault="00D428DD" w:rsidP="00D428DD">
      <w:pPr>
        <w:shd w:val="clear" w:color="auto" w:fill="FFFFFF"/>
        <w:spacing w:after="150" w:line="259" w:lineRule="auto"/>
        <w:jc w:val="both"/>
        <w:textAlignment w:val="baseline"/>
        <w:rPr>
          <w:rFonts w:ascii="Garamond" w:eastAsia="Times New Roman" w:hAnsi="Garamond"/>
          <w:color w:val="000000"/>
          <w:lang w:val="en-US" w:bidi="hi-IN"/>
        </w:rPr>
      </w:pPr>
      <w:r w:rsidRPr="00D428DD">
        <w:rPr>
          <w:rFonts w:ascii="Garamond" w:hAnsi="Garamond"/>
          <w:color w:val="000000"/>
          <w:shd w:val="clear" w:color="auto" w:fill="FFFFFF"/>
          <w:lang w:val="en-US"/>
        </w:rPr>
        <w:t>The SEC, USA has published a </w:t>
      </w:r>
      <w:r w:rsidR="004A1B8E" w:rsidRPr="004A1B8E">
        <w:rPr>
          <w:rFonts w:ascii="Garamond" w:hAnsi="Garamond"/>
          <w:bdr w:val="none" w:sz="0" w:space="0" w:color="auto" w:frame="1"/>
          <w:shd w:val="clear" w:color="auto" w:fill="FFFFFF"/>
          <w:lang w:val="en-US"/>
        </w:rPr>
        <w:t xml:space="preserve">Staff Report on Equity and Options Market Structure Conditions </w:t>
      </w:r>
      <w:r w:rsidRPr="004A1B8E">
        <w:rPr>
          <w:rFonts w:ascii="Garamond" w:hAnsi="Garamond"/>
          <w:shd w:val="clear" w:color="auto" w:fill="FFFFFF"/>
          <w:lang w:val="en-US"/>
        </w:rPr>
        <w:t>, wh</w:t>
      </w:r>
      <w:r w:rsidRPr="00D428DD">
        <w:rPr>
          <w:rFonts w:ascii="Garamond" w:hAnsi="Garamond"/>
          <w:color w:val="000000"/>
          <w:shd w:val="clear" w:color="auto" w:fill="FFFFFF"/>
          <w:lang w:val="en-US"/>
        </w:rPr>
        <w:t>ich focuses on the January 2021 trading activity of GameStop Corp (GME), the m</w:t>
      </w:r>
      <w:r w:rsidR="00C92252">
        <w:rPr>
          <w:rFonts w:ascii="Garamond" w:hAnsi="Garamond"/>
          <w:color w:val="000000"/>
          <w:shd w:val="clear" w:color="auto" w:fill="FFFFFF"/>
          <w:lang w:val="en-US"/>
        </w:rPr>
        <w:t>ost famous of the ‘meme stocks’.</w:t>
      </w:r>
      <w:r w:rsidRPr="00D428DD">
        <w:rPr>
          <w:rFonts w:ascii="Garamond" w:hAnsi="Garamond"/>
          <w:color w:val="000000"/>
          <w:shd w:val="clear" w:color="auto" w:fill="FFFFFF"/>
          <w:lang w:val="en-US"/>
        </w:rPr>
        <w:t xml:space="preserve"> The staff report also provides an overview of the equity and options market structure for individual investors.</w:t>
      </w:r>
      <w:r w:rsidRPr="00D428DD">
        <w:rPr>
          <w:rFonts w:ascii="Garamond" w:eastAsia="Times New Roman" w:hAnsi="Garamond"/>
          <w:color w:val="000000"/>
          <w:lang w:val="en-US" w:bidi="hi-IN"/>
        </w:rPr>
        <w:t xml:space="preserve"> The Report concludes with the staff identifying areas of market structure and regulatory framework for potential study and additional consideration which include forces that may cause a brokerage to restrict trading; digital engagement practices and payment for order flow; trading in dark pools and wholesalers; and the market dynamics of short selling.</w:t>
      </w:r>
    </w:p>
    <w:p w:rsidR="00D428DD" w:rsidRPr="00D428DD" w:rsidRDefault="00D428DD" w:rsidP="00D428DD">
      <w:pPr>
        <w:spacing w:after="160" w:line="259" w:lineRule="auto"/>
        <w:jc w:val="both"/>
        <w:rPr>
          <w:rFonts w:ascii="Garamond" w:hAnsi="Garamond" w:cstheme="minorBidi"/>
          <w:color w:val="0563C1" w:themeColor="hyperlink"/>
          <w:u w:val="single"/>
          <w:lang w:val="en-US"/>
        </w:rPr>
      </w:pPr>
      <w:r w:rsidRPr="00D428DD">
        <w:rPr>
          <w:rFonts w:ascii="Garamond" w:hAnsi="Garamond" w:cstheme="minorBidi"/>
          <w:lang w:val="en-US"/>
        </w:rPr>
        <w:t xml:space="preserve">Source: </w:t>
      </w:r>
      <w:hyperlink r:id="rId37" w:history="1">
        <w:r w:rsidRPr="00D428DD">
          <w:rPr>
            <w:rFonts w:ascii="Garamond" w:hAnsi="Garamond" w:cstheme="minorBidi"/>
            <w:color w:val="0563C1" w:themeColor="hyperlink"/>
            <w:u w:val="single"/>
            <w:lang w:val="en-US"/>
          </w:rPr>
          <w:t>https://www.sec.gov/news/press-release/2021-212</w:t>
        </w:r>
      </w:hyperlink>
    </w:p>
    <w:p w:rsidR="00D428DD" w:rsidRPr="00D428DD" w:rsidRDefault="003B0112" w:rsidP="00D428DD">
      <w:pPr>
        <w:spacing w:after="160" w:line="259" w:lineRule="auto"/>
        <w:jc w:val="both"/>
        <w:rPr>
          <w:rFonts w:ascii="Garamond" w:hAnsi="Garamond" w:cstheme="minorBidi"/>
          <w:b/>
          <w:bCs/>
          <w:color w:val="3F3F3F"/>
          <w:shd w:val="clear" w:color="auto" w:fill="FFFFFF"/>
          <w:lang w:val="en-US"/>
        </w:rPr>
      </w:pPr>
      <w:r>
        <w:rPr>
          <w:rFonts w:ascii="Garamond" w:hAnsi="Garamond" w:cstheme="minorBidi"/>
          <w:b/>
          <w:bCs/>
          <w:color w:val="3F3F3F"/>
          <w:shd w:val="clear" w:color="auto" w:fill="FFFFFF"/>
          <w:lang w:val="en-US"/>
        </w:rPr>
        <w:t xml:space="preserve">3. </w:t>
      </w:r>
      <w:r w:rsidR="00D428DD" w:rsidRPr="00D428DD">
        <w:rPr>
          <w:rFonts w:ascii="Garamond" w:hAnsi="Garamond" w:cstheme="minorBidi"/>
          <w:b/>
          <w:bCs/>
          <w:color w:val="3F3F3F"/>
          <w:shd w:val="clear" w:color="auto" w:fill="FFFFFF"/>
          <w:lang w:val="en-US"/>
        </w:rPr>
        <w:t>First ever, Bitcoin futures ETF launched at NYSE</w:t>
      </w:r>
    </w:p>
    <w:p w:rsidR="00D428DD" w:rsidRPr="00D428DD" w:rsidRDefault="00D428DD" w:rsidP="00D428DD">
      <w:pPr>
        <w:spacing w:after="160" w:line="259" w:lineRule="auto"/>
        <w:jc w:val="both"/>
        <w:rPr>
          <w:rFonts w:ascii="Garamond" w:hAnsi="Garamond" w:cstheme="minorBidi"/>
          <w:color w:val="3F3F3F"/>
          <w:shd w:val="clear" w:color="auto" w:fill="FFFFFF"/>
          <w:lang w:val="en-US"/>
        </w:rPr>
      </w:pPr>
      <w:r w:rsidRPr="00D428DD">
        <w:rPr>
          <w:rFonts w:ascii="Garamond" w:hAnsi="Garamond" w:cstheme="minorBidi"/>
          <w:color w:val="3F3F3F"/>
          <w:shd w:val="clear" w:color="auto" w:fill="FFFFFF"/>
          <w:lang w:val="en-US"/>
        </w:rPr>
        <w:t>The first bitcoin ETF, commenced trading at NYSE on October 19 pursuant to SEC’s absence of comments on the filing of Bitcoin ETF proposal by ProShares Trust. The ETF tracks prices of Bitcoin futures traded at CME.</w:t>
      </w:r>
    </w:p>
    <w:p w:rsidR="003B0112" w:rsidRDefault="00871DB4" w:rsidP="003B0112">
      <w:pPr>
        <w:spacing w:after="160" w:line="259" w:lineRule="auto"/>
        <w:jc w:val="both"/>
        <w:rPr>
          <w:rFonts w:ascii="Garamond" w:hAnsi="Garamond" w:cstheme="minorBidi"/>
          <w:lang w:val="en-US"/>
        </w:rPr>
      </w:pPr>
      <w:hyperlink r:id="rId38" w:history="1">
        <w:r w:rsidR="00D428DD" w:rsidRPr="00D428DD">
          <w:rPr>
            <w:rFonts w:ascii="Garamond" w:hAnsi="Garamond" w:cstheme="minorBidi"/>
            <w:color w:val="0563C1" w:themeColor="hyperlink"/>
            <w:u w:val="single"/>
            <w:lang w:val="en-US"/>
          </w:rPr>
          <w:t>https://www.sec.gov/Archives/edgar/data/1174610/000168386321006058/0001683863-21-006058-index.htm</w:t>
        </w:r>
      </w:hyperlink>
    </w:p>
    <w:p w:rsidR="00D428DD" w:rsidRPr="003B0112" w:rsidRDefault="003B0112" w:rsidP="003B0112">
      <w:pPr>
        <w:spacing w:after="160" w:line="259" w:lineRule="auto"/>
        <w:jc w:val="both"/>
        <w:rPr>
          <w:rFonts w:ascii="Garamond" w:hAnsi="Garamond" w:cstheme="minorBidi"/>
          <w:lang w:val="en-US"/>
        </w:rPr>
      </w:pPr>
      <w:r>
        <w:rPr>
          <w:rFonts w:ascii="Garamond" w:hAnsi="Garamond" w:cstheme="minorBidi"/>
          <w:b/>
          <w:bCs/>
          <w:color w:val="3F3F3F"/>
          <w:shd w:val="clear" w:color="auto" w:fill="FFFFFF"/>
        </w:rPr>
        <w:t xml:space="preserve">4. </w:t>
      </w:r>
      <w:r w:rsidR="00D428DD" w:rsidRPr="003B0112">
        <w:rPr>
          <w:rFonts w:ascii="Garamond" w:hAnsi="Garamond" w:cstheme="minorBidi"/>
          <w:b/>
          <w:bCs/>
          <w:color w:val="3F3F3F"/>
          <w:shd w:val="clear" w:color="auto" w:fill="FFFFFF"/>
        </w:rPr>
        <w:t>FCA finalises rules on Long term Asset fund regime</w:t>
      </w:r>
    </w:p>
    <w:p w:rsidR="00D428DD" w:rsidRPr="00D428DD" w:rsidRDefault="00D428DD" w:rsidP="00D428DD">
      <w:pPr>
        <w:spacing w:after="160" w:line="259" w:lineRule="auto"/>
        <w:jc w:val="both"/>
        <w:rPr>
          <w:rFonts w:ascii="Garamond" w:hAnsi="Garamond" w:cstheme="minorBidi"/>
          <w:shd w:val="clear" w:color="auto" w:fill="FFFFFF"/>
          <w:lang w:val="en-US"/>
        </w:rPr>
      </w:pPr>
      <w:r w:rsidRPr="00D428DD">
        <w:rPr>
          <w:rFonts w:ascii="Garamond" w:hAnsi="Garamond" w:cstheme="minorBidi"/>
          <w:shd w:val="clear" w:color="auto" w:fill="FFFFFF"/>
          <w:lang w:val="en-US"/>
        </w:rPr>
        <w:t>The FCA has finalized rules to create a Long-Term Asset Fund (LTAF) regime, a new FCA regulated fund that is designed specifically to help investment in assets including venture capital, private equity, private debt, real estate and infrastructure. Currently, some investors are unable, or unwilling, to invest in long-term assets, even though these assets could meet their investment goals. Sophisticated investors and pension funds are among those who will have access to LTAF.</w:t>
      </w:r>
    </w:p>
    <w:p w:rsidR="003B0112" w:rsidRDefault="00D428DD" w:rsidP="003B0112">
      <w:pPr>
        <w:spacing w:after="160" w:line="259" w:lineRule="auto"/>
        <w:jc w:val="both"/>
        <w:rPr>
          <w:rFonts w:ascii="Garamond" w:hAnsi="Garamond" w:cstheme="minorBidi"/>
          <w:color w:val="0563C1" w:themeColor="hyperlink"/>
          <w:u w:val="single"/>
          <w:shd w:val="clear" w:color="auto" w:fill="FFFFFF"/>
          <w:lang w:val="en-US"/>
        </w:rPr>
      </w:pPr>
      <w:r w:rsidRPr="00D428DD">
        <w:rPr>
          <w:rFonts w:ascii="Garamond" w:hAnsi="Garamond" w:cstheme="minorBidi"/>
          <w:color w:val="000000"/>
          <w:shd w:val="clear" w:color="auto" w:fill="FFFFFF"/>
          <w:lang w:val="en-US"/>
        </w:rPr>
        <w:t xml:space="preserve">Source: </w:t>
      </w:r>
      <w:hyperlink r:id="rId39" w:history="1">
        <w:r w:rsidRPr="00D428DD">
          <w:rPr>
            <w:rFonts w:ascii="Garamond" w:hAnsi="Garamond" w:cstheme="minorBidi"/>
            <w:color w:val="0563C1" w:themeColor="hyperlink"/>
            <w:u w:val="single"/>
            <w:shd w:val="clear" w:color="auto" w:fill="FFFFFF"/>
            <w:lang w:val="en-US"/>
          </w:rPr>
          <w:t>https://www.fca.org.uk/news/press-releases/fca-finalises-rules-new-type-fund-designed-invest-efficiently-long-term-assets</w:t>
        </w:r>
      </w:hyperlink>
    </w:p>
    <w:p w:rsidR="00B636BE" w:rsidRDefault="00B636BE" w:rsidP="003B0112">
      <w:pPr>
        <w:spacing w:after="160" w:line="259" w:lineRule="auto"/>
        <w:jc w:val="both"/>
        <w:rPr>
          <w:rFonts w:ascii="Garamond" w:hAnsi="Garamond" w:cstheme="minorBidi"/>
          <w:color w:val="0563C1" w:themeColor="hyperlink"/>
          <w:u w:val="single"/>
          <w:shd w:val="clear" w:color="auto" w:fill="FFFFFF"/>
          <w:lang w:val="en-US"/>
        </w:rPr>
      </w:pPr>
    </w:p>
    <w:p w:rsidR="00B636BE" w:rsidRDefault="00B636BE" w:rsidP="003B0112">
      <w:pPr>
        <w:spacing w:after="160" w:line="259" w:lineRule="auto"/>
        <w:jc w:val="both"/>
        <w:rPr>
          <w:rFonts w:ascii="Garamond" w:hAnsi="Garamond" w:cstheme="minorBidi"/>
          <w:color w:val="0563C1" w:themeColor="hyperlink"/>
          <w:u w:val="single"/>
          <w:shd w:val="clear" w:color="auto" w:fill="FFFFFF"/>
          <w:lang w:val="en-US"/>
        </w:rPr>
      </w:pPr>
    </w:p>
    <w:p w:rsidR="00B636BE" w:rsidRDefault="00B636BE" w:rsidP="003B0112">
      <w:pPr>
        <w:spacing w:after="160" w:line="259" w:lineRule="auto"/>
        <w:jc w:val="both"/>
        <w:rPr>
          <w:rFonts w:ascii="Garamond" w:hAnsi="Garamond" w:cstheme="minorBidi"/>
          <w:color w:val="0563C1" w:themeColor="hyperlink"/>
          <w:u w:val="single"/>
          <w:shd w:val="clear" w:color="auto" w:fill="FFFFFF"/>
          <w:lang w:val="en-US"/>
        </w:rPr>
      </w:pPr>
    </w:p>
    <w:p w:rsidR="00B636BE" w:rsidRDefault="00B636BE" w:rsidP="003B0112">
      <w:pPr>
        <w:spacing w:after="160" w:line="259" w:lineRule="auto"/>
        <w:jc w:val="both"/>
        <w:rPr>
          <w:rFonts w:ascii="Garamond" w:hAnsi="Garamond" w:cstheme="minorBidi"/>
          <w:color w:val="000000"/>
          <w:shd w:val="clear" w:color="auto" w:fill="FFFFFF"/>
          <w:lang w:val="en-US"/>
        </w:rPr>
      </w:pPr>
    </w:p>
    <w:p w:rsidR="00D428DD" w:rsidRPr="003B0112" w:rsidRDefault="003B0112" w:rsidP="003B0112">
      <w:pPr>
        <w:spacing w:after="160" w:line="259" w:lineRule="auto"/>
        <w:jc w:val="both"/>
        <w:rPr>
          <w:rFonts w:ascii="Garamond" w:hAnsi="Garamond" w:cstheme="minorBidi"/>
          <w:color w:val="000000"/>
          <w:shd w:val="clear" w:color="auto" w:fill="FFFFFF"/>
          <w:lang w:val="en-US"/>
        </w:rPr>
      </w:pPr>
      <w:r>
        <w:rPr>
          <w:rFonts w:ascii="Garamond" w:eastAsia="Times New Roman" w:hAnsi="Garamond"/>
          <w:b/>
          <w:bCs/>
          <w:color w:val="3F3F3F"/>
          <w:kern w:val="36"/>
          <w:lang w:bidi="hi-IN"/>
        </w:rPr>
        <w:lastRenderedPageBreak/>
        <w:t xml:space="preserve">5. </w:t>
      </w:r>
      <w:r w:rsidR="00D428DD" w:rsidRPr="003B0112">
        <w:rPr>
          <w:rFonts w:ascii="Garamond" w:eastAsia="Times New Roman" w:hAnsi="Garamond"/>
          <w:b/>
          <w:bCs/>
          <w:color w:val="3F3F3F"/>
          <w:kern w:val="36"/>
          <w:lang w:bidi="hi-IN"/>
        </w:rPr>
        <w:t xml:space="preserve">FCA launches its new InvestSmart campaign </w:t>
      </w:r>
    </w:p>
    <w:p w:rsidR="00D428DD" w:rsidRPr="00D428DD" w:rsidRDefault="00D428DD" w:rsidP="00D428DD">
      <w:pPr>
        <w:spacing w:after="160" w:line="259" w:lineRule="auto"/>
        <w:jc w:val="both"/>
        <w:rPr>
          <w:rFonts w:ascii="Garamond" w:hAnsi="Garamond" w:cstheme="minorBidi"/>
          <w:shd w:val="clear" w:color="auto" w:fill="FFFFFF"/>
          <w:lang w:val="en-US"/>
        </w:rPr>
      </w:pPr>
      <w:r w:rsidRPr="00D428DD">
        <w:rPr>
          <w:rFonts w:ascii="Garamond" w:hAnsi="Garamond" w:cstheme="minorBidi"/>
          <w:shd w:val="clear" w:color="auto" w:fill="FFFFFF"/>
          <w:lang w:val="en-US"/>
        </w:rPr>
        <w:t>FCA has launched its £11m 5-year campaign, Investsmart campaign to help consumers to make better informed investment decisions. New research from the FCA has found that many young investors are driven by competition and influenced by hype. The campaign aims to reach inexperienced investors through social media and online, where much of the hype around investment happens.</w:t>
      </w:r>
    </w:p>
    <w:p w:rsidR="00D428DD" w:rsidRPr="00D428DD" w:rsidRDefault="00D428DD" w:rsidP="00D428DD">
      <w:pPr>
        <w:spacing w:after="160" w:line="259" w:lineRule="auto"/>
        <w:jc w:val="both"/>
        <w:rPr>
          <w:rFonts w:ascii="Garamond" w:hAnsi="Garamond" w:cstheme="minorBidi"/>
          <w:lang w:val="en-US"/>
        </w:rPr>
      </w:pPr>
      <w:r w:rsidRPr="00D428DD">
        <w:rPr>
          <w:rFonts w:ascii="Garamond" w:hAnsi="Garamond" w:cstheme="minorBidi"/>
          <w:lang w:val="en-US"/>
        </w:rPr>
        <w:t xml:space="preserve">Source: </w:t>
      </w:r>
      <w:hyperlink r:id="rId40" w:history="1">
        <w:r w:rsidRPr="00D428DD">
          <w:rPr>
            <w:rFonts w:ascii="Garamond" w:hAnsi="Garamond" w:cstheme="minorBidi"/>
            <w:color w:val="0563C1" w:themeColor="hyperlink"/>
            <w:u w:val="single"/>
            <w:lang w:val="en-US"/>
          </w:rPr>
          <w:t>https://www.fca.org.uk/news/press-releases/young-investors-driven-competition-hype</w:t>
        </w:r>
      </w:hyperlink>
    </w:p>
    <w:p w:rsidR="00D428DD" w:rsidRPr="003B0112" w:rsidRDefault="003B0112" w:rsidP="003B0112">
      <w:pPr>
        <w:spacing w:after="160" w:line="259" w:lineRule="auto"/>
        <w:jc w:val="both"/>
        <w:rPr>
          <w:rFonts w:ascii="Garamond" w:hAnsi="Garamond" w:cstheme="minorBidi"/>
          <w:b/>
          <w:bCs/>
          <w:color w:val="3F3F3F"/>
          <w:shd w:val="clear" w:color="auto" w:fill="FFFFFF"/>
        </w:rPr>
      </w:pPr>
      <w:r>
        <w:rPr>
          <w:rFonts w:ascii="Garamond" w:hAnsi="Garamond" w:cstheme="minorBidi"/>
          <w:b/>
          <w:bCs/>
          <w:color w:val="3F3F3F"/>
          <w:shd w:val="clear" w:color="auto" w:fill="FFFFFF"/>
        </w:rPr>
        <w:t xml:space="preserve">6. </w:t>
      </w:r>
      <w:r w:rsidR="00D428DD" w:rsidRPr="003B0112">
        <w:rPr>
          <w:rFonts w:ascii="Garamond" w:hAnsi="Garamond" w:cstheme="minorBidi"/>
          <w:b/>
          <w:bCs/>
          <w:color w:val="3F3F3F"/>
          <w:shd w:val="clear" w:color="auto" w:fill="FFFFFF"/>
        </w:rPr>
        <w:t xml:space="preserve">IOSCO World Investor Week </w:t>
      </w:r>
    </w:p>
    <w:p w:rsidR="00D428DD" w:rsidRPr="00D428DD" w:rsidRDefault="00D428DD" w:rsidP="00D428DD">
      <w:pPr>
        <w:spacing w:after="160" w:line="259" w:lineRule="auto"/>
        <w:jc w:val="both"/>
        <w:rPr>
          <w:rFonts w:ascii="Garamond" w:hAnsi="Garamond" w:cstheme="minorBidi"/>
          <w:color w:val="3F3F3F"/>
          <w:shd w:val="clear" w:color="auto" w:fill="FFFFFF"/>
          <w:lang w:val="en-US"/>
        </w:rPr>
      </w:pPr>
      <w:r w:rsidRPr="00D428DD">
        <w:rPr>
          <w:rFonts w:ascii="Garamond" w:hAnsi="Garamond" w:cstheme="minorBidi"/>
          <w:color w:val="3F3F3F"/>
          <w:shd w:val="clear" w:color="auto" w:fill="FFFFFF"/>
          <w:lang w:val="en-US"/>
        </w:rPr>
        <w:t>IOSCO concluded the fifth World Investor Week (WIW) on 10 October, with a strong and enthusiastic participation of supporters around the globe. Key messages of the IOSCO WIW campaign focused on two themes: 1) sustainable finance, and 2) frauds and scams prevention.</w:t>
      </w:r>
    </w:p>
    <w:p w:rsidR="00D428DD" w:rsidRPr="00D428DD" w:rsidRDefault="00D428DD" w:rsidP="00D428DD">
      <w:pPr>
        <w:spacing w:after="160" w:line="259" w:lineRule="auto"/>
        <w:jc w:val="both"/>
        <w:rPr>
          <w:rFonts w:ascii="Garamond" w:hAnsi="Garamond" w:cstheme="minorBidi"/>
          <w:color w:val="3F3F3F"/>
          <w:shd w:val="clear" w:color="auto" w:fill="FFFFFF"/>
          <w:lang w:val="en-US"/>
        </w:rPr>
      </w:pPr>
      <w:r w:rsidRPr="00D428DD">
        <w:rPr>
          <w:rFonts w:ascii="Garamond" w:hAnsi="Garamond" w:cstheme="minorBidi"/>
          <w:color w:val="3F3F3F"/>
          <w:shd w:val="clear" w:color="auto" w:fill="FFFFFF"/>
          <w:lang w:val="en-US"/>
        </w:rPr>
        <w:t xml:space="preserve">Source : </w:t>
      </w:r>
      <w:hyperlink r:id="rId41" w:history="1">
        <w:r w:rsidRPr="00D428DD">
          <w:rPr>
            <w:rFonts w:ascii="Garamond" w:hAnsi="Garamond" w:cstheme="minorBidi"/>
            <w:color w:val="0563C1" w:themeColor="hyperlink"/>
            <w:u w:val="single"/>
            <w:shd w:val="clear" w:color="auto" w:fill="FFFFFF"/>
            <w:lang w:val="en-US"/>
          </w:rPr>
          <w:t>https://www.iosco.org/news/pdf/IOSCONEWS620.pdf</w:t>
        </w:r>
      </w:hyperlink>
    </w:p>
    <w:p w:rsidR="00D428DD" w:rsidRPr="003B0112" w:rsidRDefault="003B0112" w:rsidP="003B0112">
      <w:pPr>
        <w:spacing w:after="160" w:line="259" w:lineRule="auto"/>
        <w:jc w:val="both"/>
        <w:rPr>
          <w:rFonts w:ascii="Garamond" w:hAnsi="Garamond" w:cstheme="minorBidi"/>
          <w:b/>
          <w:bCs/>
          <w:color w:val="3F3F3F"/>
          <w:shd w:val="clear" w:color="auto" w:fill="FFFFFF"/>
        </w:rPr>
      </w:pPr>
      <w:r>
        <w:rPr>
          <w:rFonts w:ascii="Garamond" w:hAnsi="Garamond" w:cstheme="minorBidi"/>
          <w:b/>
          <w:bCs/>
          <w:color w:val="3F3F3F"/>
          <w:shd w:val="clear" w:color="auto" w:fill="FFFFFF"/>
        </w:rPr>
        <w:t xml:space="preserve">7. </w:t>
      </w:r>
      <w:r w:rsidR="00D428DD" w:rsidRPr="003B0112">
        <w:rPr>
          <w:rFonts w:ascii="Garamond" w:hAnsi="Garamond" w:cstheme="minorBidi"/>
          <w:b/>
          <w:bCs/>
          <w:color w:val="3F3F3F"/>
          <w:shd w:val="clear" w:color="auto" w:fill="FFFFFF"/>
        </w:rPr>
        <w:t>IOSCO updates its outsourcing principles to ensure operational resilience</w:t>
      </w:r>
    </w:p>
    <w:p w:rsidR="00D428DD" w:rsidRPr="00D428DD" w:rsidRDefault="00D428DD" w:rsidP="00D428DD">
      <w:pPr>
        <w:spacing w:after="160" w:line="259" w:lineRule="auto"/>
        <w:jc w:val="both"/>
        <w:rPr>
          <w:rFonts w:ascii="Garamond" w:hAnsi="Garamond" w:cstheme="minorBidi"/>
          <w:color w:val="3F3F3F"/>
          <w:shd w:val="clear" w:color="auto" w:fill="FFFFFF"/>
          <w:lang w:val="en-US"/>
        </w:rPr>
      </w:pPr>
      <w:r w:rsidRPr="00D428DD">
        <w:rPr>
          <w:rFonts w:ascii="Garamond" w:hAnsi="Garamond" w:cstheme="minorBidi"/>
          <w:color w:val="3F3F3F"/>
          <w:shd w:val="clear" w:color="auto" w:fill="FFFFFF"/>
          <w:lang w:val="en-US"/>
        </w:rPr>
        <w:t>IOSCO published a set of updated outsourcing principles for regulated entities that outsource tasks to service providers. Application of principles has been expanded and now includes trading venues, intermediaries, market participants acting on a proprietary basis and credit rating agencies. While financial market infrastructures (FMIs) are outside the scope of the Principles, FMIs may consider applying the Principle.</w:t>
      </w:r>
    </w:p>
    <w:p w:rsidR="00D428DD" w:rsidRPr="00D428DD" w:rsidRDefault="00871DB4" w:rsidP="00D428DD">
      <w:pPr>
        <w:spacing w:after="160" w:line="259" w:lineRule="auto"/>
        <w:jc w:val="both"/>
        <w:rPr>
          <w:rFonts w:ascii="Garamond" w:hAnsi="Garamond" w:cstheme="minorBidi"/>
          <w:lang w:val="en-US"/>
        </w:rPr>
      </w:pPr>
      <w:hyperlink r:id="rId42" w:history="1">
        <w:r w:rsidR="00D428DD" w:rsidRPr="00D428DD">
          <w:rPr>
            <w:rFonts w:ascii="Garamond" w:hAnsi="Garamond" w:cstheme="minorBidi"/>
            <w:color w:val="0563C1" w:themeColor="hyperlink"/>
            <w:u w:val="single"/>
            <w:lang w:val="en-US"/>
          </w:rPr>
          <w:t>https://www.iosco.org/news/pdf/IOSCONEWS622.pdf</w:t>
        </w:r>
      </w:hyperlink>
    </w:p>
    <w:p w:rsidR="00D428DD" w:rsidRPr="003B0112" w:rsidRDefault="003B0112" w:rsidP="003B0112">
      <w:pPr>
        <w:spacing w:after="160" w:line="259" w:lineRule="auto"/>
        <w:jc w:val="both"/>
        <w:rPr>
          <w:rFonts w:ascii="Garamond" w:hAnsi="Garamond" w:cstheme="minorBidi"/>
          <w:b/>
          <w:bCs/>
          <w:color w:val="3F3F3F"/>
          <w:shd w:val="clear" w:color="auto" w:fill="FFFFFF"/>
        </w:rPr>
      </w:pPr>
      <w:r>
        <w:rPr>
          <w:rFonts w:ascii="Garamond" w:hAnsi="Garamond" w:cstheme="minorBidi"/>
          <w:b/>
          <w:bCs/>
          <w:color w:val="3F3F3F"/>
          <w:shd w:val="clear" w:color="auto" w:fill="FFFFFF"/>
        </w:rPr>
        <w:t xml:space="preserve">8. </w:t>
      </w:r>
      <w:r w:rsidR="00D428DD" w:rsidRPr="003B0112">
        <w:rPr>
          <w:rFonts w:ascii="Garamond" w:hAnsi="Garamond" w:cstheme="minorBidi"/>
          <w:b/>
          <w:bCs/>
          <w:color w:val="3F3F3F"/>
          <w:shd w:val="clear" w:color="auto" w:fill="FFFFFF"/>
        </w:rPr>
        <w:t>FSB publishes final report with policy proposals to enhance money market fund resilience</w:t>
      </w:r>
    </w:p>
    <w:p w:rsidR="00D428DD" w:rsidRPr="00D428DD" w:rsidRDefault="00D428DD" w:rsidP="00D428DD">
      <w:pPr>
        <w:spacing w:after="160" w:line="259" w:lineRule="auto"/>
        <w:jc w:val="both"/>
        <w:rPr>
          <w:rFonts w:ascii="Garamond" w:hAnsi="Garamond" w:cstheme="minorBidi"/>
          <w:color w:val="3F3F3F"/>
          <w:shd w:val="clear" w:color="auto" w:fill="FFFFFF"/>
          <w:lang w:val="en-US"/>
        </w:rPr>
      </w:pPr>
      <w:r w:rsidRPr="00D428DD">
        <w:rPr>
          <w:rFonts w:ascii="Garamond" w:hAnsi="Garamond" w:cstheme="minorBidi"/>
          <w:color w:val="3F3F3F"/>
          <w:shd w:val="clear" w:color="auto" w:fill="FFFFFF"/>
          <w:lang w:val="en-US"/>
        </w:rPr>
        <w:t>The Financial Stability Board (FSB) published its </w:t>
      </w:r>
      <w:hyperlink r:id="rId43" w:history="1">
        <w:r w:rsidRPr="00D428DD">
          <w:rPr>
            <w:rFonts w:ascii="Garamond" w:hAnsi="Garamond" w:cstheme="minorBidi"/>
            <w:color w:val="3F3F3F"/>
            <w:lang w:val="en-US"/>
          </w:rPr>
          <w:t>final report with policy proposals to enhance money market fund resilience</w:t>
        </w:r>
      </w:hyperlink>
      <w:r w:rsidRPr="00D428DD">
        <w:rPr>
          <w:rFonts w:ascii="Garamond" w:hAnsi="Garamond" w:cstheme="minorBidi"/>
          <w:color w:val="3F3F3F"/>
          <w:shd w:val="clear" w:color="auto" w:fill="FFFFFF"/>
          <w:lang w:val="en-US"/>
        </w:rPr>
        <w:t>. The policy toolkit includes mechanisms to: impose on redeeming fund investors the cost of their redemptions; absorb credit losses; address regulatory thresholds that may give rise to cliff effects; and reduce liquidity transformation. The report includes considerations on how authorities can prioritise and combine these options.</w:t>
      </w:r>
    </w:p>
    <w:p w:rsidR="00D428DD" w:rsidRPr="00D428DD" w:rsidRDefault="00D428DD" w:rsidP="00D428DD">
      <w:pPr>
        <w:spacing w:after="160" w:line="259" w:lineRule="auto"/>
        <w:jc w:val="both"/>
        <w:rPr>
          <w:rFonts w:ascii="Garamond" w:hAnsi="Garamond" w:cstheme="minorBidi"/>
          <w:lang w:val="en-US"/>
        </w:rPr>
      </w:pPr>
      <w:r w:rsidRPr="00D428DD">
        <w:rPr>
          <w:rFonts w:ascii="Garamond" w:hAnsi="Garamond" w:cstheme="minorBidi"/>
          <w:lang w:val="en-US"/>
        </w:rPr>
        <w:t xml:space="preserve">Source: </w:t>
      </w:r>
      <w:hyperlink r:id="rId44" w:history="1">
        <w:r w:rsidRPr="00D428DD">
          <w:rPr>
            <w:rFonts w:ascii="Garamond" w:hAnsi="Garamond" w:cstheme="minorBidi"/>
            <w:color w:val="0563C1" w:themeColor="hyperlink"/>
            <w:u w:val="single"/>
            <w:lang w:val="en-US"/>
          </w:rPr>
          <w:t>https://www.fsb.org/2021/10/fsb-publishes-final-report-with-policy-proposals-to-enhance-money-market-fund-resilience/</w:t>
        </w:r>
      </w:hyperlink>
    </w:p>
    <w:p w:rsidR="00D428DD" w:rsidRPr="00D428DD" w:rsidRDefault="00D428DD" w:rsidP="00D428DD">
      <w:pPr>
        <w:spacing w:after="160" w:line="259" w:lineRule="auto"/>
        <w:jc w:val="both"/>
        <w:rPr>
          <w:rFonts w:ascii="Garamond" w:hAnsi="Garamond" w:cstheme="minorBidi"/>
          <w:lang w:val="en-US"/>
        </w:rPr>
      </w:pPr>
    </w:p>
    <w:p w:rsidR="00EA32C3" w:rsidRDefault="00EA32C3" w:rsidP="00013BA3">
      <w:pPr>
        <w:jc w:val="both"/>
        <w:rPr>
          <w:rFonts w:ascii="Palatino Linotype" w:hAnsi="Palatino Linotype"/>
          <w:b/>
          <w:bCs/>
          <w:lang w:val="en-US" w:bidi="hi-IN"/>
        </w:rPr>
      </w:pPr>
    </w:p>
    <w:p w:rsidR="00EA32C3" w:rsidRDefault="00EA32C3" w:rsidP="00013BA3">
      <w:pPr>
        <w:jc w:val="both"/>
        <w:rPr>
          <w:rFonts w:ascii="Palatino Linotype" w:hAnsi="Palatino Linotype"/>
          <w:b/>
          <w:bCs/>
          <w:lang w:val="en-US" w:bidi="hi-IN"/>
        </w:rPr>
      </w:pPr>
    </w:p>
    <w:p w:rsidR="00EA32C3" w:rsidRDefault="00EA32C3" w:rsidP="00013BA3">
      <w:pPr>
        <w:jc w:val="both"/>
        <w:rPr>
          <w:rFonts w:ascii="Palatino Linotype" w:hAnsi="Palatino Linotype"/>
          <w:b/>
          <w:bCs/>
          <w:lang w:val="en-US" w:bidi="hi-IN"/>
        </w:rPr>
      </w:pPr>
    </w:p>
    <w:p w:rsidR="00461079" w:rsidRDefault="00461079" w:rsidP="00013BA3">
      <w:pPr>
        <w:jc w:val="both"/>
        <w:rPr>
          <w:rFonts w:ascii="Palatino Linotype" w:hAnsi="Palatino Linotype"/>
          <w:b/>
          <w:bCs/>
          <w:lang w:val="en-US" w:bidi="hi-IN"/>
        </w:rPr>
      </w:pPr>
    </w:p>
    <w:p w:rsidR="00461079" w:rsidRDefault="00461079" w:rsidP="00013BA3">
      <w:pPr>
        <w:jc w:val="both"/>
        <w:rPr>
          <w:rFonts w:ascii="Palatino Linotype" w:hAnsi="Palatino Linotype"/>
          <w:b/>
          <w:bCs/>
          <w:lang w:val="en-US" w:bidi="hi-IN"/>
        </w:rPr>
      </w:pPr>
    </w:p>
    <w:p w:rsidR="00461079" w:rsidRDefault="00461079" w:rsidP="00013BA3">
      <w:pPr>
        <w:jc w:val="both"/>
        <w:rPr>
          <w:rFonts w:ascii="Palatino Linotype" w:hAnsi="Palatino Linotype"/>
          <w:b/>
          <w:bCs/>
          <w:lang w:val="en-US" w:bidi="hi-IN"/>
        </w:rPr>
      </w:pPr>
    </w:p>
    <w:p w:rsidR="00461079" w:rsidRDefault="00461079" w:rsidP="00013BA3">
      <w:pPr>
        <w:jc w:val="both"/>
        <w:rPr>
          <w:rFonts w:ascii="Palatino Linotype" w:hAnsi="Palatino Linotype"/>
          <w:b/>
          <w:bCs/>
          <w:lang w:val="en-US" w:bidi="hi-IN"/>
        </w:rPr>
      </w:pPr>
    </w:p>
    <w:p w:rsidR="00461079" w:rsidRDefault="00461079" w:rsidP="00013BA3">
      <w:pPr>
        <w:jc w:val="both"/>
        <w:rPr>
          <w:rFonts w:ascii="Palatino Linotype" w:hAnsi="Palatino Linotype"/>
          <w:b/>
          <w:bCs/>
          <w:lang w:val="en-US" w:bidi="hi-IN"/>
        </w:rPr>
      </w:pPr>
    </w:p>
    <w:p w:rsidR="00461079" w:rsidRDefault="00461079" w:rsidP="00013BA3">
      <w:pPr>
        <w:jc w:val="both"/>
        <w:rPr>
          <w:rFonts w:ascii="Palatino Linotype" w:hAnsi="Palatino Linotype"/>
          <w:b/>
          <w:bCs/>
          <w:lang w:val="en-US" w:bidi="hi-IN"/>
        </w:rPr>
      </w:pPr>
    </w:p>
    <w:p w:rsidR="00B636BE" w:rsidRDefault="00B636BE" w:rsidP="00C92252">
      <w:pPr>
        <w:jc w:val="center"/>
        <w:rPr>
          <w:rFonts w:ascii="Palatino Linotype" w:hAnsi="Palatino Linotype" w:cs="Calibri"/>
          <w:b/>
          <w:sz w:val="28"/>
          <w:szCs w:val="28"/>
        </w:rPr>
      </w:pPr>
    </w:p>
    <w:p w:rsidR="00272724" w:rsidRPr="00C4512E" w:rsidRDefault="00272724" w:rsidP="00C92252">
      <w:pPr>
        <w:jc w:val="center"/>
        <w:rPr>
          <w:rFonts w:ascii="Garamond" w:hAnsi="Garamond" w:cs="Calibri"/>
          <w:b/>
          <w:color w:val="1F4E79" w:themeColor="accent1" w:themeShade="80"/>
          <w:sz w:val="28"/>
          <w:szCs w:val="28"/>
        </w:rPr>
      </w:pPr>
      <w:r w:rsidRPr="00C4512E">
        <w:rPr>
          <w:rFonts w:ascii="Garamond" w:hAnsi="Garamond" w:cs="Calibri"/>
          <w:b/>
          <w:color w:val="1F4E79" w:themeColor="accent1" w:themeShade="80"/>
          <w:sz w:val="28"/>
          <w:szCs w:val="28"/>
        </w:rPr>
        <w:lastRenderedPageBreak/>
        <w:t xml:space="preserve">POLICY DEVELOPMENTS </w:t>
      </w:r>
      <w:r w:rsidR="00B522A6" w:rsidRPr="00C4512E">
        <w:rPr>
          <w:rFonts w:ascii="Garamond" w:hAnsi="Garamond" w:cs="Calibri"/>
          <w:b/>
          <w:color w:val="1F4E79" w:themeColor="accent1" w:themeShade="80"/>
          <w:sz w:val="28"/>
          <w:szCs w:val="28"/>
        </w:rPr>
        <w:t>IN INDIAN SECURITIES MARKET</w:t>
      </w:r>
    </w:p>
    <w:p w:rsidR="00272724" w:rsidRPr="00836FD4" w:rsidRDefault="00272724" w:rsidP="00901509">
      <w:pPr>
        <w:shd w:val="clear" w:color="auto" w:fill="FFFFFF"/>
        <w:spacing w:line="276" w:lineRule="auto"/>
        <w:jc w:val="both"/>
        <w:rPr>
          <w:rFonts w:ascii="Garamond" w:hAnsi="Garamond"/>
          <w:color w:val="000000"/>
        </w:rPr>
      </w:pPr>
    </w:p>
    <w:p w:rsidR="00796C73" w:rsidRPr="003B0112" w:rsidRDefault="00796C73" w:rsidP="00456F4D">
      <w:pPr>
        <w:pStyle w:val="ListParagraph"/>
        <w:numPr>
          <w:ilvl w:val="0"/>
          <w:numId w:val="14"/>
        </w:numPr>
        <w:spacing w:after="120"/>
        <w:jc w:val="both"/>
        <w:rPr>
          <w:rFonts w:ascii="Garamond" w:hAnsi="Garamond" w:cs="Mangal"/>
          <w:b/>
          <w:bCs/>
          <w:sz w:val="24"/>
          <w:szCs w:val="24"/>
          <w:lang w:bidi="hi-IN"/>
        </w:rPr>
      </w:pPr>
      <w:r w:rsidRPr="003B0112">
        <w:rPr>
          <w:rFonts w:ascii="Garamond" w:hAnsi="Garamond" w:cs="Mangal"/>
          <w:b/>
          <w:bCs/>
          <w:sz w:val="24"/>
          <w:szCs w:val="24"/>
          <w:lang w:bidi="hi-IN"/>
        </w:rPr>
        <w:t>Relaxations relating to procedural matters –Issues and Listing</w:t>
      </w:r>
    </w:p>
    <w:p w:rsidR="00796C73" w:rsidRPr="00796C73" w:rsidRDefault="00C92252" w:rsidP="00901509">
      <w:pPr>
        <w:spacing w:after="120"/>
        <w:jc w:val="both"/>
        <w:rPr>
          <w:rFonts w:ascii="Garamond" w:eastAsia="Calibri" w:hAnsi="Garamond" w:cs="Mangal"/>
          <w:lang w:bidi="hi-IN"/>
        </w:rPr>
      </w:pPr>
      <w:r>
        <w:rPr>
          <w:rFonts w:ascii="Garamond" w:eastAsia="Calibri" w:hAnsi="Garamond" w:cs="Mangal"/>
          <w:lang w:bidi="hi-IN"/>
        </w:rPr>
        <w:t>The</w:t>
      </w:r>
      <w:r w:rsidR="00796C73" w:rsidRPr="00796C73">
        <w:rPr>
          <w:rFonts w:ascii="Garamond" w:eastAsia="Calibri" w:hAnsi="Garamond" w:cs="Mangal"/>
          <w:lang w:bidi="hi-IN"/>
        </w:rPr>
        <w:t xml:space="preserve"> validity of relaxations from strict enforcement of certain regulations of SEBI (ICDR) Regulations, 2</w:t>
      </w:r>
      <w:r>
        <w:rPr>
          <w:rFonts w:ascii="Garamond" w:eastAsia="Calibri" w:hAnsi="Garamond" w:cs="Mangal"/>
          <w:lang w:bidi="hi-IN"/>
        </w:rPr>
        <w:t xml:space="preserve">018, pertaining to rights issues </w:t>
      </w:r>
      <w:r w:rsidR="00796C73" w:rsidRPr="00796C73">
        <w:rPr>
          <w:rFonts w:ascii="Garamond" w:eastAsia="Calibri" w:hAnsi="Garamond" w:cs="Mangal"/>
          <w:lang w:bidi="hi-IN"/>
        </w:rPr>
        <w:t>was extended for all  rights issues opening up to March 31,2022. In addition, the issuer company shall conduct a vulnerability test for optional mechanism (non</w:t>
      </w:r>
      <w:r>
        <w:rPr>
          <w:rFonts w:ascii="Garamond" w:eastAsia="Calibri" w:hAnsi="Garamond" w:cs="Mangal"/>
          <w:lang w:bidi="hi-IN"/>
        </w:rPr>
        <w:t>-</w:t>
      </w:r>
      <w:r w:rsidR="00796C73" w:rsidRPr="00796C73">
        <w:rPr>
          <w:rFonts w:ascii="Garamond" w:eastAsia="Calibri" w:hAnsi="Garamond" w:cs="Mangal"/>
          <w:lang w:bidi="hi-IN"/>
        </w:rPr>
        <w:t>cash mode only) provided to accept the applications in rights issue (facility provided by RTA), from an independent IT Auditor, and submit the report to stock exchange</w:t>
      </w:r>
      <w:r>
        <w:rPr>
          <w:rFonts w:ascii="Garamond" w:eastAsia="Calibri" w:hAnsi="Garamond" w:cs="Mangal"/>
          <w:lang w:bidi="hi-IN"/>
        </w:rPr>
        <w:t>s.</w:t>
      </w:r>
    </w:p>
    <w:p w:rsidR="00796C73" w:rsidRPr="00796C73" w:rsidRDefault="00796C73" w:rsidP="00901509">
      <w:pPr>
        <w:spacing w:after="120"/>
        <w:jc w:val="both"/>
        <w:rPr>
          <w:rFonts w:ascii="Garamond" w:eastAsia="Calibri" w:hAnsi="Garamond" w:cs="Mangal"/>
          <w:i/>
          <w:iCs/>
          <w:lang w:val="en-IN" w:bidi="hi-IN"/>
        </w:rPr>
      </w:pPr>
      <w:r w:rsidRPr="00796C73">
        <w:rPr>
          <w:rFonts w:ascii="Garamond" w:eastAsia="Calibri" w:hAnsi="Garamond" w:cs="Mangal"/>
          <w:i/>
          <w:iCs/>
          <w:lang w:val="en-IN" w:bidi="hi-IN"/>
        </w:rPr>
        <w:t>Source: SEBI/HO/CFD/DIL2/CIR/P/2021/633 dated October 01, 2021</w:t>
      </w:r>
    </w:p>
    <w:p w:rsidR="00796C73" w:rsidRPr="00796C73" w:rsidRDefault="00796C73" w:rsidP="00901509">
      <w:pPr>
        <w:spacing w:after="120"/>
        <w:jc w:val="both"/>
        <w:rPr>
          <w:rFonts w:ascii="Garamond" w:eastAsia="Calibri" w:hAnsi="Garamond" w:cs="Mangal"/>
          <w:b/>
          <w:bCs/>
          <w:lang w:val="en-US" w:bidi="hi-IN"/>
        </w:rPr>
      </w:pPr>
      <w:r w:rsidRPr="00796C73">
        <w:rPr>
          <w:rFonts w:ascii="Garamond" w:eastAsia="Calibri" w:hAnsi="Garamond" w:cs="Mangal"/>
          <w:b/>
          <w:bCs/>
          <w:lang w:val="en-US" w:bidi="hi-IN"/>
        </w:rPr>
        <w:t xml:space="preserve">    2.   Circular on Mutual Funds</w:t>
      </w:r>
    </w:p>
    <w:p w:rsidR="00796C73" w:rsidRPr="00796C73" w:rsidRDefault="00C92252" w:rsidP="00901509">
      <w:pPr>
        <w:spacing w:after="120"/>
        <w:jc w:val="both"/>
        <w:rPr>
          <w:rFonts w:ascii="Garamond" w:eastAsia="Calibri" w:hAnsi="Garamond" w:cs="Mangal"/>
          <w:lang w:bidi="hi-IN"/>
        </w:rPr>
      </w:pPr>
      <w:r>
        <w:rPr>
          <w:rFonts w:ascii="Garamond" w:eastAsia="Calibri" w:hAnsi="Garamond" w:cs="Mangal"/>
          <w:lang w:bidi="hi-IN"/>
        </w:rPr>
        <w:t>AMCs shall ensure the following in respect of t</w:t>
      </w:r>
      <w:r w:rsidR="00796C73" w:rsidRPr="00796C73">
        <w:rPr>
          <w:rFonts w:ascii="Garamond" w:eastAsia="Calibri" w:hAnsi="Garamond" w:cs="Mangal"/>
          <w:lang w:bidi="hi-IN"/>
        </w:rPr>
        <w:t xml:space="preserve">ransactions    in    the    units    of    </w:t>
      </w:r>
      <w:r w:rsidRPr="00796C73">
        <w:rPr>
          <w:rFonts w:ascii="Garamond" w:eastAsia="Calibri" w:hAnsi="Garamond" w:cs="Mangal"/>
          <w:lang w:bidi="hi-IN"/>
        </w:rPr>
        <w:t xml:space="preserve">mutual    funds </w:t>
      </w:r>
      <w:r w:rsidR="00796C73" w:rsidRPr="00796C73">
        <w:rPr>
          <w:rFonts w:ascii="Garamond" w:eastAsia="Calibri" w:hAnsi="Garamond" w:cs="Mangal"/>
          <w:lang w:bidi="hi-IN"/>
        </w:rPr>
        <w:t>undertaken    through service providers/platforms other than stock exchanges</w:t>
      </w:r>
      <w:r>
        <w:rPr>
          <w:rFonts w:ascii="Garamond" w:eastAsia="Calibri" w:hAnsi="Garamond" w:cs="Mangal"/>
          <w:lang w:bidi="hi-IN"/>
        </w:rPr>
        <w:t xml:space="preserve"> </w:t>
      </w:r>
      <w:r w:rsidR="00796C73" w:rsidRPr="00796C73">
        <w:rPr>
          <w:rFonts w:ascii="Garamond" w:eastAsia="Calibri" w:hAnsi="Garamond" w:cs="Mangal"/>
          <w:lang w:bidi="hi-IN"/>
        </w:rPr>
        <w:t>:</w:t>
      </w:r>
    </w:p>
    <w:p w:rsidR="00C92252" w:rsidRPr="00C92252" w:rsidRDefault="00796C73" w:rsidP="00456F4D">
      <w:pPr>
        <w:pStyle w:val="ListParagraph"/>
        <w:numPr>
          <w:ilvl w:val="0"/>
          <w:numId w:val="16"/>
        </w:numPr>
        <w:spacing w:after="120"/>
        <w:jc w:val="both"/>
        <w:rPr>
          <w:rFonts w:ascii="Garamond" w:hAnsi="Garamond" w:cs="Mangal"/>
          <w:sz w:val="24"/>
          <w:szCs w:val="24"/>
          <w:lang w:bidi="hi-IN"/>
        </w:rPr>
      </w:pPr>
      <w:r w:rsidRPr="00C92252">
        <w:rPr>
          <w:rFonts w:ascii="Garamond" w:hAnsi="Garamond" w:cs="Mangal"/>
          <w:sz w:val="24"/>
          <w:szCs w:val="24"/>
          <w:lang w:bidi="hi-IN"/>
        </w:rPr>
        <w:t>AMCs shall ensure that the transactions (financial/ non-financial) can be executed only if there is a service agreement between the AMC and the service provider /platform.</w:t>
      </w:r>
    </w:p>
    <w:p w:rsidR="00C92252" w:rsidRPr="00C92252" w:rsidRDefault="00796C73" w:rsidP="00456F4D">
      <w:pPr>
        <w:pStyle w:val="ListParagraph"/>
        <w:numPr>
          <w:ilvl w:val="0"/>
          <w:numId w:val="16"/>
        </w:numPr>
        <w:spacing w:after="120"/>
        <w:jc w:val="both"/>
        <w:rPr>
          <w:rFonts w:ascii="Garamond" w:hAnsi="Garamond" w:cs="Mangal"/>
          <w:i/>
          <w:iCs/>
          <w:lang w:bidi="hi-IN"/>
        </w:rPr>
      </w:pPr>
      <w:r w:rsidRPr="00C92252">
        <w:rPr>
          <w:rFonts w:ascii="Garamond" w:hAnsi="Garamond" w:cs="Mangal"/>
          <w:sz w:val="24"/>
          <w:szCs w:val="24"/>
          <w:lang w:bidi="hi-IN"/>
        </w:rPr>
        <w:t>AMCs shall ensure that intermediate pooling of funds and/or units in any manner by MFDs, IAs, MFU, channel partners or any othe</w:t>
      </w:r>
      <w:r w:rsidR="00C92252" w:rsidRPr="00C92252">
        <w:rPr>
          <w:rFonts w:ascii="Garamond" w:hAnsi="Garamond" w:cs="Mangal"/>
          <w:sz w:val="24"/>
          <w:szCs w:val="24"/>
          <w:lang w:bidi="hi-IN"/>
        </w:rPr>
        <w:t>r service providers/ platforms</w:t>
      </w:r>
      <w:r w:rsidRPr="00C92252">
        <w:rPr>
          <w:rFonts w:ascii="Garamond" w:hAnsi="Garamond" w:cs="Mangal"/>
          <w:sz w:val="24"/>
          <w:szCs w:val="24"/>
          <w:lang w:bidi="hi-IN"/>
        </w:rPr>
        <w:t>, are discontinued for MF transactions.  However, this requirement shall not apply to the SEBI registered Portfolio Managers</w:t>
      </w:r>
      <w:r w:rsidR="00C92252">
        <w:rPr>
          <w:rFonts w:ascii="Garamond" w:hAnsi="Garamond" w:cs="Mangal"/>
          <w:sz w:val="24"/>
          <w:szCs w:val="24"/>
          <w:lang w:bidi="hi-IN"/>
        </w:rPr>
        <w:t>.</w:t>
      </w:r>
      <w:r w:rsidRPr="00C92252">
        <w:rPr>
          <w:rFonts w:ascii="Garamond" w:hAnsi="Garamond" w:cs="Mangal"/>
          <w:sz w:val="24"/>
          <w:szCs w:val="24"/>
          <w:lang w:bidi="hi-IN"/>
        </w:rPr>
        <w:t xml:space="preserve"> </w:t>
      </w:r>
    </w:p>
    <w:p w:rsidR="00796C73" w:rsidRPr="00C92252" w:rsidRDefault="00C92252" w:rsidP="00C92252">
      <w:pPr>
        <w:spacing w:after="120"/>
        <w:jc w:val="both"/>
        <w:rPr>
          <w:rFonts w:ascii="Garamond" w:eastAsia="Calibri" w:hAnsi="Garamond" w:cs="Mangal"/>
          <w:i/>
          <w:iCs/>
          <w:lang w:val="en-IN" w:bidi="hi-IN"/>
        </w:rPr>
      </w:pPr>
      <w:r>
        <w:rPr>
          <w:rFonts w:ascii="Garamond" w:eastAsia="Calibri" w:hAnsi="Garamond" w:cs="Mangal"/>
          <w:i/>
          <w:iCs/>
          <w:lang w:val="en-IN" w:bidi="hi-IN"/>
        </w:rPr>
        <w:t>S</w:t>
      </w:r>
      <w:r w:rsidR="00796C73" w:rsidRPr="00C92252">
        <w:rPr>
          <w:rFonts w:ascii="Garamond" w:eastAsia="Calibri" w:hAnsi="Garamond" w:cs="Mangal"/>
          <w:i/>
          <w:iCs/>
          <w:lang w:val="en-IN" w:bidi="hi-IN"/>
        </w:rPr>
        <w:t>ource: SEBI/HO/IMD/IMD-I DOF5/P/CIR/2021/634 dated October 4, 2021</w:t>
      </w:r>
    </w:p>
    <w:p w:rsidR="00796C73" w:rsidRPr="00796C73" w:rsidRDefault="003B0112" w:rsidP="00901509">
      <w:pPr>
        <w:spacing w:after="120"/>
        <w:jc w:val="both"/>
        <w:rPr>
          <w:rFonts w:ascii="Garamond" w:eastAsia="Calibri" w:hAnsi="Garamond" w:cs="Mangal"/>
          <w:b/>
          <w:bCs/>
          <w:lang w:val="en-US" w:bidi="hi-IN"/>
        </w:rPr>
      </w:pPr>
      <w:r>
        <w:rPr>
          <w:rFonts w:ascii="Garamond" w:eastAsia="Calibri" w:hAnsi="Garamond" w:cs="Mangal"/>
          <w:b/>
          <w:bCs/>
          <w:lang w:val="en-US" w:bidi="hi-IN"/>
        </w:rPr>
        <w:t xml:space="preserve">3. </w:t>
      </w:r>
      <w:r w:rsidR="00796C73" w:rsidRPr="00796C73">
        <w:rPr>
          <w:rFonts w:ascii="Garamond" w:eastAsia="Calibri" w:hAnsi="Garamond" w:cs="Mangal"/>
          <w:b/>
          <w:bCs/>
          <w:lang w:val="en-US" w:bidi="hi-IN"/>
        </w:rPr>
        <w:t>Discontinuation of usage of pool accounts for transactions in units of    Mutual Funds on the Stock Exchange Platforms</w:t>
      </w:r>
    </w:p>
    <w:p w:rsidR="00796C73" w:rsidRPr="00796C73" w:rsidRDefault="00796C73" w:rsidP="00C92252">
      <w:pPr>
        <w:spacing w:after="120"/>
        <w:jc w:val="both"/>
        <w:rPr>
          <w:rFonts w:ascii="Garamond" w:eastAsia="Calibri" w:hAnsi="Garamond" w:cs="Mangal"/>
          <w:lang w:val="en-US" w:bidi="hi-IN"/>
        </w:rPr>
      </w:pPr>
      <w:r w:rsidRPr="00796C73">
        <w:rPr>
          <w:rFonts w:ascii="Garamond" w:eastAsia="Calibri" w:hAnsi="Garamond" w:cs="Mangal"/>
          <w:lang w:val="en-US" w:bidi="hi-IN"/>
        </w:rPr>
        <w:t>Pooling of funds and/or units by stock brokers / clearing members in any form or manner shall be discontinue</w:t>
      </w:r>
      <w:r w:rsidR="00C92252">
        <w:rPr>
          <w:rFonts w:ascii="Garamond" w:eastAsia="Calibri" w:hAnsi="Garamond" w:cs="Mangal"/>
          <w:lang w:val="en-US" w:bidi="hi-IN"/>
        </w:rPr>
        <w:t xml:space="preserve">d for mutual fund transactions. </w:t>
      </w:r>
      <w:r w:rsidRPr="00796C73">
        <w:rPr>
          <w:rFonts w:ascii="Garamond" w:eastAsia="Calibri" w:hAnsi="Garamond" w:cs="Mangal"/>
          <w:lang w:val="en-US" w:bidi="hi-IN"/>
        </w:rPr>
        <w:t>The units shall be credited and debited directly to/ from the investors demit account/ folio account without routing it through the pool account of the stock brokers / clearing members. Stock exchanges and AMFI shall jointly, in consultation with SEBI, issue Operating Guidelines to stock brokers/ clearing members and AMCs respectively, to facilitate the mutual fund transactions on stock exchange platforms.</w:t>
      </w:r>
    </w:p>
    <w:p w:rsidR="00796C73" w:rsidRPr="00796C73" w:rsidRDefault="00796C73" w:rsidP="00901509">
      <w:pPr>
        <w:spacing w:after="120"/>
        <w:jc w:val="both"/>
        <w:rPr>
          <w:rFonts w:ascii="Garamond" w:eastAsia="Calibri" w:hAnsi="Garamond" w:cs="Mangal"/>
          <w:i/>
          <w:iCs/>
          <w:lang w:val="en-US" w:bidi="hi-IN"/>
        </w:rPr>
      </w:pPr>
      <w:r w:rsidRPr="00796C73">
        <w:rPr>
          <w:rFonts w:ascii="Garamond" w:eastAsia="Calibri" w:hAnsi="Garamond" w:cs="Mangal"/>
          <w:i/>
          <w:iCs/>
          <w:lang w:val="en-US" w:bidi="hi-IN"/>
        </w:rPr>
        <w:t>Source: SEBI/HO/IMD/IMD-I DOF5/P/CIR</w:t>
      </w:r>
      <w:r>
        <w:rPr>
          <w:rFonts w:ascii="Garamond" w:eastAsia="Calibri" w:hAnsi="Garamond" w:cs="Mangal"/>
          <w:i/>
          <w:iCs/>
          <w:lang w:val="en-US" w:bidi="hi-IN"/>
        </w:rPr>
        <w:t>/2021/635 dated October 4, 2021.</w:t>
      </w:r>
    </w:p>
    <w:p w:rsidR="00796C73" w:rsidRPr="00796C73" w:rsidRDefault="00796C73" w:rsidP="00901509">
      <w:pPr>
        <w:spacing w:after="120"/>
        <w:jc w:val="both"/>
        <w:rPr>
          <w:rFonts w:ascii="Garamond" w:eastAsia="Calibri" w:hAnsi="Garamond" w:cs="Mangal"/>
          <w:b/>
          <w:bCs/>
          <w:lang w:bidi="hi-IN"/>
        </w:rPr>
      </w:pPr>
      <w:r w:rsidRPr="00796C73">
        <w:rPr>
          <w:rFonts w:ascii="Garamond" w:eastAsia="Calibri" w:hAnsi="Garamond" w:cs="Mangal"/>
          <w:b/>
          <w:bCs/>
          <w:lang w:bidi="hi-IN"/>
        </w:rPr>
        <w:t>4.</w:t>
      </w:r>
      <w:r w:rsidRPr="00796C73">
        <w:rPr>
          <w:rFonts w:ascii="Garamond" w:eastAsia="Calibri" w:hAnsi="Garamond" w:cs="Mangal"/>
          <w:lang w:bidi="hi-IN"/>
        </w:rPr>
        <w:t xml:space="preserve">  </w:t>
      </w:r>
      <w:r w:rsidRPr="00796C73">
        <w:rPr>
          <w:rFonts w:ascii="Garamond" w:eastAsia="Calibri" w:hAnsi="Garamond" w:cs="Mangal"/>
          <w:b/>
          <w:bCs/>
          <w:lang w:val="en-US" w:bidi="hi-IN"/>
        </w:rPr>
        <w:t>Disclosure of Complaints against the Stock Exchange(s)and the Clearing Corporation(s)</w:t>
      </w:r>
    </w:p>
    <w:p w:rsidR="00796C73" w:rsidRPr="00796C73" w:rsidRDefault="00796C73" w:rsidP="00901509">
      <w:pPr>
        <w:spacing w:after="120"/>
        <w:jc w:val="both"/>
        <w:rPr>
          <w:rFonts w:ascii="Garamond" w:eastAsia="Calibri" w:hAnsi="Garamond" w:cs="Mangal"/>
          <w:lang w:val="en-US" w:bidi="hi-IN"/>
        </w:rPr>
      </w:pPr>
      <w:r w:rsidRPr="00796C73">
        <w:rPr>
          <w:rFonts w:ascii="Garamond" w:eastAsia="Calibri" w:hAnsi="Garamond" w:cs="Mangal"/>
          <w:lang w:val="en-US" w:bidi="hi-IN"/>
        </w:rPr>
        <w:t>In order to bring about transparency in the Investor Grievance Redressal Mechanism, it has been decided that all the stock exchanges and the clearing corporations shall disclose on their websites, the data on complaints received against them and redressal thereof, latest by 7</w:t>
      </w:r>
      <w:r w:rsidRPr="00796C73">
        <w:rPr>
          <w:rFonts w:ascii="Garamond" w:eastAsia="Calibri" w:hAnsi="Garamond" w:cs="Mangal"/>
          <w:vertAlign w:val="superscript"/>
          <w:lang w:val="en-US" w:bidi="hi-IN"/>
        </w:rPr>
        <w:t>th</w:t>
      </w:r>
      <w:r w:rsidRPr="00796C73">
        <w:rPr>
          <w:rFonts w:ascii="Garamond" w:eastAsia="Calibri" w:hAnsi="Garamond" w:cs="Mangal"/>
          <w:lang w:val="en-US" w:bidi="hi-IN"/>
        </w:rPr>
        <w:t xml:space="preserve"> of succeeding month, </w:t>
      </w:r>
      <w:r w:rsidR="00C92252">
        <w:rPr>
          <w:rFonts w:ascii="Garamond" w:eastAsia="Calibri" w:hAnsi="Garamond" w:cs="Mangal"/>
          <w:lang w:val="en-US" w:bidi="hi-IN"/>
        </w:rPr>
        <w:t>in specified format</w:t>
      </w:r>
      <w:r w:rsidRPr="00796C73">
        <w:rPr>
          <w:rFonts w:ascii="Garamond" w:eastAsia="Calibri" w:hAnsi="Garamond" w:cs="Mangal"/>
          <w:lang w:val="en-US" w:bidi="hi-IN"/>
        </w:rPr>
        <w:t>. The provisions of this circular shall come into effect from January 01, 2022.</w:t>
      </w:r>
    </w:p>
    <w:p w:rsidR="00796C73" w:rsidRPr="000C6BCB" w:rsidRDefault="00796C73" w:rsidP="00901509">
      <w:pPr>
        <w:spacing w:after="120"/>
        <w:jc w:val="both"/>
        <w:rPr>
          <w:rFonts w:ascii="Garamond" w:eastAsia="Calibri" w:hAnsi="Garamond" w:cs="Mangal"/>
          <w:lang w:bidi="hi-IN"/>
        </w:rPr>
      </w:pPr>
      <w:r w:rsidRPr="00796C73">
        <w:rPr>
          <w:rFonts w:ascii="Garamond" w:eastAsia="Calibri" w:hAnsi="Garamond" w:cs="Mangal"/>
          <w:i/>
          <w:iCs/>
          <w:lang w:val="en-US" w:bidi="hi-IN"/>
        </w:rPr>
        <w:t>Source: SEBI/HO/CDMRD/DoC/P/CIR/2021/636 dated October 4, 2021</w:t>
      </w:r>
      <w:r w:rsidRPr="00796C73">
        <w:rPr>
          <w:rFonts w:ascii="Garamond" w:eastAsia="Calibri" w:hAnsi="Garamond" w:cs="Mangal"/>
          <w:lang w:bidi="hi-IN"/>
        </w:rPr>
        <w:t xml:space="preserve"> </w:t>
      </w:r>
    </w:p>
    <w:p w:rsidR="00796C73" w:rsidRPr="00796C73" w:rsidRDefault="00796C73" w:rsidP="00901509">
      <w:pPr>
        <w:spacing w:after="120"/>
        <w:jc w:val="both"/>
        <w:rPr>
          <w:rFonts w:ascii="Garamond" w:eastAsia="Calibri" w:hAnsi="Garamond" w:cs="Mangal"/>
          <w:b/>
          <w:bCs/>
          <w:lang w:val="en-US" w:bidi="hi-IN"/>
        </w:rPr>
      </w:pPr>
      <w:r w:rsidRPr="00796C73">
        <w:rPr>
          <w:rFonts w:ascii="Garamond" w:eastAsia="Calibri" w:hAnsi="Garamond" w:cs="Mangal"/>
          <w:b/>
          <w:bCs/>
          <w:lang w:bidi="hi-IN"/>
        </w:rPr>
        <w:t xml:space="preserve">5.   </w:t>
      </w:r>
      <w:r w:rsidRPr="00796C73">
        <w:rPr>
          <w:rFonts w:ascii="Garamond" w:eastAsia="Calibri" w:hAnsi="Garamond" w:cs="Mangal"/>
          <w:b/>
          <w:bCs/>
          <w:lang w:val="en-US" w:bidi="hi-IN"/>
        </w:rPr>
        <w:t>Revised Formats for filing Financial information for issuers of NCDs</w:t>
      </w:r>
    </w:p>
    <w:p w:rsidR="00796C73" w:rsidRPr="00796C73" w:rsidRDefault="00796C73" w:rsidP="00901509">
      <w:pPr>
        <w:spacing w:after="120"/>
        <w:jc w:val="both"/>
        <w:rPr>
          <w:rFonts w:ascii="Garamond" w:eastAsia="Calibri" w:hAnsi="Garamond" w:cs="Mangal"/>
          <w:lang w:val="en-US" w:bidi="hi-IN"/>
        </w:rPr>
      </w:pPr>
      <w:r w:rsidRPr="00796C73">
        <w:rPr>
          <w:rFonts w:ascii="Garamond" w:eastAsia="Calibri" w:hAnsi="Garamond" w:cs="Mangal"/>
          <w:lang w:val="en-US" w:bidi="hi-IN"/>
        </w:rPr>
        <w:t>Vide notification dated September 07, 2021, Regulation 52 of the SEBI (Listing Obligations and Disclosure Requirements), Regulations 2015 were amended, inter-alia, mandating entities that have listed non-convertible securities to disclose financial results on a quarterly basis, including assets &amp; liabilities and cash flows as well as requiring certain changes in the line items in the financial results. The present circular provides the revised formats for reporting of financial information and limited review report.</w:t>
      </w:r>
    </w:p>
    <w:p w:rsidR="00796C73" w:rsidRPr="00796C73" w:rsidRDefault="00796C73" w:rsidP="00901509">
      <w:pPr>
        <w:spacing w:after="120"/>
        <w:jc w:val="both"/>
        <w:rPr>
          <w:rFonts w:ascii="Garamond" w:eastAsia="Calibri" w:hAnsi="Garamond" w:cs="Mangal"/>
          <w:i/>
          <w:iCs/>
          <w:lang w:val="en-US" w:bidi="hi-IN"/>
        </w:rPr>
      </w:pPr>
      <w:r w:rsidRPr="00796C73">
        <w:rPr>
          <w:rFonts w:ascii="Garamond" w:eastAsia="Calibri" w:hAnsi="Garamond" w:cs="Mangal"/>
          <w:i/>
          <w:iCs/>
          <w:lang w:val="en-US" w:bidi="hi-IN"/>
        </w:rPr>
        <w:t>Source: SEBI/HO/DDHS/CIR/2021/000000063 dated October 5, 2021.</w:t>
      </w:r>
    </w:p>
    <w:p w:rsidR="00796C73" w:rsidRPr="00796C73" w:rsidRDefault="00796C73" w:rsidP="00901509">
      <w:pPr>
        <w:spacing w:after="120"/>
        <w:jc w:val="both"/>
        <w:rPr>
          <w:rFonts w:ascii="Garamond" w:eastAsia="Calibri" w:hAnsi="Garamond" w:cs="Mangal"/>
          <w:i/>
          <w:iCs/>
          <w:lang w:val="en-US" w:bidi="hi-IN"/>
        </w:rPr>
      </w:pPr>
    </w:p>
    <w:p w:rsidR="00796C73" w:rsidRPr="00796C73" w:rsidRDefault="00796C73" w:rsidP="00901509">
      <w:pPr>
        <w:spacing w:after="120"/>
        <w:jc w:val="both"/>
        <w:rPr>
          <w:rFonts w:ascii="Garamond" w:eastAsia="Calibri" w:hAnsi="Garamond" w:cs="Mangal"/>
          <w:b/>
          <w:bCs/>
          <w:lang w:val="en-US" w:bidi="hi-IN"/>
        </w:rPr>
      </w:pPr>
      <w:r w:rsidRPr="00796C73">
        <w:rPr>
          <w:rFonts w:ascii="Garamond" w:eastAsia="Calibri" w:hAnsi="Garamond" w:cs="Mangal"/>
          <w:b/>
          <w:bCs/>
          <w:lang w:bidi="hi-IN"/>
        </w:rPr>
        <w:lastRenderedPageBreak/>
        <w:t xml:space="preserve">     6.   </w:t>
      </w:r>
      <w:r w:rsidRPr="00796C73">
        <w:rPr>
          <w:rFonts w:ascii="Garamond" w:eastAsia="Calibri" w:hAnsi="Garamond" w:cs="Mangal"/>
          <w:b/>
          <w:bCs/>
          <w:lang w:val="en-US" w:bidi="hi-IN"/>
        </w:rPr>
        <w:t>Amendments to manner and mechanism of providing exit option to dissenting unit holders pursuant to Regulation 22(6A) and Regulation 22(8) of SEBI (Real Estate Investment Trusts) Regulations, 2014 (“SEBI (REIT) Regulations”)</w:t>
      </w:r>
    </w:p>
    <w:p w:rsidR="00796C73" w:rsidRPr="00796C73" w:rsidRDefault="00796C73" w:rsidP="00901509">
      <w:pPr>
        <w:spacing w:after="120"/>
        <w:jc w:val="both"/>
        <w:rPr>
          <w:rFonts w:ascii="Garamond" w:eastAsia="Calibri" w:hAnsi="Garamond" w:cs="Mangal"/>
          <w:lang w:val="en-US" w:bidi="hi-IN"/>
        </w:rPr>
      </w:pPr>
      <w:r w:rsidRPr="00796C73">
        <w:rPr>
          <w:rFonts w:ascii="Garamond" w:eastAsia="Calibri" w:hAnsi="Garamond" w:cs="Mangal"/>
          <w:lang w:val="en-US" w:bidi="hi-IN"/>
        </w:rPr>
        <w:t xml:space="preserve">Vide the captioned amendment, SEBI circular dated July 17, 2020 providing manner and mechanism of providing exit option to dissenting unit holders in REITs has been modified. The </w:t>
      </w:r>
      <w:r w:rsidR="00C92252">
        <w:rPr>
          <w:rFonts w:ascii="Garamond" w:eastAsia="Calibri" w:hAnsi="Garamond" w:cs="Mangal"/>
          <w:lang w:val="en-US" w:bidi="hi-IN"/>
        </w:rPr>
        <w:t>present</w:t>
      </w:r>
      <w:r w:rsidRPr="00796C73">
        <w:rPr>
          <w:rFonts w:ascii="Garamond" w:eastAsia="Calibri" w:hAnsi="Garamond" w:cs="Mangal"/>
          <w:lang w:val="en-US" w:bidi="hi-IN"/>
        </w:rPr>
        <w:t xml:space="preserve"> circular has provided summary of activities pertaining to exit option/offer along with the prescribed timelines in case of triggering of an acquisition as described under Regulation 22(6A) or change in sponsor or change in control of sponsor or inducted sponsor under Regulation 22(8) of SEBI (REIT) Regulations.</w:t>
      </w:r>
    </w:p>
    <w:p w:rsidR="00796C73" w:rsidRPr="00796C73" w:rsidRDefault="00796C73" w:rsidP="00901509">
      <w:pPr>
        <w:spacing w:after="120"/>
        <w:jc w:val="both"/>
        <w:rPr>
          <w:rFonts w:ascii="Garamond" w:eastAsia="Calibri" w:hAnsi="Garamond" w:cs="Mangal"/>
          <w:i/>
          <w:iCs/>
          <w:lang w:val="en-US" w:bidi="hi-IN"/>
        </w:rPr>
      </w:pPr>
      <w:r w:rsidRPr="00796C73">
        <w:rPr>
          <w:rFonts w:ascii="Garamond" w:eastAsia="Calibri" w:hAnsi="Garamond" w:cs="Mangal"/>
          <w:i/>
          <w:iCs/>
          <w:lang w:val="en-US" w:bidi="hi-IN"/>
        </w:rPr>
        <w:t>Source: SEBI/HO/DDHS/DDHS_Div3/P/CIR/2021/640 dated October 5, 2021.</w:t>
      </w:r>
    </w:p>
    <w:p w:rsidR="00796C73" w:rsidRPr="00796C73" w:rsidRDefault="00796C73" w:rsidP="00901509">
      <w:pPr>
        <w:spacing w:after="120"/>
        <w:jc w:val="both"/>
        <w:rPr>
          <w:rFonts w:ascii="Garamond" w:eastAsia="Calibri" w:hAnsi="Garamond" w:cs="Mangal"/>
          <w:b/>
          <w:bCs/>
          <w:iCs/>
          <w:lang w:val="en-US" w:bidi="hi-IN"/>
        </w:rPr>
      </w:pPr>
      <w:r w:rsidRPr="00796C73">
        <w:rPr>
          <w:rFonts w:ascii="Garamond" w:eastAsia="Calibri" w:hAnsi="Garamond" w:cs="Mangal"/>
          <w:b/>
          <w:bCs/>
          <w:iCs/>
          <w:lang w:bidi="hi-IN"/>
        </w:rPr>
        <w:t xml:space="preserve">7.   </w:t>
      </w:r>
      <w:r w:rsidRPr="00796C73">
        <w:rPr>
          <w:rFonts w:ascii="Garamond" w:eastAsia="Calibri" w:hAnsi="Garamond" w:cs="Mangal"/>
          <w:b/>
          <w:bCs/>
          <w:iCs/>
          <w:lang w:val="en-US" w:bidi="hi-IN"/>
        </w:rPr>
        <w:t>Amendments to manner and mechanism of providing exit option to dissenting unit holders pursuant to Regulation 22(5C) and Regulation 22(7) of SEBI (Infrastructure   Investment   Trusts) Regulations, 2014 (“SEBI (Invite) Regulations”)</w:t>
      </w:r>
    </w:p>
    <w:p w:rsidR="00796C73" w:rsidRPr="00796C73" w:rsidRDefault="00796C73" w:rsidP="00901509">
      <w:pPr>
        <w:spacing w:after="120"/>
        <w:jc w:val="both"/>
        <w:rPr>
          <w:rFonts w:ascii="Garamond" w:eastAsia="Calibri" w:hAnsi="Garamond" w:cs="Mangal"/>
          <w:b/>
          <w:bCs/>
          <w:iCs/>
          <w:lang w:val="en-US" w:bidi="hi-IN"/>
        </w:rPr>
      </w:pPr>
      <w:r w:rsidRPr="00796C73">
        <w:rPr>
          <w:rFonts w:ascii="Garamond" w:eastAsia="Calibri" w:hAnsi="Garamond" w:cs="Mangal"/>
          <w:iCs/>
          <w:lang w:val="en-US" w:bidi="hi-IN"/>
        </w:rPr>
        <w:t xml:space="preserve">Vide the captioned amendment, SEBI circular dated July 17, 2020 providing manner and mechanism of providing exit option to dissenting unit holders in InvITs has been modified. The </w:t>
      </w:r>
      <w:r w:rsidR="00C92252">
        <w:rPr>
          <w:rFonts w:ascii="Garamond" w:eastAsia="Calibri" w:hAnsi="Garamond" w:cs="Mangal"/>
          <w:iCs/>
          <w:lang w:val="en-US" w:bidi="hi-IN"/>
        </w:rPr>
        <w:t xml:space="preserve">present </w:t>
      </w:r>
      <w:r w:rsidRPr="00796C73">
        <w:rPr>
          <w:rFonts w:ascii="Garamond" w:eastAsia="Calibri" w:hAnsi="Garamond" w:cs="Mangal"/>
          <w:iCs/>
          <w:lang w:val="en-US" w:bidi="hi-IN"/>
        </w:rPr>
        <w:t>circular has provided summary of activities pertaining to exit option/offer along with the prescribed timelines in case of triggering of an acquisition as described under Regulation 22(5C) or change in sponsor or change in control of sponsor or inducted sponsor under Regulation 22(7) of SEBI (InvIT) Regulations</w:t>
      </w:r>
      <w:r w:rsidRPr="00796C73">
        <w:rPr>
          <w:rFonts w:ascii="Garamond" w:eastAsia="Calibri" w:hAnsi="Garamond" w:cs="Mangal"/>
          <w:b/>
          <w:bCs/>
          <w:iCs/>
          <w:lang w:val="en-US" w:bidi="hi-IN"/>
        </w:rPr>
        <w:t>.</w:t>
      </w:r>
    </w:p>
    <w:p w:rsidR="00796C73" w:rsidRPr="00796C73" w:rsidRDefault="00796C73" w:rsidP="00901509">
      <w:pPr>
        <w:spacing w:after="120"/>
        <w:jc w:val="both"/>
        <w:rPr>
          <w:rFonts w:ascii="Garamond" w:eastAsia="Calibri" w:hAnsi="Garamond" w:cs="Mangal"/>
          <w:i/>
          <w:iCs/>
          <w:lang w:val="en-US" w:bidi="hi-IN"/>
        </w:rPr>
      </w:pPr>
      <w:r w:rsidRPr="00796C73">
        <w:rPr>
          <w:rFonts w:ascii="Garamond" w:eastAsia="Calibri" w:hAnsi="Garamond" w:cs="Mangal"/>
          <w:i/>
          <w:iCs/>
          <w:lang w:val="en-US" w:bidi="hi-IN"/>
        </w:rPr>
        <w:t>Source: SEBI/HO/DDHS/DDHS_Div3/P/CIR/2021/639 dated October 5, 2021.</w:t>
      </w:r>
    </w:p>
    <w:p w:rsidR="00796C73" w:rsidRPr="00796C73" w:rsidRDefault="00796C73" w:rsidP="00901509">
      <w:pPr>
        <w:spacing w:after="120"/>
        <w:jc w:val="both"/>
        <w:rPr>
          <w:rFonts w:ascii="Garamond" w:eastAsia="Calibri" w:hAnsi="Garamond" w:cs="Mangal"/>
          <w:b/>
          <w:bCs/>
          <w:lang w:val="en-US" w:bidi="hi-IN"/>
        </w:rPr>
      </w:pPr>
      <w:r w:rsidRPr="00796C73">
        <w:rPr>
          <w:rFonts w:ascii="Garamond" w:eastAsia="Calibri" w:hAnsi="Garamond" w:cs="Mangal"/>
          <w:b/>
          <w:bCs/>
          <w:lang w:bidi="hi-IN"/>
        </w:rPr>
        <w:t xml:space="preserve">           8</w:t>
      </w:r>
      <w:r w:rsidRPr="00796C73">
        <w:rPr>
          <w:rFonts w:ascii="Garamond" w:eastAsia="Calibri" w:hAnsi="Garamond" w:cs="Mangal"/>
          <w:lang w:bidi="hi-IN"/>
        </w:rPr>
        <w:t xml:space="preserve">.    </w:t>
      </w:r>
      <w:r w:rsidRPr="00796C73">
        <w:rPr>
          <w:rFonts w:ascii="Garamond" w:eastAsia="Calibri" w:hAnsi="Garamond" w:cs="Mangal"/>
          <w:b/>
          <w:bCs/>
          <w:lang w:val="en-US" w:bidi="hi-IN"/>
        </w:rPr>
        <w:t>Minimum percentage of trades carried out by mutual funds through RFQ platform</w:t>
      </w:r>
    </w:p>
    <w:p w:rsidR="00796C73" w:rsidRPr="00796C73" w:rsidRDefault="00796C73" w:rsidP="00901509">
      <w:pPr>
        <w:spacing w:after="120"/>
        <w:jc w:val="both"/>
        <w:rPr>
          <w:rFonts w:ascii="Garamond" w:eastAsia="Calibri" w:hAnsi="Garamond" w:cs="Mangal"/>
          <w:lang w:val="en-US" w:bidi="hi-IN"/>
        </w:rPr>
      </w:pPr>
      <w:r w:rsidRPr="00796C73">
        <w:rPr>
          <w:rFonts w:ascii="Garamond" w:eastAsia="Calibri" w:hAnsi="Garamond" w:cs="Mangal"/>
          <w:lang w:val="en-US" w:bidi="hi-IN"/>
        </w:rPr>
        <w:t>In order to further increase the liquidity on exchange platforms</w:t>
      </w:r>
      <w:r w:rsidR="00C92252">
        <w:rPr>
          <w:rFonts w:ascii="Garamond" w:eastAsia="Calibri" w:hAnsi="Garamond" w:cs="Mangal"/>
          <w:lang w:val="en-US" w:bidi="hi-IN"/>
        </w:rPr>
        <w:t xml:space="preserve">, </w:t>
      </w:r>
      <w:r w:rsidRPr="00796C73">
        <w:rPr>
          <w:rFonts w:ascii="Garamond" w:eastAsia="Calibri" w:hAnsi="Garamond" w:cs="Mangal"/>
          <w:lang w:val="en-US" w:bidi="hi-IN"/>
        </w:rPr>
        <w:t xml:space="preserve">it has been decided to increase the proportion of secondary market corporate bond trades by mutual funds through RFQ platform from 10 per cent to 25 per cent (by value), on a monthly basis. </w:t>
      </w:r>
      <w:r w:rsidR="00C92252">
        <w:rPr>
          <w:rFonts w:ascii="Garamond" w:eastAsia="Calibri" w:hAnsi="Garamond" w:cs="Mangal"/>
          <w:lang w:val="en-US" w:bidi="hi-IN"/>
        </w:rPr>
        <w:t>O</w:t>
      </w:r>
      <w:r w:rsidRPr="00796C73">
        <w:rPr>
          <w:rFonts w:ascii="Garamond" w:eastAsia="Calibri" w:hAnsi="Garamond" w:cs="Mangal"/>
          <w:lang w:val="en-US" w:bidi="hi-IN"/>
        </w:rPr>
        <w:t xml:space="preserve">n a monthly basis, mutual funds shall undertake minimum 10% of their total secondary market trades by value in </w:t>
      </w:r>
      <w:r w:rsidR="00C92252" w:rsidRPr="00796C73">
        <w:rPr>
          <w:rFonts w:ascii="Garamond" w:eastAsia="Calibri" w:hAnsi="Garamond" w:cs="Mangal"/>
          <w:lang w:val="en-US" w:bidi="hi-IN"/>
        </w:rPr>
        <w:t xml:space="preserve">commercial papers </w:t>
      </w:r>
      <w:r w:rsidRPr="00796C73">
        <w:rPr>
          <w:rFonts w:ascii="Garamond" w:eastAsia="Calibri" w:hAnsi="Garamond" w:cs="Mangal"/>
          <w:lang w:val="en-US" w:bidi="hi-IN"/>
        </w:rPr>
        <w:t>through RFQ platform of stock exchanges. Inter-scheme transfer trades will be excluded in both cases. The percentages as specified above will be reckoned on the average of secondary trades by value in immediate preceding three months on rolling basis.</w:t>
      </w:r>
    </w:p>
    <w:p w:rsidR="00796C73" w:rsidRPr="00796C73" w:rsidRDefault="00796C73" w:rsidP="00901509">
      <w:pPr>
        <w:spacing w:after="120"/>
        <w:jc w:val="both"/>
        <w:rPr>
          <w:rFonts w:ascii="Garamond" w:eastAsia="Calibri" w:hAnsi="Garamond" w:cs="Mangal"/>
          <w:i/>
          <w:iCs/>
          <w:lang w:val="en-US" w:bidi="hi-IN"/>
        </w:rPr>
      </w:pPr>
      <w:r w:rsidRPr="00796C73">
        <w:rPr>
          <w:rFonts w:ascii="Garamond" w:eastAsia="Calibri" w:hAnsi="Garamond" w:cs="Mangal"/>
          <w:i/>
          <w:iCs/>
          <w:lang w:val="en-US" w:bidi="hi-IN"/>
        </w:rPr>
        <w:t>Source: SEBI/HO/IMD/IMD-II DOF3/P/CIR/2021/641 dated October 6, 2021.</w:t>
      </w:r>
    </w:p>
    <w:p w:rsidR="00796C73" w:rsidRPr="00796C73" w:rsidRDefault="00796C73" w:rsidP="00901509">
      <w:pPr>
        <w:spacing w:after="120"/>
        <w:jc w:val="both"/>
        <w:rPr>
          <w:rFonts w:ascii="Garamond" w:eastAsia="Calibri" w:hAnsi="Garamond" w:cs="Mangal"/>
          <w:b/>
          <w:bCs/>
          <w:lang w:bidi="hi-IN"/>
        </w:rPr>
      </w:pPr>
      <w:r w:rsidRPr="00796C73">
        <w:rPr>
          <w:rFonts w:ascii="Garamond" w:eastAsia="Calibri" w:hAnsi="Garamond" w:cs="Mangal"/>
          <w:b/>
          <w:bCs/>
          <w:lang w:bidi="hi-IN"/>
        </w:rPr>
        <w:t xml:space="preserve">           9</w:t>
      </w:r>
      <w:r w:rsidRPr="00796C73">
        <w:rPr>
          <w:rFonts w:ascii="Garamond" w:eastAsia="Calibri" w:hAnsi="Garamond" w:cs="Mangal"/>
          <w:lang w:bidi="hi-IN"/>
        </w:rPr>
        <w:t xml:space="preserve">.     </w:t>
      </w:r>
      <w:r w:rsidRPr="00796C73">
        <w:rPr>
          <w:rFonts w:ascii="Garamond" w:eastAsia="Calibri" w:hAnsi="Garamond" w:cs="Mangal"/>
          <w:b/>
          <w:bCs/>
          <w:lang w:bidi="hi-IN"/>
        </w:rPr>
        <w:t>Revised Formats for Limited Review/ Audit Report for  issuers of non-convertible securities</w:t>
      </w:r>
    </w:p>
    <w:p w:rsidR="00796C73" w:rsidRPr="00796C73" w:rsidRDefault="00796C73" w:rsidP="00901509">
      <w:pPr>
        <w:spacing w:after="120"/>
        <w:jc w:val="both"/>
        <w:rPr>
          <w:rFonts w:ascii="Garamond" w:eastAsia="Calibri" w:hAnsi="Garamond" w:cs="Mangal"/>
          <w:lang w:bidi="hi-IN"/>
        </w:rPr>
      </w:pPr>
      <w:r w:rsidRPr="00796C73">
        <w:rPr>
          <w:rFonts w:ascii="Garamond" w:eastAsia="Calibri" w:hAnsi="Garamond" w:cs="Mangal"/>
          <w:lang w:bidi="hi-IN"/>
        </w:rPr>
        <w:t>Vide notification dated September 07, 2021, Regulation 52 of the SEBI (Listing Obligations  and  Disclosure  Requirements),  Regulations  2015  were amended, inter-alia, mandating entities that have listed non-convertible securities to disclose financial results on a quarterly basis, including assets &amp; liabilities and cash flows as well as requiring certain changes in the line  items in the financial results. Accordingly, vide the captioned circular the revised formats has been specified for limited review report / audit report to be submitted to stock exchanges and placed on listed entity’s website.</w:t>
      </w:r>
    </w:p>
    <w:p w:rsidR="00796C73" w:rsidRPr="00796C73" w:rsidRDefault="00796C73" w:rsidP="00901509">
      <w:pPr>
        <w:spacing w:after="120"/>
        <w:jc w:val="both"/>
        <w:rPr>
          <w:rFonts w:ascii="Garamond" w:eastAsia="Calibri" w:hAnsi="Garamond" w:cs="Mangal"/>
          <w:i/>
          <w:iCs/>
          <w:lang w:bidi="hi-IN"/>
        </w:rPr>
      </w:pPr>
      <w:r w:rsidRPr="00796C73">
        <w:rPr>
          <w:rFonts w:ascii="Garamond" w:eastAsia="Calibri" w:hAnsi="Garamond" w:cs="Mangal"/>
          <w:i/>
          <w:iCs/>
          <w:lang w:bidi="hi-IN"/>
        </w:rPr>
        <w:t>Source: SEBI/HO/DDHS/CIR/2021/000000063 dated October 14, 2021.</w:t>
      </w:r>
    </w:p>
    <w:p w:rsidR="00796C73" w:rsidRPr="00796C73" w:rsidRDefault="00796C73" w:rsidP="00901509">
      <w:pPr>
        <w:spacing w:after="120"/>
        <w:jc w:val="both"/>
        <w:rPr>
          <w:rFonts w:ascii="Garamond" w:eastAsia="Calibri" w:hAnsi="Garamond" w:cs="Mangal"/>
          <w:b/>
          <w:bCs/>
          <w:lang w:bidi="hi-IN"/>
        </w:rPr>
      </w:pPr>
      <w:r w:rsidRPr="00796C73">
        <w:rPr>
          <w:rFonts w:ascii="Garamond" w:eastAsia="Calibri" w:hAnsi="Garamond" w:cs="Mangal"/>
          <w:b/>
          <w:bCs/>
          <w:lang w:bidi="hi-IN"/>
        </w:rPr>
        <w:t xml:space="preserve">          10.    Streamlining issuance of SCORES Authentication for companies intending to list their securities on SEBI recognized stock exchanges</w:t>
      </w:r>
    </w:p>
    <w:p w:rsidR="000C6BCB" w:rsidRDefault="00796C73" w:rsidP="00901509">
      <w:pPr>
        <w:spacing w:after="120"/>
        <w:jc w:val="both"/>
        <w:rPr>
          <w:rFonts w:ascii="Garamond" w:eastAsia="Calibri" w:hAnsi="Garamond" w:cs="Mangal"/>
          <w:lang w:val="en-US" w:bidi="hi-IN"/>
        </w:rPr>
      </w:pPr>
      <w:r w:rsidRPr="00796C73">
        <w:rPr>
          <w:rFonts w:ascii="Garamond" w:eastAsia="Calibri" w:hAnsi="Garamond" w:cs="Mangal"/>
          <w:lang w:val="en-US" w:bidi="hi-IN"/>
        </w:rPr>
        <w:t xml:space="preserve">As part of SEBI’s green initiative and to streamline the redressal of investor grievances against companies before listing, an online mechanism has been introduced for obtaining SCORES credentials for all “companies intending to list their securities on SEBI recognized stock exchanges”. The online form can be </w:t>
      </w:r>
    </w:p>
    <w:p w:rsidR="000C6BCB" w:rsidRDefault="000C6BCB" w:rsidP="00901509">
      <w:pPr>
        <w:spacing w:after="120"/>
        <w:jc w:val="both"/>
        <w:rPr>
          <w:rFonts w:ascii="Garamond" w:eastAsia="Calibri" w:hAnsi="Garamond" w:cs="Mangal"/>
          <w:lang w:val="en-US" w:bidi="hi-IN"/>
        </w:rPr>
      </w:pPr>
    </w:p>
    <w:p w:rsidR="00796C73" w:rsidRPr="00796C73" w:rsidRDefault="00796C73" w:rsidP="00901509">
      <w:pPr>
        <w:spacing w:after="120"/>
        <w:jc w:val="both"/>
        <w:rPr>
          <w:rFonts w:ascii="Garamond" w:eastAsia="Calibri" w:hAnsi="Garamond" w:cs="Mangal"/>
          <w:lang w:val="en-US" w:bidi="hi-IN"/>
        </w:rPr>
      </w:pPr>
      <w:r w:rsidRPr="00796C73">
        <w:rPr>
          <w:rFonts w:ascii="Garamond" w:eastAsia="Calibri" w:hAnsi="Garamond" w:cs="Mangal"/>
          <w:lang w:val="en-US" w:bidi="hi-IN"/>
        </w:rPr>
        <w:lastRenderedPageBreak/>
        <w:t>accessed on the SCORES website www.scores.gov.in . The SCORES credentials will be sent to the e-mail id of the Compliance Officer/Dealing Officer.</w:t>
      </w:r>
    </w:p>
    <w:p w:rsidR="00796C73" w:rsidRPr="000C6BCB" w:rsidRDefault="00796C73" w:rsidP="00901509">
      <w:pPr>
        <w:spacing w:after="120"/>
        <w:jc w:val="both"/>
        <w:rPr>
          <w:rFonts w:ascii="Garamond" w:eastAsia="Calibri" w:hAnsi="Garamond" w:cs="Mangal"/>
          <w:i/>
          <w:iCs/>
          <w:lang w:val="en-IN" w:bidi="hi-IN"/>
        </w:rPr>
      </w:pPr>
      <w:r w:rsidRPr="00796C73">
        <w:rPr>
          <w:rFonts w:ascii="Garamond" w:eastAsia="Calibri" w:hAnsi="Garamond" w:cs="Mangal"/>
          <w:i/>
          <w:iCs/>
          <w:lang w:val="en-US" w:bidi="hi-IN"/>
        </w:rPr>
        <w:t xml:space="preserve">Source: </w:t>
      </w:r>
      <w:r w:rsidRPr="00796C73">
        <w:rPr>
          <w:rFonts w:ascii="Garamond" w:eastAsia="Calibri" w:hAnsi="Garamond" w:cs="Mangal"/>
          <w:i/>
          <w:iCs/>
          <w:lang w:val="en-IN" w:bidi="hi-IN"/>
        </w:rPr>
        <w:t>SEBI/HO/OIAE/IGRD/CIR/P/2021/642 dated October 14, 2021.</w:t>
      </w:r>
    </w:p>
    <w:p w:rsidR="00796C73" w:rsidRPr="00796C73" w:rsidRDefault="00796C73" w:rsidP="00901509">
      <w:pPr>
        <w:spacing w:after="120"/>
        <w:jc w:val="both"/>
        <w:rPr>
          <w:rFonts w:ascii="Garamond" w:eastAsia="Calibri" w:hAnsi="Garamond" w:cs="Mangal"/>
          <w:b/>
          <w:bCs/>
          <w:lang w:val="en-US" w:bidi="hi-IN"/>
        </w:rPr>
      </w:pPr>
      <w:r w:rsidRPr="00796C73">
        <w:rPr>
          <w:rFonts w:ascii="Garamond" w:eastAsia="Calibri" w:hAnsi="Garamond" w:cs="Mangal"/>
          <w:b/>
          <w:bCs/>
          <w:lang w:val="en-US" w:bidi="hi-IN"/>
        </w:rPr>
        <w:t xml:space="preserve">           11.   Transmission of Securities to joint Holder(s)</w:t>
      </w:r>
    </w:p>
    <w:p w:rsidR="00796C73" w:rsidRPr="00796C73" w:rsidRDefault="00796C73" w:rsidP="00901509">
      <w:pPr>
        <w:spacing w:after="120"/>
        <w:jc w:val="both"/>
        <w:rPr>
          <w:rFonts w:ascii="Garamond" w:eastAsia="Calibri" w:hAnsi="Garamond" w:cs="Mangal"/>
          <w:lang w:val="en-US" w:bidi="hi-IN"/>
        </w:rPr>
      </w:pPr>
      <w:r w:rsidRPr="00796C73">
        <w:rPr>
          <w:rFonts w:ascii="Garamond" w:eastAsia="Calibri" w:hAnsi="Garamond" w:cs="Mangal"/>
          <w:lang w:val="en-US" w:bidi="hi-IN"/>
        </w:rPr>
        <w:t xml:space="preserve">It has been observed in some cases that due to counterclaim / dispute from the legal  representative  of one  of the  deceased  holder,  the  RTAs  have  not  effected transmission to the surviving joint holder(s).In this regard, RTAs </w:t>
      </w:r>
      <w:r w:rsidR="00436B07">
        <w:rPr>
          <w:rFonts w:ascii="Garamond" w:eastAsia="Calibri" w:hAnsi="Garamond" w:cs="Mangal"/>
          <w:lang w:val="en-US" w:bidi="hi-IN"/>
        </w:rPr>
        <w:t>have been</w:t>
      </w:r>
      <w:r w:rsidRPr="00796C73">
        <w:rPr>
          <w:rFonts w:ascii="Garamond" w:eastAsia="Calibri" w:hAnsi="Garamond" w:cs="Mangal"/>
          <w:lang w:val="en-US" w:bidi="hi-IN"/>
        </w:rPr>
        <w:t xml:space="preserve"> advised to comply with </w:t>
      </w:r>
      <w:r w:rsidR="00436B07">
        <w:rPr>
          <w:rFonts w:ascii="Garamond" w:eastAsia="Calibri" w:hAnsi="Garamond" w:cs="Mangal"/>
          <w:lang w:val="en-US" w:bidi="hi-IN"/>
        </w:rPr>
        <w:t xml:space="preserve">relevant </w:t>
      </w:r>
      <w:r w:rsidRPr="00796C73">
        <w:rPr>
          <w:rFonts w:ascii="Garamond" w:eastAsia="Calibri" w:hAnsi="Garamond" w:cs="Mangal"/>
          <w:lang w:val="en-US" w:bidi="hi-IN"/>
        </w:rPr>
        <w:t>provisions in Companies Act</w:t>
      </w:r>
      <w:r w:rsidR="00436B07">
        <w:rPr>
          <w:rFonts w:ascii="Garamond" w:eastAsia="Calibri" w:hAnsi="Garamond" w:cs="Mangal"/>
          <w:lang w:val="en-US" w:bidi="hi-IN"/>
        </w:rPr>
        <w:t>,</w:t>
      </w:r>
      <w:r w:rsidRPr="00796C73">
        <w:rPr>
          <w:rFonts w:ascii="Garamond" w:eastAsia="Calibri" w:hAnsi="Garamond" w:cs="Mangal"/>
          <w:lang w:val="en-US" w:bidi="hi-IN"/>
        </w:rPr>
        <w:t xml:space="preserve"> 2013  and  transmit  securities  in  favour  of surviving joint holder(s), in the event of demise of one or more joint holder(s), provided that there is nothing contrary to the same in the Article of Association of the company.</w:t>
      </w:r>
    </w:p>
    <w:p w:rsidR="00796C73" w:rsidRPr="000C6BCB" w:rsidRDefault="00796C73" w:rsidP="00901509">
      <w:pPr>
        <w:spacing w:after="120"/>
        <w:jc w:val="both"/>
        <w:rPr>
          <w:rFonts w:ascii="Garamond" w:eastAsia="Calibri" w:hAnsi="Garamond" w:cs="Mangal"/>
          <w:i/>
          <w:iCs/>
          <w:lang w:val="en-US" w:bidi="hi-IN"/>
        </w:rPr>
      </w:pPr>
      <w:r w:rsidRPr="00796C73">
        <w:rPr>
          <w:rFonts w:ascii="Garamond" w:eastAsia="Calibri" w:hAnsi="Garamond" w:cs="Mangal"/>
          <w:i/>
          <w:iCs/>
          <w:lang w:val="en-US" w:bidi="hi-IN"/>
        </w:rPr>
        <w:t>Source: SEBI/HO/MIRSD/MIRSD_RTAMB/P/CIR/2021/644 dated October 18, 2021.</w:t>
      </w:r>
    </w:p>
    <w:p w:rsidR="00796C73" w:rsidRPr="00796C73" w:rsidRDefault="000C6BCB" w:rsidP="00901509">
      <w:pPr>
        <w:spacing w:after="120"/>
        <w:jc w:val="both"/>
        <w:rPr>
          <w:rFonts w:ascii="Garamond" w:eastAsia="Calibri" w:hAnsi="Garamond" w:cs="Mangal"/>
          <w:b/>
          <w:bCs/>
          <w:lang w:val="en-US" w:bidi="hi-IN"/>
        </w:rPr>
      </w:pPr>
      <w:r>
        <w:rPr>
          <w:rFonts w:ascii="Garamond" w:eastAsia="Calibri" w:hAnsi="Garamond" w:cs="Mangal"/>
          <w:b/>
          <w:bCs/>
          <w:lang w:val="en-US" w:bidi="hi-IN"/>
        </w:rPr>
        <w:t xml:space="preserve">      </w:t>
      </w:r>
      <w:r w:rsidR="00796C73" w:rsidRPr="00796C73">
        <w:rPr>
          <w:rFonts w:ascii="Garamond" w:eastAsia="Calibri" w:hAnsi="Garamond" w:cs="Mangal"/>
          <w:b/>
          <w:bCs/>
          <w:lang w:val="en-US" w:bidi="hi-IN"/>
        </w:rPr>
        <w:t xml:space="preserve">    12.</w:t>
      </w:r>
      <w:r w:rsidR="00796C73" w:rsidRPr="00796C73">
        <w:rPr>
          <w:rFonts w:ascii="Garamond" w:eastAsia="Calibri" w:hAnsi="Garamond" w:cs="Mangal"/>
          <w:lang w:val="en-US" w:bidi="hi-IN"/>
        </w:rPr>
        <w:t xml:space="preserve">    </w:t>
      </w:r>
      <w:r w:rsidR="00796C73" w:rsidRPr="00796C73">
        <w:rPr>
          <w:rFonts w:ascii="Garamond" w:eastAsia="Calibri" w:hAnsi="Garamond" w:cs="Mangal"/>
          <w:b/>
          <w:bCs/>
          <w:lang w:val="en-US" w:bidi="hi-IN"/>
        </w:rPr>
        <w:t>Modalities for filing of placement memorandum through a Merchant Banker</w:t>
      </w:r>
    </w:p>
    <w:p w:rsidR="00796C73" w:rsidRPr="00796C73" w:rsidRDefault="00796C73" w:rsidP="00901509">
      <w:pPr>
        <w:spacing w:after="120"/>
        <w:jc w:val="both"/>
        <w:rPr>
          <w:rFonts w:ascii="Garamond" w:eastAsia="Calibri" w:hAnsi="Garamond" w:cs="Mangal"/>
          <w:lang w:val="en-US" w:bidi="hi-IN"/>
        </w:rPr>
      </w:pPr>
      <w:r w:rsidRPr="00796C73">
        <w:rPr>
          <w:rFonts w:ascii="Garamond" w:eastAsia="Calibri" w:hAnsi="Garamond" w:cs="Mangal"/>
          <w:lang w:val="en-US" w:bidi="hi-IN"/>
        </w:rPr>
        <w:t xml:space="preserve">AIFs are permitted to  launch scheme(s) subject to filing of placement memorandum with SEBI through a SEBI registered Merchant Banker, which  shall not be an associate of the AIF, its sponsor, manager or trustee. The Merchant Banker need to independently exercise due diligence of all the disclosures in the placement memorandum and provide a due diligence certificate to SEBI. Formats of the due diligence certificate and for indicating changes in placement memorandum is specified vide the present circular. </w:t>
      </w:r>
    </w:p>
    <w:p w:rsidR="00796C73" w:rsidRPr="00796C73" w:rsidRDefault="00796C73" w:rsidP="00901509">
      <w:pPr>
        <w:spacing w:after="120"/>
        <w:jc w:val="both"/>
        <w:rPr>
          <w:rFonts w:ascii="Garamond" w:eastAsia="Calibri" w:hAnsi="Garamond" w:cs="Mangal"/>
          <w:i/>
          <w:iCs/>
          <w:lang w:val="en-US" w:bidi="hi-IN"/>
        </w:rPr>
      </w:pPr>
      <w:r w:rsidRPr="00796C73">
        <w:rPr>
          <w:rFonts w:ascii="Garamond" w:eastAsia="Calibri" w:hAnsi="Garamond" w:cs="Mangal"/>
          <w:i/>
          <w:iCs/>
          <w:lang w:val="en-US" w:bidi="hi-IN"/>
        </w:rPr>
        <w:t xml:space="preserve"> Source: SEBI/HO/IMD/IMD-I/DF6/P/CIR/2021/645 dated October 21, 2021.</w:t>
      </w:r>
    </w:p>
    <w:p w:rsidR="00796C73" w:rsidRPr="00796C73" w:rsidRDefault="00796C73" w:rsidP="00901509">
      <w:pPr>
        <w:spacing w:after="120"/>
        <w:jc w:val="both"/>
        <w:rPr>
          <w:rFonts w:ascii="Garamond" w:eastAsia="Calibri" w:hAnsi="Garamond" w:cs="Mangal"/>
          <w:lang w:val="en-US" w:bidi="hi-IN"/>
        </w:rPr>
      </w:pPr>
    </w:p>
    <w:p w:rsidR="00796C73" w:rsidRPr="00796C73" w:rsidRDefault="00796C73" w:rsidP="00901509">
      <w:pPr>
        <w:spacing w:after="120"/>
        <w:jc w:val="both"/>
        <w:rPr>
          <w:rFonts w:ascii="Garamond" w:eastAsia="Calibri" w:hAnsi="Garamond" w:cs="Mangal"/>
          <w:b/>
          <w:bCs/>
          <w:lang w:val="en-US" w:bidi="hi-IN"/>
        </w:rPr>
      </w:pPr>
      <w:r w:rsidRPr="00796C73">
        <w:rPr>
          <w:rFonts w:ascii="Garamond" w:eastAsia="Calibri" w:hAnsi="Garamond" w:cs="Mangal"/>
          <w:lang w:val="en-US" w:bidi="hi-IN"/>
        </w:rPr>
        <w:t xml:space="preserve">            </w:t>
      </w:r>
      <w:r w:rsidRPr="00796C73">
        <w:rPr>
          <w:rFonts w:ascii="Garamond" w:eastAsia="Calibri" w:hAnsi="Garamond" w:cs="Mangal"/>
          <w:b/>
          <w:bCs/>
          <w:lang w:val="en-US" w:bidi="hi-IN"/>
        </w:rPr>
        <w:t xml:space="preserve"> 13.</w:t>
      </w:r>
      <w:r w:rsidRPr="00796C73">
        <w:rPr>
          <w:rFonts w:ascii="Garamond" w:eastAsia="Calibri" w:hAnsi="Garamond" w:cs="Mangal"/>
          <w:lang w:val="en-US" w:bidi="hi-IN"/>
        </w:rPr>
        <w:t xml:space="preserve">   </w:t>
      </w:r>
      <w:r w:rsidRPr="00796C73">
        <w:rPr>
          <w:rFonts w:ascii="Garamond" w:eastAsia="Calibri" w:hAnsi="Garamond" w:cs="Mangal"/>
          <w:b/>
          <w:bCs/>
          <w:lang w:val="en-US" w:bidi="hi-IN"/>
        </w:rPr>
        <w:t>Amendment to SEBI Circular pertaining to Investor Protection Fund (IPF)/   Investor Service Fund (ISF) and its related matters</w:t>
      </w:r>
    </w:p>
    <w:p w:rsidR="00796C73" w:rsidRPr="00796C73" w:rsidRDefault="00796C73" w:rsidP="00901509">
      <w:pPr>
        <w:spacing w:after="120"/>
        <w:jc w:val="both"/>
        <w:rPr>
          <w:rFonts w:ascii="Garamond" w:eastAsia="Calibri" w:hAnsi="Garamond" w:cs="Mangal"/>
          <w:lang w:val="en-US" w:bidi="hi-IN"/>
        </w:rPr>
      </w:pPr>
      <w:r w:rsidRPr="00796C73">
        <w:rPr>
          <w:rFonts w:ascii="Garamond" w:eastAsia="Calibri" w:hAnsi="Garamond" w:cs="Mangal"/>
          <w:lang w:val="en-US" w:bidi="hi-IN"/>
        </w:rPr>
        <w:t xml:space="preserve">With the objective to align with the practices in securities market, the following amendment is made in the SEBI circular on </w:t>
      </w:r>
      <w:r w:rsidR="00436B07">
        <w:rPr>
          <w:rFonts w:ascii="Garamond" w:eastAsia="Calibri" w:hAnsi="Garamond" w:cs="Mangal"/>
          <w:lang w:val="en-US" w:bidi="hi-IN"/>
        </w:rPr>
        <w:t>c</w:t>
      </w:r>
      <w:r w:rsidRPr="00796C73">
        <w:rPr>
          <w:rFonts w:ascii="Garamond" w:eastAsia="Calibri" w:hAnsi="Garamond" w:cs="Mangal"/>
          <w:lang w:val="en-US" w:bidi="hi-IN"/>
        </w:rPr>
        <w:t>omprehensive guidelines for Investor Protection Fund (IPF), Investor Service Fund (ISF) and its related matters.</w:t>
      </w:r>
    </w:p>
    <w:p w:rsidR="00796C73" w:rsidRPr="00796C73" w:rsidRDefault="00796C73" w:rsidP="00901509">
      <w:pPr>
        <w:spacing w:after="120"/>
        <w:jc w:val="both"/>
        <w:rPr>
          <w:rFonts w:ascii="Garamond" w:eastAsia="Calibri" w:hAnsi="Garamond" w:cs="Mangal"/>
          <w:lang w:val="en-US" w:bidi="hi-IN"/>
        </w:rPr>
      </w:pPr>
      <w:r w:rsidRPr="00796C73">
        <w:rPr>
          <w:rFonts w:ascii="Garamond" w:eastAsia="Calibri" w:hAnsi="Garamond" w:cs="Mangal"/>
          <w:lang w:val="en-US" w:bidi="hi-IN"/>
        </w:rPr>
        <w:t xml:space="preserve">With respect to determination of legitimate claims, the </w:t>
      </w:r>
      <w:r w:rsidR="00436B07" w:rsidRPr="00796C73">
        <w:rPr>
          <w:rFonts w:ascii="Garamond" w:eastAsia="Calibri" w:hAnsi="Garamond" w:cs="Mangal"/>
          <w:lang w:val="en-US" w:bidi="hi-IN"/>
        </w:rPr>
        <w:t xml:space="preserve">stock exchanges </w:t>
      </w:r>
      <w:r w:rsidRPr="00796C73">
        <w:rPr>
          <w:rFonts w:ascii="Garamond" w:eastAsia="Calibri" w:hAnsi="Garamond" w:cs="Mangal"/>
          <w:lang w:val="en-US" w:bidi="hi-IN"/>
        </w:rPr>
        <w:t>shall ensure that the investor claims related to a defaulting member shall be placed before the Member Core Settlement Guarantee Fund Committee (MCSGFC) for sanction and ratification. MCSGFC’s advice shall be sent to the IPF Trust for disbursement of the amount immediately. If the amount sanctioned is less than claim amount, investor will be at liberty to prefer for arbitration outside the exchange mechanism / any other legal forum for claim of the balance amount. The provisions of this circular shall come into effect from January 1, 2022.</w:t>
      </w:r>
    </w:p>
    <w:p w:rsidR="00796C73" w:rsidRDefault="00796C73" w:rsidP="00901509">
      <w:pPr>
        <w:spacing w:after="120"/>
        <w:jc w:val="both"/>
        <w:rPr>
          <w:rFonts w:ascii="Garamond" w:eastAsia="Calibri" w:hAnsi="Garamond" w:cs="Mangal"/>
          <w:i/>
          <w:iCs/>
          <w:lang w:val="en-US" w:bidi="hi-IN"/>
        </w:rPr>
      </w:pPr>
      <w:r w:rsidRPr="00796C73">
        <w:rPr>
          <w:rFonts w:ascii="Garamond" w:eastAsia="Calibri" w:hAnsi="Garamond" w:cs="Mangal"/>
          <w:i/>
          <w:iCs/>
          <w:lang w:val="en-US" w:bidi="hi-IN"/>
        </w:rPr>
        <w:t>Source: SEBI/HO/CDMRD/DoC/P/CIR/2021/651dated October 22, 2021.</w:t>
      </w:r>
    </w:p>
    <w:p w:rsidR="00796C73" w:rsidRPr="00796C73" w:rsidRDefault="00796C73" w:rsidP="00901509">
      <w:pPr>
        <w:spacing w:after="120"/>
        <w:jc w:val="both"/>
        <w:rPr>
          <w:rFonts w:ascii="Garamond" w:eastAsia="Calibri" w:hAnsi="Garamond" w:cs="Mangal"/>
          <w:lang w:val="en-US" w:bidi="hi-IN"/>
        </w:rPr>
      </w:pPr>
    </w:p>
    <w:p w:rsidR="00796C73" w:rsidRPr="00796C73" w:rsidRDefault="00796C73" w:rsidP="00901509">
      <w:pPr>
        <w:spacing w:after="120"/>
        <w:jc w:val="both"/>
        <w:rPr>
          <w:rFonts w:ascii="Garamond" w:eastAsia="Calibri" w:hAnsi="Garamond" w:cs="Mangal"/>
          <w:b/>
          <w:bCs/>
          <w:lang w:val="en-US" w:bidi="hi-IN"/>
        </w:rPr>
      </w:pPr>
      <w:r w:rsidRPr="00796C73">
        <w:rPr>
          <w:rFonts w:ascii="Garamond" w:eastAsia="Calibri" w:hAnsi="Garamond" w:cs="Mangal"/>
          <w:b/>
          <w:bCs/>
          <w:lang w:val="en-US" w:bidi="hi-IN"/>
        </w:rPr>
        <w:t xml:space="preserve">            14.   Amendment to SEBI Circulars pertaining to Investor Grievance Redressal System and Arbitration Mechanism</w:t>
      </w:r>
    </w:p>
    <w:p w:rsidR="00796C73" w:rsidRPr="00796C73" w:rsidRDefault="00796C73" w:rsidP="00901509">
      <w:pPr>
        <w:spacing w:after="120"/>
        <w:jc w:val="both"/>
        <w:rPr>
          <w:rFonts w:ascii="Garamond" w:eastAsia="Calibri" w:hAnsi="Garamond" w:cs="Mangal"/>
          <w:lang w:val="en-US" w:bidi="hi-IN"/>
        </w:rPr>
      </w:pPr>
      <w:r w:rsidRPr="00796C73">
        <w:rPr>
          <w:rFonts w:ascii="Garamond" w:eastAsia="Calibri" w:hAnsi="Garamond" w:cs="Mangal"/>
          <w:lang w:val="en-US" w:bidi="hi-IN"/>
        </w:rPr>
        <w:t xml:space="preserve">Vide the present circular, following modifications are made on certain provisions of SEBI circulars pertaining to </w:t>
      </w:r>
      <w:r w:rsidR="00436B07" w:rsidRPr="00796C73">
        <w:rPr>
          <w:rFonts w:ascii="Garamond" w:eastAsia="Calibri" w:hAnsi="Garamond" w:cs="Mangal"/>
          <w:lang w:val="en-US" w:bidi="hi-IN"/>
        </w:rPr>
        <w:t>investor grievance redressal system and arbitration mechanism</w:t>
      </w:r>
      <w:r w:rsidRPr="00796C73">
        <w:rPr>
          <w:rFonts w:ascii="Garamond" w:eastAsia="Calibri" w:hAnsi="Garamond" w:cs="Mangal"/>
          <w:lang w:val="en-US" w:bidi="hi-IN"/>
        </w:rPr>
        <w:t xml:space="preserve">:  </w:t>
      </w:r>
    </w:p>
    <w:p w:rsidR="00796C73" w:rsidRPr="00796C73" w:rsidRDefault="00796C73" w:rsidP="00901509">
      <w:pPr>
        <w:spacing w:after="120"/>
        <w:jc w:val="both"/>
        <w:rPr>
          <w:rFonts w:ascii="Garamond" w:eastAsia="Calibri" w:hAnsi="Garamond" w:cs="Mangal"/>
          <w:lang w:val="en-US" w:bidi="hi-IN"/>
        </w:rPr>
      </w:pPr>
      <w:r w:rsidRPr="00796C73">
        <w:rPr>
          <w:rFonts w:ascii="Garamond" w:eastAsia="Calibri" w:hAnsi="Garamond" w:cs="Mangal"/>
          <w:lang w:val="en-US" w:bidi="hi-IN"/>
        </w:rPr>
        <w:t>i)</w:t>
      </w:r>
      <w:r w:rsidRPr="00796C73">
        <w:rPr>
          <w:rFonts w:ascii="Garamond" w:eastAsia="Calibri" w:hAnsi="Garamond" w:cs="Mangal"/>
          <w:lang w:val="en-US" w:bidi="hi-IN"/>
        </w:rPr>
        <w:tab/>
        <w:t>Forming of exclusive panel for appellate arbitration is not required and members can serve on arbitration and appellate panel. Exchanges need to ensure that members of arbitration panel are not considered for appellate arbitration panel, if the matter goes to appeal.</w:t>
      </w:r>
    </w:p>
    <w:p w:rsidR="00796C73" w:rsidRPr="00796C73" w:rsidRDefault="00796C73" w:rsidP="00901509">
      <w:pPr>
        <w:spacing w:after="120"/>
        <w:jc w:val="both"/>
        <w:rPr>
          <w:rFonts w:ascii="Garamond" w:eastAsia="Calibri" w:hAnsi="Garamond" w:cs="Mangal"/>
          <w:lang w:val="en-US" w:bidi="hi-IN"/>
        </w:rPr>
      </w:pPr>
      <w:r w:rsidRPr="00796C73">
        <w:rPr>
          <w:rFonts w:ascii="Garamond" w:eastAsia="Calibri" w:hAnsi="Garamond" w:cs="Mangal"/>
          <w:lang w:val="en-US" w:bidi="hi-IN"/>
        </w:rPr>
        <w:t>ii)</w:t>
      </w:r>
      <w:r w:rsidRPr="00796C73">
        <w:rPr>
          <w:rFonts w:ascii="Garamond" w:eastAsia="Calibri" w:hAnsi="Garamond" w:cs="Mangal"/>
          <w:lang w:val="en-US" w:bidi="hi-IN"/>
        </w:rPr>
        <w:tab/>
        <w:t>In case, the award amount is more than Rs. 50 lakh, arbitration/appellate arbitration may take place at the nearest metro city, if so desired by any of the parties involved, which shall bear the consequent additional statutory costs.</w:t>
      </w:r>
    </w:p>
    <w:p w:rsidR="00796C73" w:rsidRPr="00796C73" w:rsidRDefault="00796C73" w:rsidP="00901509">
      <w:pPr>
        <w:spacing w:after="120"/>
        <w:jc w:val="both"/>
        <w:rPr>
          <w:rFonts w:ascii="Garamond" w:eastAsia="Calibri" w:hAnsi="Garamond" w:cs="Mangal"/>
          <w:lang w:val="en-US" w:bidi="hi-IN"/>
        </w:rPr>
      </w:pPr>
      <w:r w:rsidRPr="00796C73">
        <w:rPr>
          <w:rFonts w:ascii="Garamond" w:eastAsia="Calibri" w:hAnsi="Garamond" w:cs="Mangal"/>
          <w:lang w:val="en-US" w:bidi="hi-IN"/>
        </w:rPr>
        <w:lastRenderedPageBreak/>
        <w:t>iii)</w:t>
      </w:r>
      <w:r w:rsidRPr="00796C73">
        <w:rPr>
          <w:rFonts w:ascii="Garamond" w:eastAsia="Calibri" w:hAnsi="Garamond" w:cs="Mangal"/>
          <w:lang w:val="en-US" w:bidi="hi-IN"/>
        </w:rPr>
        <w:tab/>
        <w:t>Threshold limit for interim relief paid out of IPF in stock exchange has been specified for various steps. Total amount released to the client through the facility of interim relief from IPF shall not exceed Rs. 10 lakh in a financial year.</w:t>
      </w:r>
    </w:p>
    <w:p w:rsidR="00796C73" w:rsidRPr="00796C73" w:rsidRDefault="00796C73" w:rsidP="00901509">
      <w:pPr>
        <w:spacing w:after="120"/>
        <w:jc w:val="both"/>
        <w:rPr>
          <w:rFonts w:ascii="Garamond" w:eastAsia="Calibri" w:hAnsi="Garamond" w:cs="Mangal"/>
          <w:lang w:val="en-US" w:bidi="hi-IN"/>
        </w:rPr>
      </w:pPr>
      <w:r w:rsidRPr="00796C73">
        <w:rPr>
          <w:rFonts w:ascii="Garamond" w:eastAsia="Calibri" w:hAnsi="Garamond" w:cs="Mangal"/>
          <w:lang w:val="en-US" w:bidi="hi-IN"/>
        </w:rPr>
        <w:t>iv)        The additional fees charged from the trading members, if the claim is filed beyond the prescribed timeline is to be deposited in the IPF of the respective stock exchange.</w:t>
      </w:r>
    </w:p>
    <w:p w:rsidR="00796C73" w:rsidRPr="00796C73" w:rsidRDefault="00796C73" w:rsidP="00901509">
      <w:pPr>
        <w:spacing w:after="120"/>
        <w:jc w:val="both"/>
        <w:rPr>
          <w:rFonts w:ascii="Garamond" w:eastAsia="Calibri" w:hAnsi="Garamond" w:cs="Mangal"/>
          <w:lang w:val="en-US" w:bidi="hi-IN"/>
        </w:rPr>
      </w:pPr>
      <w:r w:rsidRPr="00796C73">
        <w:rPr>
          <w:rFonts w:ascii="Garamond" w:eastAsia="Calibri" w:hAnsi="Garamond" w:cs="Mangal"/>
          <w:lang w:val="en-US" w:bidi="hi-IN"/>
        </w:rPr>
        <w:t>The provisions of this circular shall come into effect from January 1, 2022.</w:t>
      </w:r>
    </w:p>
    <w:p w:rsidR="00796C73" w:rsidRPr="00796C73" w:rsidRDefault="00796C73" w:rsidP="00901509">
      <w:pPr>
        <w:spacing w:after="120"/>
        <w:jc w:val="both"/>
        <w:rPr>
          <w:rFonts w:ascii="Garamond" w:eastAsia="Calibri" w:hAnsi="Garamond" w:cs="Mangal"/>
          <w:i/>
          <w:iCs/>
          <w:lang w:val="en-US" w:bidi="hi-IN"/>
        </w:rPr>
      </w:pPr>
      <w:r w:rsidRPr="00796C73">
        <w:rPr>
          <w:rFonts w:ascii="Garamond" w:eastAsia="Calibri" w:hAnsi="Garamond" w:cs="Mangal"/>
          <w:i/>
          <w:iCs/>
          <w:lang w:val="en-US" w:bidi="hi-IN"/>
        </w:rPr>
        <w:t>Source: SEBI/HO/CDMRD/DoC/P/CIR/2021/649 dated October 22, 2021.</w:t>
      </w:r>
    </w:p>
    <w:p w:rsidR="00796C73" w:rsidRPr="00796C73" w:rsidRDefault="00796C73" w:rsidP="00901509">
      <w:pPr>
        <w:spacing w:after="120"/>
        <w:jc w:val="both"/>
        <w:rPr>
          <w:rFonts w:ascii="Garamond" w:eastAsia="Calibri" w:hAnsi="Garamond" w:cs="Mangal"/>
          <w:b/>
          <w:bCs/>
          <w:iCs/>
          <w:lang w:bidi="hi-IN"/>
        </w:rPr>
      </w:pPr>
      <w:r w:rsidRPr="00796C73">
        <w:rPr>
          <w:rFonts w:ascii="Garamond" w:eastAsia="Calibri" w:hAnsi="Garamond" w:cs="Mangal"/>
          <w:iCs/>
          <w:lang w:bidi="hi-IN"/>
        </w:rPr>
        <w:t xml:space="preserve">             </w:t>
      </w:r>
      <w:r w:rsidRPr="00796C73">
        <w:rPr>
          <w:rFonts w:ascii="Garamond" w:eastAsia="Calibri" w:hAnsi="Garamond" w:cs="Mangal"/>
          <w:b/>
          <w:bCs/>
          <w:iCs/>
          <w:lang w:bidi="hi-IN"/>
        </w:rPr>
        <w:t>15.    Guiding principles for bringing uniformity in benchmarks of mutual fund schemes</w:t>
      </w:r>
    </w:p>
    <w:p w:rsidR="00796C73" w:rsidRPr="00796C73" w:rsidRDefault="00796C73" w:rsidP="00901509">
      <w:pPr>
        <w:spacing w:after="120"/>
        <w:jc w:val="both"/>
        <w:rPr>
          <w:rFonts w:ascii="Garamond" w:eastAsia="Calibri" w:hAnsi="Garamond" w:cs="Mangal"/>
          <w:lang w:val="en-IN" w:bidi="hi-IN"/>
        </w:rPr>
      </w:pPr>
      <w:r w:rsidRPr="00796C73">
        <w:rPr>
          <w:rFonts w:ascii="Garamond" w:eastAsia="Calibri" w:hAnsi="Garamond" w:cs="Mangal"/>
          <w:lang w:val="en-IN" w:bidi="hi-IN"/>
        </w:rPr>
        <w:t>In order to standardize and bring uniformity in the benchmarks of mutual fund schemes, it has been decided that there would be two tiered structure for benchmarking certain categories of schemes. The first tier benchmark shall be reflective of the category of the scheme, and the second tier benchmark, which is optional, should be demonstrative of the investment style / strategy of the fund manager within the category. All the benchmarks followed should necessarily be total return indices. AMFI is advised to publish benchmarks intended to be used by AMCs as first tier benchmarks  and benchmarks for open ended  debt  schemes  as  per  the  potential  risk  class  matrix  on  or  before December 1, 2021.</w:t>
      </w:r>
    </w:p>
    <w:p w:rsidR="00796C73" w:rsidRDefault="00796C73" w:rsidP="00901509">
      <w:pPr>
        <w:spacing w:after="120"/>
        <w:jc w:val="both"/>
        <w:rPr>
          <w:rFonts w:ascii="Garamond" w:eastAsia="Calibri" w:hAnsi="Garamond" w:cs="Mangal"/>
          <w:i/>
          <w:iCs/>
          <w:lang w:bidi="hi-IN"/>
        </w:rPr>
      </w:pPr>
      <w:r w:rsidRPr="00796C73">
        <w:rPr>
          <w:rFonts w:ascii="Garamond" w:eastAsia="Calibri" w:hAnsi="Garamond" w:cs="Mangal"/>
          <w:i/>
          <w:iCs/>
          <w:lang w:val="en-IN" w:bidi="hi-IN"/>
        </w:rPr>
        <w:t xml:space="preserve">Source: </w:t>
      </w:r>
      <w:r w:rsidRPr="00796C73">
        <w:rPr>
          <w:rFonts w:ascii="Garamond" w:eastAsia="Calibri" w:hAnsi="Garamond" w:cs="Mangal"/>
          <w:i/>
          <w:iCs/>
          <w:lang w:bidi="hi-IN"/>
        </w:rPr>
        <w:t>SEBI/HO/IMD/IMD-IIDF3/P/CIR/2021/652 dated October 27, 2021.</w:t>
      </w:r>
    </w:p>
    <w:p w:rsidR="00796C73" w:rsidRPr="00796C73" w:rsidRDefault="00796C73" w:rsidP="00901509">
      <w:pPr>
        <w:spacing w:after="120"/>
        <w:jc w:val="both"/>
        <w:rPr>
          <w:rFonts w:ascii="Garamond" w:eastAsia="Calibri" w:hAnsi="Garamond" w:cs="Mangal"/>
          <w:i/>
          <w:iCs/>
          <w:lang w:bidi="hi-IN"/>
        </w:rPr>
      </w:pPr>
    </w:p>
    <w:p w:rsidR="00796C73" w:rsidRPr="00796C73" w:rsidRDefault="00796C73" w:rsidP="00901509">
      <w:pPr>
        <w:spacing w:after="120"/>
        <w:jc w:val="both"/>
        <w:rPr>
          <w:rFonts w:ascii="Garamond" w:eastAsia="Calibri" w:hAnsi="Garamond" w:cs="Mangal"/>
          <w:b/>
          <w:bCs/>
          <w:lang w:val="en-IN" w:bidi="hi-IN"/>
        </w:rPr>
      </w:pPr>
      <w:r w:rsidRPr="00796C73">
        <w:rPr>
          <w:rFonts w:ascii="Garamond" w:eastAsia="Calibri" w:hAnsi="Garamond" w:cs="Mangal"/>
          <w:lang w:bidi="hi-IN"/>
        </w:rPr>
        <w:t xml:space="preserve">             </w:t>
      </w:r>
      <w:r w:rsidRPr="00796C73">
        <w:rPr>
          <w:rFonts w:ascii="Garamond" w:eastAsia="Calibri" w:hAnsi="Garamond" w:cs="Mangal"/>
          <w:b/>
          <w:bCs/>
          <w:lang w:bidi="hi-IN"/>
        </w:rPr>
        <w:t>16.     Maintenance of current accounts in multiple banks by stock brokers</w:t>
      </w:r>
    </w:p>
    <w:p w:rsidR="00796C73" w:rsidRPr="00796C73" w:rsidRDefault="00796C73" w:rsidP="00901509">
      <w:pPr>
        <w:spacing w:after="120"/>
        <w:jc w:val="both"/>
        <w:rPr>
          <w:rFonts w:ascii="Garamond" w:eastAsia="Calibri" w:hAnsi="Garamond" w:cs="Mangal"/>
          <w:lang w:val="en-IN" w:bidi="hi-IN"/>
        </w:rPr>
      </w:pPr>
      <w:r w:rsidRPr="00796C73">
        <w:rPr>
          <w:rFonts w:ascii="Garamond" w:eastAsia="Calibri" w:hAnsi="Garamond" w:cs="Mangal"/>
          <w:lang w:val="en-IN" w:bidi="hi-IN"/>
        </w:rPr>
        <w:t>In order to facilitate seamless settlement of funds and for the convenience of investors, it is clarified that stock brokers should maintain current accounts in appropriate number of banks for holding the client funds (i.e., client account), for settlement purposes (i.e., settlement account) and any other accounts mandated by stock exchanges such as exchange dues account subject to the condition that brokers are using these accounts for their defined purposes.</w:t>
      </w:r>
    </w:p>
    <w:p w:rsidR="00796C73" w:rsidRPr="00796C73" w:rsidRDefault="00796C73" w:rsidP="00901509">
      <w:pPr>
        <w:spacing w:after="120"/>
        <w:jc w:val="both"/>
        <w:rPr>
          <w:rFonts w:ascii="Garamond" w:eastAsia="Calibri" w:hAnsi="Garamond" w:cs="Mangal"/>
          <w:lang w:bidi="hi-IN"/>
        </w:rPr>
      </w:pPr>
      <w:r w:rsidRPr="00796C73">
        <w:rPr>
          <w:rFonts w:ascii="Garamond" w:eastAsia="Calibri" w:hAnsi="Garamond" w:cs="Mangal"/>
          <w:i/>
          <w:lang w:bidi="hi-IN"/>
        </w:rPr>
        <w:t xml:space="preserve">Source: </w:t>
      </w:r>
      <w:r w:rsidRPr="00796C73">
        <w:rPr>
          <w:rFonts w:ascii="Garamond" w:eastAsia="Calibri" w:hAnsi="Garamond" w:cs="Mangal"/>
          <w:i/>
          <w:iCs/>
          <w:lang w:bidi="hi-IN"/>
        </w:rPr>
        <w:t>SEBI/HO/MIRSD/DOP/P/CIR/2021/653 dated October 28, 2021.</w:t>
      </w:r>
    </w:p>
    <w:p w:rsidR="00796C73" w:rsidRPr="00796C73" w:rsidRDefault="00796C73" w:rsidP="00901509">
      <w:pPr>
        <w:spacing w:after="120"/>
        <w:jc w:val="both"/>
        <w:rPr>
          <w:rFonts w:ascii="Garamond" w:eastAsia="Calibri" w:hAnsi="Garamond" w:cs="Mangal"/>
          <w:lang w:bidi="hi-IN"/>
        </w:rPr>
      </w:pPr>
    </w:p>
    <w:p w:rsidR="00796C73" w:rsidRPr="00796C73" w:rsidRDefault="00796C73" w:rsidP="00901509">
      <w:pPr>
        <w:spacing w:after="120"/>
        <w:ind w:left="1418" w:hanging="1418"/>
        <w:jc w:val="both"/>
        <w:rPr>
          <w:rFonts w:ascii="Garamond" w:eastAsia="Calibri" w:hAnsi="Garamond" w:cs="Mangal"/>
          <w:b/>
          <w:bCs/>
          <w:lang w:bidi="hi-IN"/>
        </w:rPr>
      </w:pPr>
      <w:r w:rsidRPr="00796C73">
        <w:rPr>
          <w:rFonts w:ascii="Garamond" w:eastAsia="Calibri" w:hAnsi="Garamond" w:cs="Mangal"/>
          <w:lang w:bidi="hi-IN"/>
        </w:rPr>
        <w:t xml:space="preserve">              </w:t>
      </w:r>
      <w:r w:rsidRPr="00796C73">
        <w:rPr>
          <w:rFonts w:ascii="Garamond" w:eastAsia="Calibri" w:hAnsi="Garamond" w:cs="Mangal"/>
          <w:b/>
          <w:bCs/>
          <w:lang w:bidi="hi-IN"/>
        </w:rPr>
        <w:t>17.      Investment/ trading in securities by employees and board members of AMCs and trustees of mutual funds</w:t>
      </w:r>
    </w:p>
    <w:p w:rsidR="00796C73" w:rsidRPr="00796C73" w:rsidRDefault="00436B07" w:rsidP="00901509">
      <w:pPr>
        <w:spacing w:after="120"/>
        <w:jc w:val="both"/>
        <w:rPr>
          <w:rFonts w:ascii="Garamond" w:eastAsia="Calibri" w:hAnsi="Garamond" w:cs="Mangal"/>
          <w:lang w:val="en-IN" w:bidi="hi-IN"/>
        </w:rPr>
      </w:pPr>
      <w:r>
        <w:rPr>
          <w:rFonts w:ascii="Garamond" w:eastAsia="Calibri" w:hAnsi="Garamond" w:cs="Mangal"/>
          <w:lang w:val="en-IN" w:bidi="hi-IN"/>
        </w:rPr>
        <w:t>P</w:t>
      </w:r>
      <w:r w:rsidR="00796C73" w:rsidRPr="00796C73">
        <w:rPr>
          <w:rFonts w:ascii="Garamond" w:eastAsia="Calibri" w:hAnsi="Garamond" w:cs="Mangal"/>
          <w:lang w:val="en-IN" w:bidi="hi-IN"/>
        </w:rPr>
        <w:t xml:space="preserve">rovisions relating to investment/ trading in securities by employees and board members of AMCs and trustees of mutual funds has been modified, which includes definition of access person and the objective of guidelines. All employees shall refrain from profiting from the purchase and sale or sale and purchase of any security within a period of 30 calendar days from the date of their personal transaction. However, in cases where it is done, the employee shall provide a suitable explanation to the compliance officer, which shall be reported to the board of the AMC and the trustees at the time of review. Access persons shall not purchase or sell or repurchase or redeem units of any scheme, including overnight scheme of their mutual fund, where any information available is not yet communicated to the unitholders and which could materially impact the NAV or interest of unitholders, including scenarios where there is a likelihood of scheme related changes. </w:t>
      </w:r>
    </w:p>
    <w:p w:rsidR="00796C73" w:rsidRDefault="00796C73" w:rsidP="00901509">
      <w:pPr>
        <w:spacing w:after="120"/>
        <w:jc w:val="both"/>
        <w:rPr>
          <w:rFonts w:ascii="Garamond" w:eastAsia="Calibri" w:hAnsi="Garamond" w:cs="Mangal"/>
          <w:i/>
          <w:iCs/>
          <w:lang w:bidi="hi-IN"/>
        </w:rPr>
      </w:pPr>
      <w:r w:rsidRPr="00796C73">
        <w:rPr>
          <w:rFonts w:ascii="Garamond" w:eastAsia="Calibri" w:hAnsi="Garamond" w:cs="Mangal"/>
          <w:i/>
          <w:iCs/>
          <w:lang w:bidi="hi-IN"/>
        </w:rPr>
        <w:t>Source: SEBI/HO/IMD/IMD-I DOF5/P/CIR/2021/654 dated October 28, 2021.</w:t>
      </w:r>
    </w:p>
    <w:p w:rsidR="009774AE" w:rsidRPr="00796C73" w:rsidRDefault="009774AE" w:rsidP="00901509">
      <w:pPr>
        <w:spacing w:after="120"/>
        <w:jc w:val="both"/>
        <w:rPr>
          <w:rFonts w:ascii="Garamond" w:eastAsia="Calibri" w:hAnsi="Garamond" w:cs="Mangal"/>
          <w:i/>
          <w:iCs/>
          <w:lang w:bidi="hi-IN"/>
        </w:rPr>
      </w:pPr>
    </w:p>
    <w:p w:rsidR="009774AE" w:rsidRPr="009774AE" w:rsidRDefault="00D934CE" w:rsidP="00901509">
      <w:pPr>
        <w:spacing w:after="120"/>
        <w:ind w:left="1418" w:hanging="1418"/>
        <w:jc w:val="both"/>
        <w:rPr>
          <w:rFonts w:ascii="Garamond" w:eastAsia="Calibri" w:hAnsi="Garamond" w:cs="Mangal"/>
          <w:b/>
          <w:bCs/>
          <w:lang w:val="en-IN" w:bidi="hi-IN"/>
        </w:rPr>
      </w:pPr>
      <w:r>
        <w:rPr>
          <w:rFonts w:ascii="Garamond" w:eastAsia="Calibri" w:hAnsi="Garamond" w:cs="Mangal"/>
          <w:lang w:val="en-IN" w:bidi="hi-IN"/>
        </w:rPr>
        <w:t xml:space="preserve"> </w:t>
      </w:r>
    </w:p>
    <w:p w:rsidR="000C6BCB" w:rsidRDefault="00284E34" w:rsidP="000C6BCB">
      <w:pPr>
        <w:spacing w:after="120"/>
        <w:jc w:val="both"/>
        <w:rPr>
          <w:rFonts w:ascii="Garamond" w:hAnsi="Garamond"/>
          <w:b/>
        </w:rPr>
      </w:pPr>
      <w:r w:rsidRPr="00836FD4">
        <w:rPr>
          <w:rFonts w:ascii="Garamond" w:hAnsi="Garamond" w:cs="Arial"/>
          <w:i/>
        </w:rPr>
        <w:t>Disclaimer: The summary has been prepared for the convenience of readers. In case of any ambiguity, please refer to the original circular</w:t>
      </w:r>
      <w:r w:rsidR="00836FD4">
        <w:rPr>
          <w:rFonts w:ascii="Garamond" w:hAnsi="Garamond" w:cs="Arial"/>
          <w:i/>
        </w:rPr>
        <w:t xml:space="preserve"> from SEBI website</w:t>
      </w:r>
    </w:p>
    <w:p w:rsidR="00272724" w:rsidRPr="000C6BCB" w:rsidRDefault="00272724" w:rsidP="000C6BCB">
      <w:pPr>
        <w:spacing w:after="120"/>
        <w:jc w:val="center"/>
        <w:rPr>
          <w:rFonts w:ascii="Garamond" w:hAnsi="Garamond"/>
          <w:b/>
        </w:rPr>
      </w:pPr>
      <w:r w:rsidRPr="00C4512E">
        <w:rPr>
          <w:rFonts w:ascii="Garamond" w:hAnsi="Garamond"/>
          <w:b/>
          <w:color w:val="1F4E79" w:themeColor="accent1" w:themeShade="80"/>
          <w:sz w:val="28"/>
          <w:szCs w:val="28"/>
        </w:rPr>
        <w:lastRenderedPageBreak/>
        <w:t>REGULATORY ACTIONS TAKEN BY SEBI</w:t>
      </w:r>
    </w:p>
    <w:p w:rsidR="00272724" w:rsidRPr="000F5A2B" w:rsidRDefault="00272724" w:rsidP="00272724">
      <w:pPr>
        <w:rPr>
          <w:rFonts w:ascii="Garamond" w:hAnsi="Garamond"/>
          <w:b/>
        </w:rPr>
      </w:pPr>
    </w:p>
    <w:p w:rsidR="00272724" w:rsidRPr="000F5A2B" w:rsidRDefault="00C4512E" w:rsidP="00C4512E">
      <w:pPr>
        <w:jc w:val="center"/>
        <w:rPr>
          <w:rFonts w:ascii="Garamond" w:hAnsi="Garamond"/>
          <w:b/>
          <w:color w:val="1F4E79" w:themeColor="accent1" w:themeShade="80"/>
        </w:rPr>
      </w:pPr>
      <w:r>
        <w:rPr>
          <w:rFonts w:ascii="Garamond" w:hAnsi="Garamond"/>
          <w:b/>
          <w:color w:val="1F4E79" w:themeColor="accent1" w:themeShade="80"/>
        </w:rPr>
        <w:t>(</w:t>
      </w:r>
      <w:r w:rsidR="00836FD4" w:rsidRPr="000F5A2B">
        <w:rPr>
          <w:rFonts w:ascii="Garamond" w:hAnsi="Garamond"/>
          <w:b/>
          <w:color w:val="1F4E79" w:themeColor="accent1" w:themeShade="80"/>
        </w:rPr>
        <w:t xml:space="preserve">Summary of </w:t>
      </w:r>
      <w:r w:rsidR="00272724" w:rsidRPr="000F5A2B">
        <w:rPr>
          <w:rFonts w:ascii="Garamond" w:hAnsi="Garamond"/>
          <w:b/>
          <w:color w:val="1F4E79" w:themeColor="accent1" w:themeShade="80"/>
        </w:rPr>
        <w:t>Orders passed by Whole Time Members</w:t>
      </w:r>
      <w:r w:rsidR="00F9747C" w:rsidRPr="000F5A2B">
        <w:rPr>
          <w:rFonts w:ascii="Garamond" w:hAnsi="Garamond"/>
          <w:b/>
          <w:color w:val="1F4E79" w:themeColor="accent1" w:themeShade="80"/>
        </w:rPr>
        <w:t xml:space="preserve"> / Adjudication Officers</w:t>
      </w:r>
      <w:r>
        <w:rPr>
          <w:rFonts w:ascii="Garamond" w:hAnsi="Garamond"/>
          <w:b/>
          <w:color w:val="1F4E79" w:themeColor="accent1" w:themeShade="80"/>
        </w:rPr>
        <w:t>)</w:t>
      </w:r>
    </w:p>
    <w:p w:rsidR="00A07B14" w:rsidRDefault="00A07B14" w:rsidP="00272724">
      <w:pPr>
        <w:rPr>
          <w:rFonts w:ascii="Garamond" w:hAnsi="Garamond"/>
          <w:b/>
          <w:sz w:val="22"/>
          <w:szCs w:val="22"/>
        </w:rPr>
      </w:pPr>
    </w:p>
    <w:p w:rsidR="00956136" w:rsidRDefault="00956136" w:rsidP="00272724">
      <w:pPr>
        <w:rPr>
          <w:rFonts w:ascii="Garamond" w:hAnsi="Garamond"/>
          <w:b/>
          <w:sz w:val="22"/>
          <w:szCs w:val="22"/>
        </w:rPr>
      </w:pPr>
    </w:p>
    <w:tbl>
      <w:tblPr>
        <w:tblW w:w="10774" w:type="dxa"/>
        <w:tblInd w:w="-431" w:type="dxa"/>
        <w:tblLayout w:type="fixed"/>
        <w:tblLook w:val="04A0" w:firstRow="1" w:lastRow="0" w:firstColumn="1" w:lastColumn="0" w:noHBand="0" w:noVBand="1"/>
      </w:tblPr>
      <w:tblGrid>
        <w:gridCol w:w="568"/>
        <w:gridCol w:w="1418"/>
        <w:gridCol w:w="1701"/>
        <w:gridCol w:w="1275"/>
        <w:gridCol w:w="2127"/>
        <w:gridCol w:w="2268"/>
        <w:gridCol w:w="1417"/>
      </w:tblGrid>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center"/>
              <w:rPr>
                <w:rFonts w:ascii="Garamond" w:hAnsi="Garamond" w:cs="Calibri"/>
                <w:b/>
                <w:bCs/>
                <w:color w:val="000000"/>
                <w:sz w:val="20"/>
                <w:szCs w:val="20"/>
                <w:lang w:val="en-IN" w:eastAsia="en-IN" w:bidi="hi-IN"/>
              </w:rPr>
            </w:pPr>
            <w:r w:rsidRPr="00D91B4B">
              <w:rPr>
                <w:rFonts w:ascii="Garamond" w:hAnsi="Garamond" w:cs="Calibri"/>
                <w:b/>
                <w:bCs/>
                <w:color w:val="000000"/>
                <w:sz w:val="20"/>
                <w:szCs w:val="20"/>
                <w:lang w:val="en-IN" w:eastAsia="en-IN" w:bidi="hi-IN"/>
              </w:rPr>
              <w:t>Sl.</w:t>
            </w:r>
          </w:p>
          <w:p w:rsidR="00956136" w:rsidRPr="00D91B4B" w:rsidRDefault="00956136" w:rsidP="00530909">
            <w:pPr>
              <w:jc w:val="center"/>
              <w:rPr>
                <w:rFonts w:ascii="Garamond" w:hAnsi="Garamond" w:cs="Calibri"/>
                <w:b/>
                <w:bCs/>
                <w:color w:val="000000"/>
                <w:sz w:val="20"/>
                <w:szCs w:val="20"/>
                <w:lang w:val="en-IN" w:eastAsia="en-IN" w:bidi="hi-IN"/>
              </w:rPr>
            </w:pPr>
            <w:r w:rsidRPr="00D91B4B">
              <w:rPr>
                <w:rFonts w:ascii="Garamond" w:hAnsi="Garamond" w:cs="Calibri"/>
                <w:b/>
                <w:bCs/>
                <w:color w:val="000000"/>
                <w:sz w:val="20"/>
                <w:szCs w:val="20"/>
                <w:lang w:val="en-IN" w:eastAsia="en-IN" w:bidi="hi-IN"/>
              </w:rPr>
              <w:t>No.</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6136" w:rsidRPr="00D91B4B" w:rsidRDefault="00956136" w:rsidP="00530909">
            <w:pPr>
              <w:jc w:val="center"/>
              <w:rPr>
                <w:rFonts w:ascii="Garamond" w:hAnsi="Garamond" w:cs="Calibri"/>
                <w:b/>
                <w:bCs/>
                <w:color w:val="000000"/>
                <w:sz w:val="20"/>
                <w:szCs w:val="20"/>
                <w:lang w:val="en-IN" w:eastAsia="en-IN" w:bidi="hi-IN"/>
              </w:rPr>
            </w:pPr>
            <w:r w:rsidRPr="00D91B4B">
              <w:rPr>
                <w:rFonts w:ascii="Garamond" w:hAnsi="Garamond" w:cs="Calibri"/>
                <w:b/>
                <w:bCs/>
                <w:color w:val="000000"/>
                <w:sz w:val="20"/>
                <w:szCs w:val="20"/>
                <w:lang w:val="en-IN" w:eastAsia="en-IN" w:bidi="hi-IN"/>
              </w:rPr>
              <w:t>Date</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956136" w:rsidRPr="00D91B4B" w:rsidRDefault="00956136" w:rsidP="00530909">
            <w:pPr>
              <w:jc w:val="center"/>
              <w:rPr>
                <w:rFonts w:ascii="Garamond" w:hAnsi="Garamond" w:cs="Calibri"/>
                <w:b/>
                <w:bCs/>
                <w:color w:val="000000"/>
                <w:sz w:val="20"/>
                <w:szCs w:val="20"/>
                <w:lang w:val="en-IN" w:eastAsia="en-IN" w:bidi="hi-IN"/>
              </w:rPr>
            </w:pPr>
            <w:r w:rsidRPr="00D91B4B">
              <w:rPr>
                <w:rFonts w:ascii="Garamond" w:hAnsi="Garamond" w:cs="Calibri"/>
                <w:b/>
                <w:bCs/>
                <w:color w:val="000000"/>
                <w:sz w:val="20"/>
                <w:szCs w:val="20"/>
                <w:lang w:val="en-IN" w:eastAsia="en-IN" w:bidi="hi-IN"/>
              </w:rPr>
              <w:t>Case Name</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956136" w:rsidRPr="00D91B4B" w:rsidRDefault="00956136" w:rsidP="00530909">
            <w:pPr>
              <w:jc w:val="center"/>
              <w:rPr>
                <w:rFonts w:ascii="Garamond" w:hAnsi="Garamond" w:cs="Calibri"/>
                <w:b/>
                <w:bCs/>
                <w:color w:val="000000"/>
                <w:sz w:val="20"/>
                <w:szCs w:val="20"/>
                <w:lang w:val="en-IN" w:eastAsia="en-IN" w:bidi="hi-IN"/>
              </w:rPr>
            </w:pPr>
            <w:r w:rsidRPr="00D91B4B">
              <w:rPr>
                <w:rFonts w:ascii="Garamond" w:hAnsi="Garamond" w:cs="Calibri"/>
                <w:b/>
                <w:bCs/>
                <w:color w:val="000000"/>
                <w:sz w:val="20"/>
                <w:szCs w:val="20"/>
                <w:lang w:val="en-IN" w:eastAsia="en-IN" w:bidi="hi-IN"/>
              </w:rPr>
              <w:t xml:space="preserve">Action </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956136" w:rsidRPr="00D91B4B" w:rsidRDefault="00956136" w:rsidP="00530909">
            <w:pPr>
              <w:jc w:val="center"/>
              <w:rPr>
                <w:rFonts w:ascii="Garamond" w:hAnsi="Garamond" w:cs="Calibri"/>
                <w:b/>
                <w:bCs/>
                <w:color w:val="000000"/>
                <w:sz w:val="20"/>
                <w:szCs w:val="20"/>
                <w:lang w:val="en-IN" w:eastAsia="en-IN" w:bidi="hi-IN"/>
              </w:rPr>
            </w:pPr>
            <w:r w:rsidRPr="00D91B4B">
              <w:rPr>
                <w:rFonts w:ascii="Garamond" w:hAnsi="Garamond" w:cs="Calibri"/>
                <w:b/>
                <w:bCs/>
                <w:color w:val="000000"/>
                <w:sz w:val="20"/>
                <w:szCs w:val="20"/>
                <w:lang w:val="en-IN" w:eastAsia="en-IN" w:bidi="hi-IN"/>
              </w:rPr>
              <w:t>Entity</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956136" w:rsidRPr="00D91B4B" w:rsidRDefault="00956136" w:rsidP="00530909">
            <w:pPr>
              <w:jc w:val="center"/>
              <w:rPr>
                <w:rFonts w:ascii="Garamond" w:hAnsi="Garamond" w:cs="Calibri"/>
                <w:b/>
                <w:bCs/>
                <w:color w:val="000000"/>
                <w:sz w:val="20"/>
                <w:szCs w:val="20"/>
                <w:lang w:val="en-IN" w:eastAsia="en-IN" w:bidi="hi-IN"/>
              </w:rPr>
            </w:pPr>
            <w:r w:rsidRPr="00D91B4B">
              <w:rPr>
                <w:rFonts w:ascii="Garamond" w:hAnsi="Garamond" w:cs="Calibri"/>
                <w:b/>
                <w:bCs/>
                <w:color w:val="000000"/>
                <w:sz w:val="20"/>
                <w:szCs w:val="20"/>
                <w:lang w:val="en-IN" w:eastAsia="en-IN" w:bidi="hi-IN"/>
              </w:rPr>
              <w:t>Violation</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956136" w:rsidRPr="00D91B4B" w:rsidRDefault="00956136" w:rsidP="000C6BCB">
            <w:pPr>
              <w:jc w:val="center"/>
              <w:rPr>
                <w:rFonts w:ascii="Garamond" w:hAnsi="Garamond" w:cs="Calibri"/>
                <w:b/>
                <w:bCs/>
                <w:color w:val="000000"/>
                <w:sz w:val="20"/>
                <w:szCs w:val="20"/>
                <w:lang w:val="en-IN" w:eastAsia="en-IN" w:bidi="hi-IN"/>
              </w:rPr>
            </w:pPr>
            <w:r w:rsidRPr="00D91B4B">
              <w:rPr>
                <w:rFonts w:ascii="Garamond" w:hAnsi="Garamond" w:cs="Calibri"/>
                <w:b/>
                <w:bCs/>
                <w:color w:val="000000"/>
                <w:sz w:val="20"/>
                <w:szCs w:val="20"/>
                <w:lang w:val="en-IN" w:eastAsia="en-IN" w:bidi="hi-IN"/>
              </w:rPr>
              <w:t>PENALTY (</w:t>
            </w:r>
            <w:r w:rsidR="000C6BCB">
              <w:rPr>
                <w:rFonts w:ascii="Garamond" w:hAnsi="Garamond" w:cs="Calibri"/>
                <w:b/>
                <w:bCs/>
                <w:color w:val="000000"/>
                <w:sz w:val="20"/>
                <w:szCs w:val="20"/>
                <w:lang w:val="en-IN" w:eastAsia="en-IN" w:bidi="hi-IN"/>
              </w:rPr>
              <w:t>Rs.</w:t>
            </w:r>
            <w:r w:rsidRPr="00D91B4B">
              <w:rPr>
                <w:rFonts w:ascii="Garamond" w:hAnsi="Garamond" w:cs="Calibri"/>
                <w:b/>
                <w:bCs/>
                <w:color w:val="000000"/>
                <w:sz w:val="20"/>
                <w:szCs w:val="20"/>
                <w:lang w:val="en-IN" w:eastAsia="en-IN" w:bidi="hi-IN"/>
              </w:rPr>
              <w:t>)</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1</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Calibri" w:hAnsi="Garamond" w:cs="Mangal"/>
                <w:sz w:val="20"/>
                <w:szCs w:val="20"/>
                <w:lang w:bidi="hi-IN"/>
              </w:rPr>
              <w:t>01/10/2021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cs="Calibri"/>
                <w:color w:val="000000"/>
                <w:sz w:val="20"/>
                <w:szCs w:val="20"/>
              </w:rPr>
            </w:pPr>
            <w:r w:rsidRPr="00D91B4B">
              <w:rPr>
                <w:rFonts w:ascii="Garamond" w:hAnsi="Garamond" w:cs="Calibri"/>
                <w:color w:val="000000"/>
                <w:sz w:val="20"/>
                <w:szCs w:val="20"/>
              </w:rPr>
              <w:t>Indiabulls Ventures Limited</w:t>
            </w:r>
          </w:p>
          <w:p w:rsidR="00956136" w:rsidRPr="00D91B4B" w:rsidRDefault="00956136" w:rsidP="00530909">
            <w:pPr>
              <w:jc w:val="both"/>
              <w:rPr>
                <w:rFonts w:ascii="Garamond" w:hAnsi="Garamond"/>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Calibri" w:hAnsi="Garamond" w:cs="Mangal"/>
                <w:sz w:val="20"/>
                <w:szCs w:val="20"/>
                <w:lang w:bidi="hi-IN"/>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shd w:val="clear" w:color="auto" w:fill="FFFFFF"/>
              <w:jc w:val="both"/>
              <w:rPr>
                <w:rFonts w:ascii="Garamond" w:eastAsia="Calibri" w:hAnsi="Garamond" w:cs="Mangal"/>
                <w:sz w:val="20"/>
                <w:szCs w:val="20"/>
                <w:lang w:bidi="hi-IN"/>
              </w:rPr>
            </w:pPr>
            <w:r w:rsidRPr="00D91B4B">
              <w:rPr>
                <w:rFonts w:ascii="Garamond" w:eastAsia="Calibri" w:hAnsi="Garamond" w:cs="Mangal"/>
                <w:sz w:val="20"/>
                <w:szCs w:val="20"/>
                <w:lang w:bidi="hi-IN"/>
              </w:rPr>
              <w:t>Mr. Pramod Singh</w:t>
            </w:r>
          </w:p>
          <w:p w:rsidR="00956136" w:rsidRPr="00D91B4B" w:rsidRDefault="00956136" w:rsidP="00530909">
            <w:pPr>
              <w:shd w:val="clear" w:color="auto" w:fill="FFFFFF"/>
              <w:jc w:val="both"/>
              <w:rPr>
                <w:rFonts w:ascii="Garamond" w:hAnsi="Garamond"/>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eastAsia="Calibri" w:hAnsi="Garamond" w:cs="Mangal"/>
                <w:sz w:val="20"/>
                <w:szCs w:val="20"/>
                <w:lang w:bidi="hi-IN"/>
              </w:rPr>
            </w:pPr>
            <w:r w:rsidRPr="00D91B4B">
              <w:rPr>
                <w:rFonts w:ascii="Garamond" w:eastAsia="Calibri" w:hAnsi="Garamond" w:cs="Mangal"/>
                <w:sz w:val="20"/>
                <w:szCs w:val="20"/>
                <w:lang w:bidi="hi-IN"/>
              </w:rPr>
              <w:t>Section 12A (d) &amp; (e) of SEBI Act, 1992 and Regulation</w:t>
            </w:r>
            <w:r w:rsidR="00D91B4B">
              <w:rPr>
                <w:rFonts w:ascii="Garamond" w:eastAsia="Calibri" w:hAnsi="Garamond" w:cs="Mangal"/>
                <w:sz w:val="20"/>
                <w:szCs w:val="20"/>
                <w:lang w:bidi="hi-IN"/>
              </w:rPr>
              <w:t>s 4(1) of PIT Regulations, 2015</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eastAsia="Calibri" w:hAnsi="Garamond" w:cs="Mangal"/>
                <w:sz w:val="20"/>
                <w:szCs w:val="20"/>
                <w:lang w:bidi="hi-IN"/>
              </w:rPr>
              <w:t>-</w:t>
            </w:r>
          </w:p>
        </w:tc>
      </w:tr>
      <w:tr w:rsidR="00956136" w:rsidRPr="00D91B4B" w:rsidTr="00D91B4B">
        <w:trPr>
          <w:trHeight w:val="594"/>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Calibri" w:hAnsi="Garamond" w:cs="Mangal"/>
                <w:sz w:val="20"/>
                <w:szCs w:val="20"/>
                <w:lang w:bidi="hi-IN"/>
              </w:rPr>
              <w:t>01/10/2021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cs="Mangal"/>
                <w:sz w:val="20"/>
                <w:szCs w:val="20"/>
                <w:lang w:bidi="hi-IN"/>
              </w:rPr>
            </w:pPr>
            <w:r w:rsidRPr="00D91B4B">
              <w:rPr>
                <w:rFonts w:ascii="Garamond" w:eastAsia="Calibri" w:hAnsi="Garamond" w:cs="Mangal"/>
                <w:sz w:val="20"/>
                <w:szCs w:val="20"/>
                <w:lang w:bidi="hi-IN"/>
              </w:rPr>
              <w:t>Excel Castronics Limited</w:t>
            </w:r>
          </w:p>
          <w:p w:rsidR="00956136" w:rsidRPr="00D91B4B" w:rsidRDefault="00956136" w:rsidP="00530909">
            <w:pPr>
              <w:jc w:val="both"/>
              <w:rPr>
                <w:rFonts w:ascii="Garamond" w:hAnsi="Garamond"/>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Calibri" w:hAnsi="Garamond" w:cs="Mangal"/>
                <w:sz w:val="20"/>
                <w:szCs w:val="20"/>
                <w:lang w:bidi="hi-IN"/>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cs="Calibri"/>
                <w:color w:val="000000"/>
                <w:sz w:val="20"/>
                <w:szCs w:val="20"/>
              </w:rPr>
            </w:pPr>
            <w:r w:rsidRPr="00D91B4B">
              <w:rPr>
                <w:rFonts w:ascii="Garamond" w:hAnsi="Garamond" w:cs="Calibri"/>
                <w:color w:val="000000"/>
                <w:sz w:val="20"/>
                <w:szCs w:val="20"/>
              </w:rPr>
              <w:t xml:space="preserve">Payal Jayeshbhai Madiyar, Amit Ashokbhai Pala, Jayesh Vallabhaji Madiyar, Tanna Tusharbhai Hiralal, Sampati Broking Private Limited (New Name -Sampati Financial Services Private Limited), Vardhman Infracon Pvt Ltd, S J Infratech Private Limited, Sureshbhai Kantilal Thakkar, Manubha Prabhatsang Vaghela, Jagdishkumar Amrutlal Akhani, Passim Share Trade Private Limited, Dexter Share And Tradecom Private Limited, Blink Share and Comtrade Private Limited, Eyesight Share Trading Private Limited, Ramanbhai Jethabhai Jadav, Yashwant Ramanbhai Jadav, Rajnikant Ramanbhai Jadav, Prabhaben Gordhandas Savjani, Meeta Tusharbhai Tanna, Sunil Jayantilal Bhatt, Jadeja Virbhadrasinh, Arun Jawalaprasad Tulsian, Ashi Arun Kumar Tulsian, Ashi Texfab Pvt.Ltd, Kantilal W Parekh, Kartik Clothing And Fabrics Pvt Ltd, Manish K Parekh, Pavanben Kantilal Parekh, Sandeep K Parekh, Sitadevi Arunkumar Tulsian, Karishmaben Alpeshkumar Shah, </w:t>
            </w:r>
            <w:r w:rsidRPr="00D91B4B">
              <w:rPr>
                <w:rFonts w:ascii="Garamond" w:hAnsi="Garamond" w:cs="Calibri"/>
                <w:color w:val="000000"/>
                <w:sz w:val="20"/>
                <w:szCs w:val="20"/>
              </w:rPr>
              <w:lastRenderedPageBreak/>
              <w:t>Annex Realty Private limited</w:t>
            </w:r>
          </w:p>
          <w:p w:rsidR="00956136" w:rsidRPr="00D91B4B" w:rsidRDefault="00956136" w:rsidP="00530909">
            <w:pPr>
              <w:jc w:val="both"/>
              <w:rPr>
                <w:rFonts w:ascii="Garamond" w:hAnsi="Garamond"/>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eastAsia="Calibri" w:hAnsi="Garamond" w:cs="Mangal"/>
                <w:sz w:val="20"/>
                <w:szCs w:val="20"/>
                <w:lang w:bidi="hi-IN"/>
              </w:rPr>
            </w:pPr>
            <w:r w:rsidRPr="00D91B4B">
              <w:rPr>
                <w:rFonts w:ascii="Garamond" w:eastAsia="Calibri" w:hAnsi="Garamond" w:cs="Mangal"/>
                <w:sz w:val="20"/>
                <w:szCs w:val="20"/>
                <w:lang w:bidi="hi-IN"/>
              </w:rPr>
              <w:lastRenderedPageBreak/>
              <w:t xml:space="preserve">Regulation 13(4) read with regulation 13(5) of the  SEBI  (PIT)  Regulations,  1992  read  with Regulation  12  of  the  SEBI(PIT)  Regulations, 2015, Para 3.3.1 and 4.2 of Schedule I of Part A of SEBI(PIT) Regulations, 1992 read with Regulation12 of SEBI (PIT) Regulations, 2015 ; </w:t>
            </w:r>
          </w:p>
          <w:p w:rsidR="00956136" w:rsidRPr="00D91B4B" w:rsidRDefault="00956136" w:rsidP="00530909">
            <w:pPr>
              <w:shd w:val="clear" w:color="auto" w:fill="FFFFFF"/>
              <w:jc w:val="both"/>
              <w:rPr>
                <w:rFonts w:ascii="Garamond" w:hAnsi="Garamond"/>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sz w:val="20"/>
                <w:szCs w:val="20"/>
              </w:rPr>
              <w:t>1,92,00,000</w:t>
            </w:r>
          </w:p>
          <w:p w:rsidR="00956136" w:rsidRPr="00D91B4B" w:rsidRDefault="00956136" w:rsidP="00530909">
            <w:pPr>
              <w:jc w:val="right"/>
              <w:rPr>
                <w:rFonts w:ascii="Garamond" w:hAnsi="Garamond"/>
                <w:sz w:val="20"/>
                <w:szCs w:val="20"/>
              </w:rPr>
            </w:pP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lastRenderedPageBreak/>
              <w:t>3</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Calibri" w:hAnsi="Garamond" w:cs="Mangal"/>
                <w:sz w:val="20"/>
                <w:szCs w:val="20"/>
                <w:lang w:bidi="hi-IN"/>
              </w:rPr>
              <w:t>04/10/2021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cs="Mangal"/>
                <w:sz w:val="20"/>
                <w:szCs w:val="20"/>
                <w:lang w:bidi="hi-IN"/>
              </w:rPr>
            </w:pPr>
            <w:r w:rsidRPr="00D91B4B">
              <w:rPr>
                <w:rFonts w:ascii="Garamond" w:eastAsia="Calibri" w:hAnsi="Garamond" w:cs="Mangal"/>
                <w:sz w:val="20"/>
                <w:szCs w:val="20"/>
                <w:lang w:bidi="hi-IN"/>
              </w:rPr>
              <w:t>Mr. Alpesh Furiya and connected entities trading ahead of recommendations made by Mr. Pradeep Pandya, anchor of various shows on CNBC Awaaz</w:t>
            </w:r>
          </w:p>
          <w:p w:rsidR="00956136" w:rsidRPr="00D91B4B" w:rsidRDefault="00956136" w:rsidP="00530909">
            <w:pPr>
              <w:jc w:val="both"/>
              <w:rPr>
                <w:rFonts w:ascii="Garamond" w:hAnsi="Garamond"/>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Calibri" w:hAnsi="Garamond" w:cs="Mangal"/>
                <w:sz w:val="20"/>
                <w:szCs w:val="20"/>
                <w:lang w:bidi="hi-IN"/>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cs="Mangal"/>
                <w:sz w:val="20"/>
                <w:szCs w:val="20"/>
                <w:lang w:bidi="hi-IN"/>
              </w:rPr>
            </w:pPr>
            <w:r w:rsidRPr="00D91B4B">
              <w:rPr>
                <w:rFonts w:ascii="Garamond" w:eastAsia="Calibri" w:hAnsi="Garamond" w:cs="Mangal"/>
                <w:sz w:val="20"/>
                <w:szCs w:val="20"/>
                <w:lang w:bidi="hi-IN"/>
              </w:rPr>
              <w:t>Alpesh Vasanji Furiya, Alpesh Vasanji Furiya (HUF), Manish Vasanji Furiya, Manish V. Furiya (HUF), Alpa Alpesh Furiya, Pradeep Baijnath Pandya.</w:t>
            </w:r>
          </w:p>
          <w:p w:rsidR="00956136" w:rsidRPr="00D91B4B" w:rsidRDefault="00956136" w:rsidP="00530909">
            <w:pPr>
              <w:jc w:val="both"/>
              <w:rPr>
                <w:rFonts w:ascii="Garamond" w:hAnsi="Garamond"/>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hAnsi="Garamond"/>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eastAsia="Calibri" w:hAnsi="Garamond" w:cs="Mangal"/>
                <w:sz w:val="20"/>
                <w:szCs w:val="20"/>
                <w:lang w:bidi="hi-IN"/>
              </w:rPr>
              <w:t>-</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4</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Calibri" w:hAnsi="Garamond" w:cs="Mangal"/>
                <w:sz w:val="20"/>
                <w:szCs w:val="20"/>
                <w:lang w:bidi="hi-IN"/>
              </w:rPr>
              <w:t>06/10/2021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Calibri" w:hAnsi="Garamond" w:cs="Mangal"/>
                <w:sz w:val="20"/>
                <w:szCs w:val="20"/>
                <w:lang w:bidi="hi-IN"/>
              </w:rPr>
              <w:t>GDR Issue of Hiran Orgochem Ltd.</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Calibri" w:hAnsi="Garamond" w:cs="Mangal"/>
                <w:sz w:val="20"/>
                <w:szCs w:val="20"/>
                <w:lang w:bidi="hi-IN"/>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Calibri" w:hAnsi="Garamond" w:cs="Mangal"/>
                <w:sz w:val="20"/>
                <w:szCs w:val="20"/>
                <w:lang w:bidi="hi-IN"/>
              </w:rPr>
              <w:t>Hiran Orgochem Ltd, Kantilal Hiran, Arun Panchariya, Vintage Fze, Mukesh Chauradiya, India Focus Cardinal Fund, Highblue Sky Emerging Market Fund(, European American Investment Bank AG, Cardinal Capital Partners Ltd, Golden Cliff.</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eastAsia="Calibri" w:hAnsi="Garamond" w:cs="Mangal"/>
                <w:sz w:val="20"/>
                <w:szCs w:val="20"/>
                <w:lang w:bidi="hi-IN"/>
              </w:rPr>
              <w:t>Sections 12 A (a)–(c) of the SEBI Act and Regulations 3(a)–(d), 4(1) and 4(2)(f),(k)and(r) of the PFUTP Regulations, 2003</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eastAsia="Calibri" w:hAnsi="Garamond" w:cs="Mangal"/>
                <w:sz w:val="20"/>
                <w:szCs w:val="20"/>
                <w:lang w:bidi="hi-IN"/>
              </w:rPr>
              <w:t>-</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5</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Calibri" w:hAnsi="Garamond" w:cs="Mangal"/>
                <w:sz w:val="20"/>
                <w:szCs w:val="20"/>
                <w:lang w:bidi="hi-IN"/>
              </w:rPr>
              <w:t>07/10/2021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Calibri" w:hAnsi="Garamond" w:cs="Mangal"/>
                <w:sz w:val="20"/>
                <w:szCs w:val="20"/>
                <w:lang w:bidi="hi-IN"/>
              </w:rPr>
              <w:t>Celebrus Commodities Ltd.</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Calibri" w:hAnsi="Garamond" w:cs="Mangal"/>
                <w:sz w:val="20"/>
                <w:szCs w:val="20"/>
                <w:lang w:bidi="hi-IN"/>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sz w:val="20"/>
                <w:szCs w:val="20"/>
              </w:rPr>
              <w:t>Celebrus Commodities Ltd.</w:t>
            </w:r>
          </w:p>
        </w:tc>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shd w:val="clear" w:color="auto" w:fill="FFFFFF"/>
              <w:jc w:val="both"/>
              <w:rPr>
                <w:rFonts w:ascii="Garamond" w:hAnsi="Garamond"/>
                <w:sz w:val="20"/>
                <w:szCs w:val="20"/>
              </w:rPr>
            </w:pPr>
            <w:r w:rsidRPr="00D91B4B">
              <w:rPr>
                <w:rFonts w:ascii="Garamond" w:hAnsi="Garamond"/>
                <w:sz w:val="20"/>
                <w:szCs w:val="20"/>
              </w:rPr>
              <w:t>Schedule II of the Intermediaries Regulations</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sz w:val="20"/>
                <w:szCs w:val="20"/>
              </w:rPr>
              <w:t>-</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6</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sz w:val="20"/>
                <w:szCs w:val="20"/>
              </w:rPr>
              <w:t>07/10/2021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sz w:val="20"/>
                <w:szCs w:val="20"/>
              </w:rPr>
              <w:t xml:space="preserve">Svam Software Ltd </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sz w:val="20"/>
                <w:szCs w:val="20"/>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sz w:val="20"/>
                <w:szCs w:val="20"/>
              </w:rPr>
              <w:t xml:space="preserve">M/s. Svam Software Ltd., Mr. Virender Gupta, Mr. Sudhir Kumar Agarwal, Mr. Harshwardhan Koshal, Mr. Rajeev Garg, Mrs. Manisha Agarwal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hAnsi="Garamond"/>
                <w:sz w:val="20"/>
                <w:szCs w:val="20"/>
              </w:rPr>
              <w:t>LODR  Regulations and Section 21  of  SCRA  Act,  1956</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sz w:val="20"/>
                <w:szCs w:val="20"/>
              </w:rPr>
              <w:t>63,00,000</w:t>
            </w:r>
          </w:p>
          <w:p w:rsidR="00956136" w:rsidRPr="00D91B4B" w:rsidRDefault="00956136" w:rsidP="00530909">
            <w:pPr>
              <w:jc w:val="right"/>
              <w:rPr>
                <w:rFonts w:ascii="Garamond" w:hAnsi="Garamond"/>
                <w:sz w:val="20"/>
                <w:szCs w:val="20"/>
              </w:rPr>
            </w:pP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7</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cs="Mangal"/>
                <w:sz w:val="20"/>
                <w:szCs w:val="20"/>
              </w:rPr>
            </w:pPr>
            <w:r w:rsidRPr="00D91B4B">
              <w:rPr>
                <w:rFonts w:ascii="Garamond" w:hAnsi="Garamond"/>
                <w:sz w:val="20"/>
                <w:szCs w:val="20"/>
              </w:rPr>
              <w:t>08/10/2021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cs="Mangal"/>
                <w:sz w:val="20"/>
                <w:szCs w:val="20"/>
              </w:rPr>
            </w:pPr>
            <w:r w:rsidRPr="00D91B4B">
              <w:rPr>
                <w:rFonts w:ascii="Garamond" w:hAnsi="Garamond"/>
                <w:sz w:val="20"/>
                <w:szCs w:val="20"/>
              </w:rPr>
              <w:t>PEC Ltd.</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cs="Mangal"/>
                <w:sz w:val="20"/>
                <w:szCs w:val="20"/>
              </w:rPr>
            </w:pPr>
            <w:r w:rsidRPr="00D91B4B">
              <w:rPr>
                <w:rFonts w:ascii="Garamond" w:hAnsi="Garamond"/>
                <w:sz w:val="20"/>
                <w:szCs w:val="20"/>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cs="Mangal"/>
                <w:sz w:val="20"/>
                <w:szCs w:val="20"/>
              </w:rPr>
            </w:pPr>
            <w:r w:rsidRPr="00D91B4B">
              <w:rPr>
                <w:rFonts w:ascii="Garamond" w:hAnsi="Garamond"/>
                <w:sz w:val="20"/>
                <w:szCs w:val="20"/>
              </w:rPr>
              <w:t>PEC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eastAsia="Calibri" w:hAnsi="Garamond" w:cs="Mangal"/>
                <w:sz w:val="20"/>
                <w:szCs w:val="20"/>
              </w:rPr>
            </w:pPr>
            <w:r w:rsidRPr="00D91B4B">
              <w:rPr>
                <w:rFonts w:ascii="Garamond" w:hAnsi="Garamond"/>
                <w:sz w:val="20"/>
                <w:szCs w:val="20"/>
              </w:rPr>
              <w:t xml:space="preserve">Regulation 5(e) of the Stock Brokers Regulations read with Schedule II of the Intermediaries Regulations </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right"/>
              <w:rPr>
                <w:rFonts w:ascii="Garamond" w:eastAsia="Calibri" w:hAnsi="Garamond" w:cs="Mangal"/>
                <w:sz w:val="20"/>
                <w:szCs w:val="20"/>
              </w:rPr>
            </w:pPr>
            <w:r w:rsidRPr="00D91B4B">
              <w:rPr>
                <w:rFonts w:ascii="Garamond" w:eastAsia="Calibri" w:hAnsi="Garamond" w:cs="Mangal"/>
                <w:sz w:val="20"/>
                <w:szCs w:val="20"/>
              </w:rPr>
              <w:t>-</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8</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cs="Mangal"/>
                <w:sz w:val="20"/>
                <w:szCs w:val="20"/>
              </w:rPr>
            </w:pPr>
            <w:r w:rsidRPr="00D91B4B">
              <w:rPr>
                <w:rFonts w:ascii="Garamond" w:hAnsi="Garamond"/>
                <w:sz w:val="20"/>
                <w:szCs w:val="20"/>
              </w:rPr>
              <w:t>13/10/2021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cs="Mangal"/>
                <w:sz w:val="20"/>
                <w:szCs w:val="20"/>
              </w:rPr>
            </w:pPr>
            <w:r w:rsidRPr="00D91B4B">
              <w:rPr>
                <w:rFonts w:ascii="Garamond" w:hAnsi="Garamond" w:cs="Arial"/>
                <w:color w:val="000000"/>
                <w:sz w:val="20"/>
                <w:szCs w:val="20"/>
              </w:rPr>
              <w:t>Paterson Commodities Private Ltd.</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cs="Mangal"/>
                <w:sz w:val="20"/>
                <w:szCs w:val="20"/>
              </w:rPr>
            </w:pPr>
            <w:r w:rsidRPr="00D91B4B">
              <w:rPr>
                <w:rFonts w:ascii="Garamond" w:hAnsi="Garamond"/>
                <w:sz w:val="20"/>
                <w:szCs w:val="20"/>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cs="Mangal"/>
                <w:sz w:val="20"/>
                <w:szCs w:val="20"/>
              </w:rPr>
            </w:pPr>
            <w:r w:rsidRPr="00D91B4B">
              <w:rPr>
                <w:rFonts w:ascii="Garamond" w:hAnsi="Garamond"/>
                <w:sz w:val="20"/>
                <w:szCs w:val="20"/>
              </w:rPr>
              <w:t>Paterson Commodities Private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eastAsia="Calibri" w:hAnsi="Garamond" w:cs="Mangal"/>
                <w:sz w:val="20"/>
                <w:szCs w:val="20"/>
              </w:rPr>
            </w:pPr>
            <w:r w:rsidRPr="00D91B4B">
              <w:rPr>
                <w:rFonts w:ascii="Garamond" w:hAnsi="Garamond"/>
                <w:sz w:val="20"/>
                <w:szCs w:val="20"/>
              </w:rPr>
              <w:t xml:space="preserve">Schedule II of the Intermediaries Regulations </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right"/>
              <w:rPr>
                <w:rFonts w:ascii="Garamond" w:eastAsia="Calibri" w:hAnsi="Garamond" w:cs="Mangal"/>
                <w:sz w:val="20"/>
                <w:szCs w:val="20"/>
              </w:rPr>
            </w:pPr>
            <w:r w:rsidRPr="00D91B4B">
              <w:rPr>
                <w:rFonts w:ascii="Garamond" w:eastAsia="Calibri" w:hAnsi="Garamond" w:cs="Mangal"/>
                <w:sz w:val="20"/>
                <w:szCs w:val="20"/>
              </w:rPr>
              <w:t>-</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9</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cs="Mangal"/>
                <w:sz w:val="20"/>
                <w:szCs w:val="20"/>
              </w:rPr>
            </w:pPr>
            <w:r w:rsidRPr="00D91B4B">
              <w:rPr>
                <w:rFonts w:ascii="Garamond" w:hAnsi="Garamond"/>
                <w:sz w:val="20"/>
                <w:szCs w:val="20"/>
              </w:rPr>
              <w:t>13/10/2021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cs="Mangal"/>
                <w:sz w:val="20"/>
                <w:szCs w:val="20"/>
              </w:rPr>
            </w:pPr>
            <w:r w:rsidRPr="00D91B4B">
              <w:rPr>
                <w:rFonts w:ascii="Garamond" w:hAnsi="Garamond"/>
                <w:sz w:val="20"/>
                <w:szCs w:val="20"/>
              </w:rPr>
              <w:t>BPL Ltd., Videocon International Ltd. and Sterlite Industries Ltd.</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cs="Mangal"/>
                <w:sz w:val="20"/>
                <w:szCs w:val="20"/>
              </w:rPr>
            </w:pPr>
            <w:r w:rsidRPr="00D91B4B">
              <w:rPr>
                <w:rFonts w:ascii="Garamond" w:hAnsi="Garamond"/>
                <w:sz w:val="20"/>
                <w:szCs w:val="20"/>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cs="Mangal"/>
                <w:sz w:val="20"/>
                <w:szCs w:val="20"/>
              </w:rPr>
            </w:pPr>
            <w:r w:rsidRPr="00D91B4B">
              <w:rPr>
                <w:rFonts w:ascii="Garamond" w:hAnsi="Garamond"/>
                <w:sz w:val="20"/>
                <w:szCs w:val="20"/>
              </w:rPr>
              <w:t xml:space="preserve">Shrikant G. Mantri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eastAsia="Calibri" w:hAnsi="Garamond" w:cs="Mangal"/>
                <w:sz w:val="20"/>
                <w:szCs w:val="20"/>
              </w:rPr>
            </w:pPr>
            <w:r w:rsidRPr="00D91B4B">
              <w:rPr>
                <w:rFonts w:ascii="Garamond" w:hAnsi="Garamond"/>
                <w:sz w:val="20"/>
                <w:szCs w:val="20"/>
              </w:rPr>
              <w:t>Regulation 4(a) and (d) of the SEBI PFUTP Regulations, 1995; Section A of the Code of Conduct for stock Brokers specified in Schedule II of  the  Brokers  Regulations  read  with  Bye-laws  355,  357  and  358  of  the  Bye-laws  of the BSE.</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right"/>
              <w:rPr>
                <w:rFonts w:ascii="Garamond" w:eastAsia="Calibri" w:hAnsi="Garamond" w:cs="Mangal"/>
                <w:sz w:val="20"/>
                <w:szCs w:val="20"/>
              </w:rPr>
            </w:pPr>
            <w:r w:rsidRPr="00D91B4B">
              <w:rPr>
                <w:rFonts w:ascii="Garamond" w:hAnsi="Garamond"/>
                <w:sz w:val="20"/>
                <w:szCs w:val="20"/>
              </w:rPr>
              <w:t>-</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10</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cs="Mangal"/>
                <w:sz w:val="20"/>
                <w:szCs w:val="20"/>
              </w:rPr>
            </w:pPr>
            <w:r w:rsidRPr="00D91B4B">
              <w:rPr>
                <w:rFonts w:ascii="Garamond" w:hAnsi="Garamond"/>
                <w:sz w:val="20"/>
                <w:szCs w:val="20"/>
              </w:rPr>
              <w:t>13/10/2021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cs="Mangal"/>
                <w:sz w:val="20"/>
                <w:szCs w:val="20"/>
              </w:rPr>
            </w:pPr>
            <w:r w:rsidRPr="00D91B4B">
              <w:rPr>
                <w:rFonts w:ascii="Garamond" w:hAnsi="Garamond"/>
                <w:sz w:val="20"/>
                <w:szCs w:val="20"/>
              </w:rPr>
              <w:t>BPL Ltd., Videocon International Ltd. and Sterlite Industries Ltd.</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cs="Mangal"/>
                <w:sz w:val="20"/>
                <w:szCs w:val="20"/>
              </w:rPr>
            </w:pPr>
            <w:r w:rsidRPr="00D91B4B">
              <w:rPr>
                <w:rFonts w:ascii="Garamond" w:hAnsi="Garamond"/>
                <w:sz w:val="20"/>
                <w:szCs w:val="20"/>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cs="Mangal"/>
                <w:sz w:val="20"/>
                <w:szCs w:val="20"/>
              </w:rPr>
            </w:pPr>
            <w:r w:rsidRPr="00D91B4B">
              <w:rPr>
                <w:rFonts w:ascii="Garamond" w:hAnsi="Garamond"/>
                <w:sz w:val="20"/>
                <w:szCs w:val="20"/>
              </w:rPr>
              <w:t>Harvest Deal Securities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eastAsia="Calibri" w:hAnsi="Garamond" w:cs="Mangal"/>
                <w:sz w:val="20"/>
                <w:szCs w:val="20"/>
              </w:rPr>
            </w:pPr>
            <w:r w:rsidRPr="00D91B4B">
              <w:rPr>
                <w:rFonts w:ascii="Garamond" w:hAnsi="Garamond"/>
                <w:sz w:val="20"/>
                <w:szCs w:val="20"/>
              </w:rPr>
              <w:t xml:space="preserve">Regulation 4(a) and (d) of the SEBI PFUTP Regulations, 1995; Section A of the Code of Conduct for stock Brokers specified in Schedule II of  the  </w:t>
            </w:r>
            <w:r w:rsidRPr="00D91B4B">
              <w:rPr>
                <w:rFonts w:ascii="Garamond" w:hAnsi="Garamond"/>
                <w:sz w:val="20"/>
                <w:szCs w:val="20"/>
              </w:rPr>
              <w:lastRenderedPageBreak/>
              <w:t>Brokers  Regulations  read  with  Bye-laws  355,  357  and  358  of  the  Bye-laws  of the BSE.</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right"/>
              <w:rPr>
                <w:rFonts w:ascii="Garamond" w:eastAsia="Calibri" w:hAnsi="Garamond" w:cs="Mangal"/>
                <w:sz w:val="20"/>
                <w:szCs w:val="20"/>
              </w:rPr>
            </w:pPr>
            <w:r w:rsidRPr="00D91B4B">
              <w:rPr>
                <w:rFonts w:ascii="Garamond" w:hAnsi="Garamond"/>
                <w:sz w:val="20"/>
                <w:szCs w:val="20"/>
              </w:rPr>
              <w:lastRenderedPageBreak/>
              <w:t>-</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lastRenderedPageBreak/>
              <w:t>11</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cs="Mangal"/>
                <w:sz w:val="20"/>
                <w:szCs w:val="20"/>
              </w:rPr>
            </w:pPr>
            <w:r w:rsidRPr="00D91B4B">
              <w:rPr>
                <w:rFonts w:ascii="Garamond" w:hAnsi="Garamond"/>
                <w:sz w:val="20"/>
                <w:szCs w:val="20"/>
              </w:rPr>
              <w:t>13/10/2021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cs="Mangal"/>
                <w:sz w:val="20"/>
                <w:szCs w:val="20"/>
              </w:rPr>
            </w:pPr>
            <w:r w:rsidRPr="00D91B4B">
              <w:rPr>
                <w:rFonts w:ascii="Garamond" w:hAnsi="Garamond"/>
                <w:sz w:val="20"/>
                <w:szCs w:val="20"/>
              </w:rPr>
              <w:t>BPL Ltd., Videocon International Ltd. and Sterlite Industries Ltd.</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cs="Mangal"/>
                <w:sz w:val="20"/>
                <w:szCs w:val="20"/>
              </w:rPr>
            </w:pPr>
            <w:r w:rsidRPr="00D91B4B">
              <w:rPr>
                <w:rFonts w:ascii="Garamond" w:hAnsi="Garamond"/>
                <w:sz w:val="20"/>
                <w:szCs w:val="20"/>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cs="Mangal"/>
                <w:sz w:val="20"/>
                <w:szCs w:val="20"/>
              </w:rPr>
            </w:pPr>
            <w:r w:rsidRPr="00D91B4B">
              <w:rPr>
                <w:rFonts w:ascii="Garamond" w:hAnsi="Garamond"/>
                <w:sz w:val="20"/>
                <w:szCs w:val="20"/>
              </w:rPr>
              <w:t>First Custodian Fund (India)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eastAsia="Calibri" w:hAnsi="Garamond" w:cs="Mangal"/>
                <w:sz w:val="20"/>
                <w:szCs w:val="20"/>
              </w:rPr>
            </w:pPr>
            <w:r w:rsidRPr="00D91B4B">
              <w:rPr>
                <w:rFonts w:ascii="Garamond" w:hAnsi="Garamond" w:cs="Calibri"/>
                <w:color w:val="000000"/>
                <w:sz w:val="20"/>
                <w:szCs w:val="20"/>
              </w:rPr>
              <w:t>Regulation 4(a) and (d) of the SEBI PFUTP Regulations, 1995</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right"/>
              <w:rPr>
                <w:rFonts w:ascii="Garamond" w:eastAsia="Calibri" w:hAnsi="Garamond" w:cs="Mangal"/>
                <w:sz w:val="20"/>
                <w:szCs w:val="20"/>
              </w:rPr>
            </w:pPr>
            <w:r w:rsidRPr="00D91B4B">
              <w:rPr>
                <w:rFonts w:ascii="Garamond" w:hAnsi="Garamond"/>
                <w:sz w:val="20"/>
                <w:szCs w:val="20"/>
              </w:rPr>
              <w:t>-</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12</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cs="Mangal"/>
                <w:sz w:val="20"/>
                <w:szCs w:val="20"/>
              </w:rPr>
            </w:pPr>
            <w:r w:rsidRPr="00D91B4B">
              <w:rPr>
                <w:rFonts w:ascii="Garamond" w:hAnsi="Garamond"/>
                <w:sz w:val="20"/>
                <w:szCs w:val="20"/>
              </w:rPr>
              <w:t>14/10/2021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cs="Mangal"/>
                <w:sz w:val="20"/>
                <w:szCs w:val="20"/>
              </w:rPr>
            </w:pPr>
            <w:r w:rsidRPr="00D91B4B">
              <w:rPr>
                <w:rFonts w:ascii="Garamond" w:hAnsi="Garamond"/>
                <w:sz w:val="20"/>
                <w:szCs w:val="20"/>
              </w:rPr>
              <w:t>Ashika Commodities and Derivatives Pvt. Ltd.</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cs="Mangal"/>
                <w:sz w:val="20"/>
                <w:szCs w:val="20"/>
              </w:rPr>
            </w:pPr>
            <w:r w:rsidRPr="00D91B4B">
              <w:rPr>
                <w:rFonts w:ascii="Garamond" w:hAnsi="Garamond"/>
                <w:sz w:val="20"/>
                <w:szCs w:val="20"/>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cs="Mangal"/>
                <w:sz w:val="20"/>
                <w:szCs w:val="20"/>
              </w:rPr>
            </w:pPr>
            <w:r w:rsidRPr="00D91B4B">
              <w:rPr>
                <w:rFonts w:ascii="Garamond" w:hAnsi="Garamond"/>
                <w:sz w:val="20"/>
                <w:szCs w:val="20"/>
              </w:rPr>
              <w:t>Ashika Commodities and Derivatives Pvt.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eastAsia="Calibri" w:hAnsi="Garamond" w:cs="Mangal"/>
                <w:sz w:val="20"/>
                <w:szCs w:val="20"/>
              </w:rPr>
            </w:pPr>
            <w:r w:rsidRPr="00D91B4B">
              <w:rPr>
                <w:rFonts w:ascii="Garamond" w:hAnsi="Garamond"/>
                <w:sz w:val="20"/>
                <w:szCs w:val="20"/>
              </w:rPr>
              <w:t xml:space="preserve">Schedule II of the Intermediaries Regulations </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right"/>
              <w:rPr>
                <w:rFonts w:ascii="Garamond" w:eastAsia="Calibri" w:hAnsi="Garamond" w:cs="Mangal"/>
                <w:sz w:val="20"/>
                <w:szCs w:val="20"/>
              </w:rPr>
            </w:pPr>
            <w:r w:rsidRPr="00D91B4B">
              <w:rPr>
                <w:rFonts w:ascii="Garamond" w:eastAsia="Calibri" w:hAnsi="Garamond" w:cs="Mangal"/>
                <w:sz w:val="20"/>
                <w:szCs w:val="20"/>
              </w:rPr>
              <w:t>-</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13</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cs="Mangal"/>
                <w:sz w:val="20"/>
                <w:szCs w:val="20"/>
              </w:rPr>
            </w:pPr>
            <w:r w:rsidRPr="00D91B4B">
              <w:rPr>
                <w:rFonts w:ascii="Garamond" w:hAnsi="Garamond" w:cs="Calibri"/>
                <w:color w:val="000000"/>
                <w:sz w:val="20"/>
                <w:szCs w:val="20"/>
              </w:rPr>
              <w:t>14/10/2021</w:t>
            </w:r>
          </w:p>
        </w:tc>
        <w:tc>
          <w:tcPr>
            <w:tcW w:w="1701"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cs="Mangal"/>
                <w:sz w:val="20"/>
                <w:szCs w:val="20"/>
              </w:rPr>
            </w:pPr>
            <w:r w:rsidRPr="00D91B4B">
              <w:rPr>
                <w:rFonts w:ascii="Garamond" w:hAnsi="Garamond" w:cs="Calibri"/>
                <w:color w:val="000000"/>
                <w:sz w:val="20"/>
                <w:szCs w:val="20"/>
              </w:rPr>
              <w:t>GDR Issue of Edserv Soft systems Ltd.</w:t>
            </w:r>
          </w:p>
        </w:tc>
        <w:tc>
          <w:tcPr>
            <w:tcW w:w="1275"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cs="Mangal"/>
                <w:sz w:val="20"/>
                <w:szCs w:val="20"/>
              </w:rPr>
            </w:pPr>
            <w:r w:rsidRPr="00D91B4B">
              <w:rPr>
                <w:rFonts w:ascii="Garamond" w:hAnsi="Garamond" w:cs="Calibri"/>
                <w:color w:val="000000"/>
                <w:sz w:val="20"/>
                <w:szCs w:val="20"/>
              </w:rPr>
              <w:t>11B</w:t>
            </w:r>
          </w:p>
        </w:tc>
        <w:tc>
          <w:tcPr>
            <w:tcW w:w="2127"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cs="Calibri"/>
                <w:color w:val="000000"/>
                <w:sz w:val="20"/>
                <w:szCs w:val="20"/>
              </w:rPr>
            </w:pPr>
            <w:r w:rsidRPr="00D91B4B">
              <w:rPr>
                <w:rFonts w:ascii="Garamond" w:hAnsi="Garamond" w:cs="Calibri"/>
                <w:color w:val="000000"/>
                <w:sz w:val="20"/>
                <w:szCs w:val="20"/>
              </w:rPr>
              <w:t>S.Giridharan, G.Gita, T.S.Ravichandran &amp; 10 others.</w:t>
            </w:r>
          </w:p>
          <w:p w:rsidR="00956136" w:rsidRPr="00D91B4B" w:rsidRDefault="00956136" w:rsidP="00530909">
            <w:pPr>
              <w:jc w:val="both"/>
              <w:rPr>
                <w:rFonts w:ascii="Garamond" w:eastAsia="Calibri" w:hAnsi="Garamond" w:cs="Mangal"/>
                <w:sz w:val="20"/>
                <w:szCs w:val="20"/>
              </w:rPr>
            </w:pPr>
          </w:p>
        </w:tc>
        <w:tc>
          <w:tcPr>
            <w:tcW w:w="2268" w:type="dxa"/>
            <w:tcBorders>
              <w:top w:val="single" w:sz="4" w:space="0" w:color="auto"/>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eastAsia="Calibri" w:hAnsi="Garamond" w:cs="Mangal"/>
                <w:sz w:val="20"/>
                <w:szCs w:val="20"/>
              </w:rPr>
            </w:pPr>
            <w:r w:rsidRPr="00D91B4B">
              <w:rPr>
                <w:rFonts w:ascii="Garamond" w:hAnsi="Garamond" w:cs="Calibri"/>
                <w:color w:val="000000"/>
                <w:sz w:val="20"/>
                <w:szCs w:val="20"/>
              </w:rPr>
              <w:t>Section 12A (a), 12A(b) ,12A(c) of the SEBI Act 1992 read with Regulations 3(a), (b), (c),(d) and 4(1) of the SEBI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eastAsia="Calibri" w:hAnsi="Garamond" w:cs="Mangal"/>
                <w:sz w:val="20"/>
                <w:szCs w:val="20"/>
              </w:rPr>
            </w:pPr>
            <w:r w:rsidRPr="00D91B4B">
              <w:rPr>
                <w:rFonts w:ascii="Garamond" w:hAnsi="Garamond" w:cs="Calibri"/>
                <w:color w:val="000000"/>
                <w:sz w:val="20"/>
                <w:szCs w:val="20"/>
              </w:rPr>
              <w:t>-</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14</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cs="Mangal"/>
                <w:sz w:val="20"/>
                <w:szCs w:val="20"/>
              </w:rPr>
            </w:pPr>
            <w:r w:rsidRPr="00D91B4B">
              <w:rPr>
                <w:rFonts w:ascii="Garamond" w:hAnsi="Garamond" w:cs="Calibri"/>
                <w:color w:val="000000"/>
                <w:sz w:val="20"/>
                <w:szCs w:val="20"/>
              </w:rPr>
              <w:t>14/10/2021</w:t>
            </w:r>
          </w:p>
        </w:tc>
        <w:tc>
          <w:tcPr>
            <w:tcW w:w="1701"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cs="Mangal"/>
                <w:sz w:val="20"/>
                <w:szCs w:val="20"/>
              </w:rPr>
            </w:pPr>
            <w:r w:rsidRPr="00D91B4B">
              <w:rPr>
                <w:rFonts w:ascii="Garamond" w:hAnsi="Garamond" w:cs="Calibri"/>
                <w:color w:val="000000"/>
                <w:sz w:val="20"/>
                <w:szCs w:val="20"/>
              </w:rPr>
              <w:t>Camco Commodities Pvt. Ltd.</w:t>
            </w:r>
          </w:p>
        </w:tc>
        <w:tc>
          <w:tcPr>
            <w:tcW w:w="1275"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cs="Mangal"/>
                <w:sz w:val="20"/>
                <w:szCs w:val="20"/>
              </w:rPr>
            </w:pPr>
            <w:r w:rsidRPr="00D91B4B">
              <w:rPr>
                <w:rFonts w:ascii="Garamond" w:hAnsi="Garamond" w:cs="Calibri"/>
                <w:color w:val="000000"/>
                <w:sz w:val="20"/>
                <w:szCs w:val="20"/>
              </w:rPr>
              <w:t>11B</w:t>
            </w:r>
          </w:p>
        </w:tc>
        <w:tc>
          <w:tcPr>
            <w:tcW w:w="212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cs="Mangal"/>
                <w:sz w:val="20"/>
                <w:szCs w:val="20"/>
              </w:rPr>
            </w:pPr>
            <w:r w:rsidRPr="00D91B4B">
              <w:rPr>
                <w:rFonts w:ascii="Garamond" w:hAnsi="Garamond" w:cs="Calibri"/>
                <w:color w:val="000000"/>
                <w:sz w:val="20"/>
                <w:szCs w:val="20"/>
              </w:rPr>
              <w:t>Camco Commodities Pvt. Ltd.</w:t>
            </w:r>
          </w:p>
        </w:tc>
        <w:tc>
          <w:tcPr>
            <w:tcW w:w="2268" w:type="dxa"/>
            <w:tcBorders>
              <w:top w:val="nil"/>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eastAsia="Calibri" w:hAnsi="Garamond" w:cs="Mangal"/>
                <w:sz w:val="20"/>
                <w:szCs w:val="20"/>
              </w:rPr>
            </w:pPr>
            <w:r w:rsidRPr="00D91B4B">
              <w:rPr>
                <w:rFonts w:ascii="Garamond" w:hAnsi="Garamond" w:cs="Calibri"/>
                <w:color w:val="000000"/>
                <w:sz w:val="20"/>
                <w:szCs w:val="20"/>
              </w:rPr>
              <w:t xml:space="preserve">Schedule II of the Intermediaries Regulations </w:t>
            </w:r>
          </w:p>
        </w:tc>
        <w:tc>
          <w:tcPr>
            <w:tcW w:w="141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eastAsia="Calibri" w:hAnsi="Garamond" w:cs="Mangal"/>
                <w:sz w:val="20"/>
                <w:szCs w:val="20"/>
              </w:rPr>
            </w:pPr>
            <w:r w:rsidRPr="00D91B4B">
              <w:rPr>
                <w:rFonts w:ascii="Garamond" w:hAnsi="Garamond" w:cs="Calibri"/>
                <w:color w:val="000000"/>
                <w:sz w:val="20"/>
                <w:szCs w:val="20"/>
              </w:rPr>
              <w:t>- </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15</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rPr>
              <w:t>14/10/2021</w:t>
            </w:r>
          </w:p>
        </w:tc>
        <w:tc>
          <w:tcPr>
            <w:tcW w:w="1701"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rPr>
              <w:t>GDR Issue of Nakoda Ltd..</w:t>
            </w:r>
          </w:p>
        </w:tc>
        <w:tc>
          <w:tcPr>
            <w:tcW w:w="1275"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rPr>
              <w:t>11B</w:t>
            </w:r>
          </w:p>
        </w:tc>
        <w:tc>
          <w:tcPr>
            <w:tcW w:w="212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rPr>
              <w:t xml:space="preserve">Nakoda Ltd., D.B.Jain, B. G. Jain, S. K. Bhoan, Arun Panchariya, Mukesh Chauradiya, Vintage FZE, India Focus Cardinal Fund, European American Investment Bank AG </w:t>
            </w:r>
          </w:p>
        </w:tc>
        <w:tc>
          <w:tcPr>
            <w:tcW w:w="2268" w:type="dxa"/>
            <w:tcBorders>
              <w:top w:val="nil"/>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hAnsi="Garamond" w:cs="Calibri"/>
                <w:color w:val="000000"/>
                <w:sz w:val="20"/>
                <w:szCs w:val="20"/>
              </w:rPr>
              <w:t>Section 12A (a) , 12A(b), 12A(c)of the SEBI Act 1992 read with Regulations 3(a), (b), (c), (d) and 4(1) of the SEBI (PFUTP) Regulations, 2003.</w:t>
            </w:r>
          </w:p>
        </w:tc>
        <w:tc>
          <w:tcPr>
            <w:tcW w:w="141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cs="Calibri"/>
                <w:color w:val="000000"/>
                <w:sz w:val="20"/>
                <w:szCs w:val="20"/>
              </w:rPr>
              <w:t>- </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16</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cs="Calibri"/>
                <w:color w:val="000000"/>
                <w:sz w:val="20"/>
                <w:szCs w:val="20"/>
              </w:rPr>
            </w:pPr>
            <w:r w:rsidRPr="00D91B4B">
              <w:rPr>
                <w:rFonts w:ascii="Garamond" w:hAnsi="Garamond" w:cs="Calibri"/>
                <w:color w:val="000000"/>
                <w:sz w:val="20"/>
                <w:szCs w:val="20"/>
              </w:rPr>
              <w:t>20/10/2021</w:t>
            </w:r>
          </w:p>
        </w:tc>
        <w:tc>
          <w:tcPr>
            <w:tcW w:w="1701"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cs="Calibri"/>
                <w:color w:val="000000"/>
                <w:sz w:val="20"/>
                <w:szCs w:val="20"/>
              </w:rPr>
            </w:pPr>
            <w:r w:rsidRPr="00D91B4B">
              <w:rPr>
                <w:rFonts w:ascii="Garamond" w:eastAsia="Times New Roman" w:hAnsi="Garamond" w:cs="Calibri"/>
                <w:color w:val="000000"/>
                <w:sz w:val="20"/>
                <w:szCs w:val="20"/>
                <w:lang w:val="en-US"/>
              </w:rPr>
              <w:t>Asian Granito India Ltd.</w:t>
            </w:r>
          </w:p>
        </w:tc>
        <w:tc>
          <w:tcPr>
            <w:tcW w:w="1275"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cs="Calibri"/>
                <w:color w:val="000000"/>
                <w:sz w:val="20"/>
                <w:szCs w:val="20"/>
              </w:rPr>
            </w:pPr>
            <w:r w:rsidRPr="00D91B4B">
              <w:rPr>
                <w:rFonts w:ascii="Garamond" w:hAnsi="Garamond" w:cs="Calibri"/>
                <w:color w:val="000000"/>
                <w:sz w:val="20"/>
                <w:szCs w:val="20"/>
              </w:rPr>
              <w:t>11 B</w:t>
            </w:r>
          </w:p>
        </w:tc>
        <w:tc>
          <w:tcPr>
            <w:tcW w:w="212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cs="Calibri"/>
                <w:color w:val="000000"/>
                <w:sz w:val="20"/>
                <w:szCs w:val="20"/>
              </w:rPr>
            </w:pPr>
            <w:r w:rsidRPr="00D91B4B">
              <w:rPr>
                <w:rFonts w:ascii="Garamond" w:eastAsia="Times New Roman" w:hAnsi="Garamond" w:cs="Calibri"/>
                <w:color w:val="000000"/>
                <w:sz w:val="20"/>
                <w:szCs w:val="20"/>
                <w:lang w:val="en-US"/>
              </w:rPr>
              <w:t>Mr. Bharat Jayantilal Patel, Mr. Minal Bharat Patel, M/s. Pasha Finance Private Ltd., Mr. Ruchit Bharat Patel, M/s. Pat Financial Consultant Private Ltd., M/s. Hridaynath Consultancy Pvt. Ltd.</w:t>
            </w:r>
          </w:p>
        </w:tc>
        <w:tc>
          <w:tcPr>
            <w:tcW w:w="2268" w:type="dxa"/>
            <w:tcBorders>
              <w:top w:val="nil"/>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cs="Calibri"/>
                <w:color w:val="000000"/>
                <w:sz w:val="20"/>
                <w:szCs w:val="20"/>
              </w:rPr>
            </w:pPr>
            <w:r w:rsidRPr="00D91B4B">
              <w:rPr>
                <w:rFonts w:ascii="Garamond" w:eastAsia="Times New Roman" w:hAnsi="Garamond" w:cs="Calibri"/>
                <w:color w:val="000000"/>
                <w:sz w:val="20"/>
                <w:szCs w:val="20"/>
                <w:lang w:val="en-US"/>
              </w:rPr>
              <w:t>Regulation3(a) and 4(1) readwith4(2)(a) of PFUTP Regulations, 2003</w:t>
            </w:r>
          </w:p>
        </w:tc>
        <w:tc>
          <w:tcPr>
            <w:tcW w:w="141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cs="Calibri"/>
                <w:color w:val="000000"/>
                <w:sz w:val="20"/>
                <w:szCs w:val="20"/>
              </w:rPr>
            </w:pPr>
            <w:r w:rsidRPr="00D91B4B">
              <w:rPr>
                <w:rFonts w:ascii="Garamond" w:hAnsi="Garamond" w:cs="Calibri"/>
                <w:color w:val="000000"/>
                <w:sz w:val="20"/>
                <w:szCs w:val="20"/>
              </w:rPr>
              <w:t>50,00,000 </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17</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Calibri" w:hAnsi="Garamond" w:cs="Mangal"/>
                <w:sz w:val="20"/>
                <w:szCs w:val="20"/>
                <w:lang w:bidi="hi-IN"/>
              </w:rPr>
              <w:t>22/10/2021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Dewan Housing Finance Corporation Ltd.</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Calibri" w:hAnsi="Garamond" w:cs="Mangal"/>
                <w:sz w:val="20"/>
                <w:szCs w:val="20"/>
                <w:lang w:bidi="hi-IN"/>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Kapil Wadhawan, Dheeraj Wadhawan, Rakesh Kumar Wadhawan, Sarang Wadhawan, Aruna Wadhawan, Malti Wadhawan, Anu Swadhawan, Pooja Dwadhawan, &amp; 4 Others</w:t>
            </w:r>
            <w:r w:rsidRPr="00D91B4B">
              <w:rPr>
                <w:rFonts w:ascii="Garamond" w:hAnsi="Garamond"/>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eastAsia="Times New Roman" w:hAnsi="Garamond" w:cs="Calibri"/>
                <w:color w:val="000000"/>
                <w:sz w:val="20"/>
                <w:szCs w:val="20"/>
                <w:lang w:val="en-US"/>
              </w:rPr>
              <w:t>Section 12A(a), (b) and (c) of the SEBI Act, 1992 ;Regulation 3(b), (c), (d), (d), Regulation4(1) and Regulation 4(2)(f), (k) and (r) of the SEBI PFUTP Regulations, 2003; Regulation  4(1)  and  other  related  provisions  of  the  SEBI  LODR  Regulations, 2015.</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eastAsia="Times New Roman" w:hAnsi="Garamond" w:cs="Calibri"/>
                <w:color w:val="000000"/>
                <w:sz w:val="20"/>
                <w:szCs w:val="20"/>
                <w:lang w:val="en-US"/>
              </w:rPr>
              <w:t>Confirmatory Order</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18</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Calibri" w:hAnsi="Garamond" w:cs="Mangal"/>
                <w:sz w:val="20"/>
                <w:szCs w:val="20"/>
                <w:lang w:bidi="hi-IN"/>
              </w:rPr>
              <w:t>22/10/2021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GDR Issue of Southern Ispat and Energy Ltd.</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Calibri" w:hAnsi="Garamond" w:cs="Mangal"/>
                <w:sz w:val="20"/>
                <w:szCs w:val="20"/>
                <w:lang w:bidi="hi-IN"/>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Southern Ispat and Energy Ltd., Vivek Agarwal, Anusuya Devi Agarwa, Richa Agarwal, V Manikandan, T. I. Venkatramani, R. Sivaramakrishnan, Arun Panchariya, &amp;  7 others</w:t>
            </w:r>
            <w:r w:rsidRPr="00D91B4B">
              <w:rPr>
                <w:rFonts w:ascii="Garamond" w:hAnsi="Garamond"/>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eastAsia="Times New Roman" w:hAnsi="Garamond" w:cs="Calibri"/>
                <w:color w:val="000000"/>
                <w:sz w:val="20"/>
                <w:szCs w:val="20"/>
                <w:lang w:val="en-US"/>
              </w:rPr>
              <w:t>Section12A(a),12A(b),12A(c)of the SEBI Act 1992 r/w Regulations 3(a),(b),(c),(d)and4(1) of the SEBI(PFUTP) Regulations,2003.</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sz w:val="20"/>
                <w:szCs w:val="20"/>
              </w:rPr>
              <w:t>-</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lastRenderedPageBreak/>
              <w:t>19</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Calibri" w:hAnsi="Garamond" w:cs="Mangal"/>
                <w:sz w:val="20"/>
                <w:szCs w:val="20"/>
                <w:lang w:bidi="hi-IN"/>
              </w:rPr>
              <w:t>22/10/2021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GDR Issue of Rasoya Proteins Ltd.</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Calibri" w:hAnsi="Garamond" w:cs="Mangal"/>
                <w:sz w:val="20"/>
                <w:szCs w:val="20"/>
                <w:lang w:bidi="hi-IN"/>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Rasoya Proteins Ltd., Anil Lonkar, Sameer Damle, Ajay Singh, Prashant Duchakke, Arun Panchariya, Vintage FZE, &amp; 10 others</w:t>
            </w:r>
            <w:r w:rsidRPr="00D91B4B">
              <w:rPr>
                <w:rFonts w:ascii="Garamond" w:hAnsi="Garamond"/>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eastAsia="Times New Roman" w:hAnsi="Garamond" w:cs="Calibri"/>
                <w:color w:val="000000"/>
                <w:sz w:val="20"/>
                <w:szCs w:val="20"/>
                <w:lang w:val="en-US"/>
              </w:rPr>
              <w:t>Section 12A(a),12A(b),12A(c) of the SEBI Act 1992 r/w Regulations 3(a),(b),(c),(d) and 4(1) of the SEBI (PFUTP) Regulations,2003</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sz w:val="20"/>
                <w:szCs w:val="20"/>
              </w:rPr>
              <w:t>-</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20</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sz w:val="20"/>
                <w:szCs w:val="20"/>
              </w:rPr>
              <w:t>26/10/2021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GDR Issue of Rainbow Papers Ltd..</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sz w:val="20"/>
                <w:szCs w:val="20"/>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Rainbow Papers Ltd., Ajay Goenka, Radheshyam Goenka, Sangeeta Goenka, Arun Panchariya, &amp; 10 OTHERS</w:t>
            </w:r>
            <w:r w:rsidRPr="00D91B4B">
              <w:rPr>
                <w:rFonts w:ascii="Garamond" w:hAnsi="Garamond"/>
                <w:sz w:val="20"/>
                <w:szCs w:val="20"/>
              </w:rPr>
              <w:t>.</w:t>
            </w:r>
          </w:p>
          <w:p w:rsidR="00956136" w:rsidRPr="00D91B4B" w:rsidRDefault="00956136" w:rsidP="00530909">
            <w:pPr>
              <w:jc w:val="both"/>
              <w:rPr>
                <w:rFonts w:ascii="Garamond" w:hAnsi="Garamond"/>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eastAsia="Times New Roman" w:hAnsi="Garamond" w:cs="Calibri"/>
                <w:color w:val="000000"/>
                <w:sz w:val="20"/>
                <w:szCs w:val="20"/>
                <w:lang w:val="en-US"/>
              </w:rPr>
              <w:t>Section 12A(a),  (b) and (c) of the SEBI Act 1992 r /w Regulations 3 (a), (b), (c), (d) and 4(1) of the SEBI (PFUTP) Regulations, 2003.</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sz w:val="20"/>
                <w:szCs w:val="20"/>
              </w:rPr>
              <w:t>-</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21</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sz w:val="20"/>
                <w:szCs w:val="20"/>
              </w:rPr>
              <w:t>26/10/2021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Pincon Securities Ltd</w:t>
            </w:r>
            <w:r w:rsidRPr="00D91B4B">
              <w:rPr>
                <w:rFonts w:ascii="Garamond" w:hAnsi="Garamond"/>
                <w:sz w:val="20"/>
                <w:szCs w:val="20"/>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sz w:val="20"/>
                <w:szCs w:val="20"/>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Pincon Securities Ltd., Raj Kumar Roy, Dipankar Basu, Hari Singh, Manoranjan Roy, Arup Thakur, Chandan Kumar Adhikary, Subhajit Saha</w:t>
            </w:r>
            <w:r w:rsidRPr="00D91B4B">
              <w:rPr>
                <w:rFonts w:ascii="Garamond" w:hAnsi="Garamond"/>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eastAsia="Times New Roman" w:hAnsi="Garamond" w:cs="Calibri"/>
                <w:color w:val="000000"/>
                <w:sz w:val="20"/>
                <w:szCs w:val="20"/>
                <w:lang w:val="en-US"/>
              </w:rPr>
              <w:t>Section 12 of the SEBI Act</w:t>
            </w:r>
            <w:r w:rsidRPr="00D91B4B">
              <w:rPr>
                <w:rFonts w:ascii="Garamond" w:hAnsi="Garamond"/>
                <w:sz w:val="20"/>
                <w:szCs w:val="2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sz w:val="20"/>
                <w:szCs w:val="20"/>
              </w:rPr>
              <w:t>-</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22</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sz w:val="20"/>
                <w:szCs w:val="20"/>
              </w:rPr>
              <w:t>26/10/2021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GDR Issue by Winsome Yarns Ltd</w:t>
            </w:r>
            <w:r w:rsidRPr="00D91B4B">
              <w:rPr>
                <w:rFonts w:ascii="Garamond" w:hAnsi="Garamond"/>
                <w:sz w:val="20"/>
                <w:szCs w:val="20"/>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sz w:val="20"/>
                <w:szCs w:val="20"/>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 xml:space="preserve">Winsome Yarns Ltd, Mr. Manish Bagrodia, Mr. B.M. Khanna , Mr. Ashish Bagrodia, Vintage FZE, Mr.Arun Panchariya,Mr.  Mukesh  Chauradiya ,  Pan  Asia  Advisors  Ltd. , Golden Cliff ,Highblue Sky Emerging Market Fund  and Apire Emerging Fund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eastAsia="Times New Roman" w:hAnsi="Garamond" w:cs="Calibri"/>
                <w:color w:val="000000"/>
                <w:sz w:val="20"/>
                <w:szCs w:val="20"/>
                <w:lang w:val="en-US"/>
              </w:rPr>
              <w:t>Section 12A (a) of SEBI Act, 1992 read with Regulations 3 (b) and 4(1), (2)(f), (k), (r) of PFUTP Regulations, 2003.</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sz w:val="20"/>
                <w:szCs w:val="20"/>
              </w:rPr>
              <w:t>-</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23</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sz w:val="20"/>
                <w:szCs w:val="20"/>
              </w:rPr>
              <w:t>26/10/2021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Info-Drive Software Ltd.</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sz w:val="20"/>
                <w:szCs w:val="20"/>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Info-Drive Software Ltd., Mr. Jaffer Sadiq Ameer, Mr. Pramod Manoharlal Jain, Ms. Smitha Ramchandran, Ms. Lakshmi Sankarakrishnan, Mr. Murugavel Karunanidhi, Mr. A. S. Giridhar, M/s  K.  S.  Reddy  Associates  Chartered Accountants</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Regulation 4(2)(f)(ii)(6) &amp; (7) and 4(2)(f)(iii)(2), (3), (6) &amp; (12) of the LODR Regulations.</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eastAsia="Times New Roman" w:hAnsi="Garamond" w:cs="Calibri"/>
                <w:color w:val="000000"/>
                <w:sz w:val="20"/>
                <w:szCs w:val="20"/>
                <w:lang w:val="en-US"/>
              </w:rPr>
              <w:t>71,00,000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24</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sz w:val="20"/>
                <w:szCs w:val="20"/>
              </w:rPr>
              <w:t>27/10/2021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RTS Power Corporation Ltd.</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sz w:val="20"/>
                <w:szCs w:val="20"/>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Mukesh G Konde, Ashok Narayan Waje, Nitesh Ashok Jadhav, Hetal Patel, Rajesh Patel, Chetan Shah, Om Associates, Bhavani Trading Company</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Section 12A (b) and (c) of the SEBI Act read with Regulations 3(c) and (d) of the PFUTP Regulations</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sz w:val="20"/>
                <w:szCs w:val="20"/>
              </w:rPr>
              <w:t>-</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25</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sz w:val="20"/>
                <w:szCs w:val="20"/>
              </w:rPr>
              <w:t>28/10/2021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Goodwill Research</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sz w:val="20"/>
                <w:szCs w:val="20"/>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Suneel Kumar Patel, Duiji Patel</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Section 12(1) of SEBI Act read with Regulation 3(1) of the IA Regulations.</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sz w:val="20"/>
                <w:szCs w:val="20"/>
              </w:rPr>
              <w:t>-</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26</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sz w:val="20"/>
                <w:szCs w:val="20"/>
              </w:rPr>
              <w:t>29/10/2021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M/s. Analog Research, sole Proprietor Mr. Shubham Kumar Jain</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sz w:val="20"/>
                <w:szCs w:val="20"/>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M/s Analog Research (Sole Proprietor Mr. Shubham Kumar Jain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 xml:space="preserve">Section 12A  (a),  (b),  (c)  of  the SEBI  Act,  1992and  regulations  3  (b),  (c),  (d)  and regulations  4(1) and </w:t>
            </w:r>
            <w:r w:rsidRPr="00D91B4B">
              <w:rPr>
                <w:rFonts w:ascii="Garamond" w:eastAsia="Times New Roman" w:hAnsi="Garamond" w:cs="Calibri"/>
                <w:color w:val="000000"/>
                <w:sz w:val="20"/>
                <w:szCs w:val="20"/>
                <w:lang w:val="en-US"/>
              </w:rPr>
              <w:lastRenderedPageBreak/>
              <w:t>4(2)(k) of the PFUTP Regulations, 2003</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sz w:val="20"/>
                <w:szCs w:val="20"/>
              </w:rPr>
              <w:lastRenderedPageBreak/>
              <w:t>-</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lastRenderedPageBreak/>
              <w:t>27</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sz w:val="20"/>
                <w:szCs w:val="20"/>
              </w:rPr>
              <w:t>29/10/2021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National Spot Exchange Ltd.</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sz w:val="20"/>
                <w:szCs w:val="20"/>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Banka Bullion Pvt.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Regulations 9(b) and 9(f) of read with Clauses A(1), (2) and A(5) of the Schedule II of the Stock Broker Regulations as well as Regulation 5(e) of Stock Broker Regulations read with Schedule  II  of  the  Intermediaries  Regulations</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sz w:val="20"/>
                <w:szCs w:val="20"/>
              </w:rPr>
              <w:t>-</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28</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sz w:val="20"/>
                <w:szCs w:val="20"/>
              </w:rPr>
              <w:t>29/10/2021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M/s Profit Money Adviser (Sole proprietor Mr. Prateek Singh)</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sz w:val="20"/>
                <w:szCs w:val="20"/>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M/s Profit Money Adviser (Sole proprietor Mr. Prateek Singh)</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Section 12A (a), (b), (c) of the SEBI Act, 1992and regulations 3 (a), (b), (c), (d)and  4(1 and 4(2)(k) of PFUTP Regulations, 2003</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sz w:val="20"/>
                <w:szCs w:val="20"/>
              </w:rPr>
              <w:t>-</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29</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sz w:val="20"/>
                <w:szCs w:val="20"/>
              </w:rPr>
              <w:t>29/10/2021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National Spot Exchange Ltd.</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sz w:val="20"/>
                <w:szCs w:val="20"/>
              </w:rPr>
              <w:t>11B</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M/s Aasmaa Commodities Pvt.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Regulation 5(e) of the Stock Brokers Regulations read with Schedule II of the Intermediaries  Regulations and regulations  9(b)  and  9(f)  read  with Clauses A(1), (2) and A(5) of Schedule II of the Stock Brokers Regulations.</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sz w:val="20"/>
                <w:szCs w:val="20"/>
              </w:rPr>
              <w:t>-</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30</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sz w:val="20"/>
                <w:szCs w:val="20"/>
              </w:rPr>
              <w:t>01/10/2021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sz w:val="20"/>
                <w:szCs w:val="20"/>
              </w:rPr>
              <w:t>PMC Fincorp Ltd.</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sz w:val="20"/>
                <w:szCs w:val="20"/>
              </w:rPr>
              <w:t>Adjudication</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sz w:val="20"/>
                <w:szCs w:val="20"/>
              </w:rPr>
              <w:t>Mudit Jain HUF</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hAnsi="Garamond"/>
                <w:sz w:val="20"/>
                <w:szCs w:val="20"/>
              </w:rPr>
              <w:t>Section 12A(a),(b),(c) of SEBI Act read with Regulation   3(a),(b),(c),(d)   and   Regulations   4(1),   4(2)   (a),   (e) of PFUTP Regulations</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sz w:val="20"/>
                <w:szCs w:val="20"/>
              </w:rPr>
              <w:t>5,00,000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31</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sz w:val="20"/>
                <w:szCs w:val="20"/>
              </w:rPr>
              <w:t>01/10/2021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sz w:val="20"/>
                <w:szCs w:val="20"/>
              </w:rPr>
              <w:t>Dealings in Illiquid Stock Options at the Bombay Stock Exchange</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sz w:val="20"/>
                <w:szCs w:val="20"/>
              </w:rPr>
              <w:t>Adjudication</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sz w:val="20"/>
                <w:szCs w:val="20"/>
              </w:rPr>
              <w:t>Bindu Sharma</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hAnsi="Garamond"/>
                <w:sz w:val="20"/>
                <w:szCs w:val="20"/>
              </w:rPr>
              <w:t>Regulations 3(a), (b), (c), (d),  4(1)  and  4(2)(a)  of PFUTP Regulations, 2003</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sz w:val="20"/>
                <w:szCs w:val="20"/>
              </w:rPr>
              <w:t>5,00,000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32</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sz w:val="20"/>
                <w:szCs w:val="20"/>
                <w:lang w:val="en-IN"/>
              </w:rPr>
            </w:pPr>
            <w:r w:rsidRPr="00D91B4B">
              <w:rPr>
                <w:rFonts w:ascii="Garamond" w:hAnsi="Garamond"/>
                <w:sz w:val="20"/>
                <w:szCs w:val="20"/>
              </w:rPr>
              <w:t>04/10/2021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sz w:val="20"/>
                <w:szCs w:val="20"/>
                <w:lang w:val="en-IN"/>
              </w:rPr>
            </w:pPr>
            <w:r w:rsidRPr="00D91B4B">
              <w:rPr>
                <w:rFonts w:ascii="Garamond" w:hAnsi="Garamond"/>
                <w:sz w:val="20"/>
                <w:szCs w:val="20"/>
              </w:rPr>
              <w:t>Aditya Birla Money Ltd.</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sz w:val="20"/>
                <w:szCs w:val="20"/>
                <w:lang w:val="en-IN"/>
              </w:rPr>
            </w:pPr>
            <w:r w:rsidRPr="00D91B4B">
              <w:rPr>
                <w:rFonts w:ascii="Garamond" w:hAnsi="Garamond"/>
                <w:sz w:val="20"/>
                <w:szCs w:val="20"/>
              </w:rPr>
              <w:t>Adjudication</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sz w:val="20"/>
                <w:szCs w:val="20"/>
                <w:lang w:val="en-IN"/>
              </w:rPr>
            </w:pPr>
            <w:r w:rsidRPr="00D91B4B">
              <w:rPr>
                <w:rFonts w:ascii="Garamond" w:hAnsi="Garamond"/>
                <w:sz w:val="20"/>
                <w:szCs w:val="20"/>
              </w:rPr>
              <w:t>Anand Kumar Chaurasia, Kamal Kishore Chaurasia</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eastAsia="Calibri" w:hAnsi="Garamond"/>
                <w:sz w:val="20"/>
                <w:szCs w:val="20"/>
                <w:lang w:val="en-IN"/>
              </w:rPr>
            </w:pPr>
            <w:r w:rsidRPr="00D91B4B">
              <w:rPr>
                <w:rFonts w:ascii="Garamond" w:hAnsi="Garamond"/>
                <w:sz w:val="20"/>
                <w:szCs w:val="20"/>
              </w:rPr>
              <w:t xml:space="preserve">Regulation  3(a)  and  Regulations  4(1), 4(2)(l), 4(2)(m), 4(2)(o) and 4(2)(p) of PFUTP Regulations; Regulation 14(1)(a) of  PM  Regulations,  Clauses  A  (1),  (2),  (3),  (5), B(4) (a) and (b) and B (7) of Code of Conduct specified in Schedule II read with Regulation  9  of  SEBI (Stock-Broker)  Regulations,  1992,  Clause  12e  of  SEBI Circular SEBI/MIRSD/SE/Cir-19/2009 dated December 03, 2009, SEBI Circular ref no.   CIR/MIRSD/66/2016   dated   July   21,   2016,   Clause   4   of   SEBI </w:t>
            </w:r>
            <w:r w:rsidRPr="00D91B4B">
              <w:rPr>
                <w:rFonts w:ascii="Garamond" w:hAnsi="Garamond"/>
                <w:sz w:val="20"/>
                <w:szCs w:val="20"/>
              </w:rPr>
              <w:lastRenderedPageBreak/>
              <w:t>circular MRD/ DoP/ Dep/SE/Cir-22/06  dated  December  18,  2006,  Point no.  1.12  of  SEBI Master   Circular   for   Depositories   SEBI/HO/MRD/DP/CIR/P/2016   /134   dated December 15, 2016; Clause   2   of   SEBI   circular SMD/SED/CIR/93/23321 dated November 18, 1993</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right"/>
              <w:rPr>
                <w:rFonts w:ascii="Garamond" w:eastAsia="Calibri" w:hAnsi="Garamond"/>
                <w:sz w:val="20"/>
                <w:szCs w:val="20"/>
                <w:lang w:val="en-IN"/>
              </w:rPr>
            </w:pPr>
            <w:r w:rsidRPr="00D91B4B">
              <w:rPr>
                <w:rFonts w:ascii="Garamond" w:hAnsi="Garamond"/>
                <w:sz w:val="20"/>
                <w:szCs w:val="20"/>
              </w:rPr>
              <w:lastRenderedPageBreak/>
              <w:t>1,02,00,000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lastRenderedPageBreak/>
              <w:t>33</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sz w:val="20"/>
                <w:szCs w:val="20"/>
                <w:lang w:val="en-IN"/>
              </w:rPr>
            </w:pPr>
            <w:r w:rsidRPr="00D91B4B">
              <w:rPr>
                <w:rFonts w:ascii="Garamond" w:hAnsi="Garamond"/>
                <w:sz w:val="20"/>
                <w:szCs w:val="20"/>
              </w:rPr>
              <w:t>06/10/2021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sz w:val="20"/>
                <w:szCs w:val="20"/>
                <w:lang w:val="en-IN"/>
              </w:rPr>
            </w:pPr>
            <w:r w:rsidRPr="00D91B4B">
              <w:rPr>
                <w:rFonts w:ascii="Garamond" w:hAnsi="Garamond"/>
                <w:sz w:val="20"/>
                <w:szCs w:val="20"/>
              </w:rPr>
              <w:t>Trading in Illiquid Stock Options on BSE</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sz w:val="20"/>
                <w:szCs w:val="20"/>
                <w:lang w:val="en-IN"/>
              </w:rPr>
            </w:pPr>
            <w:r w:rsidRPr="00D91B4B">
              <w:rPr>
                <w:rFonts w:ascii="Garamond" w:hAnsi="Garamond"/>
                <w:sz w:val="20"/>
                <w:szCs w:val="20"/>
              </w:rPr>
              <w:t>Adjudication</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sz w:val="20"/>
                <w:szCs w:val="20"/>
                <w:lang w:val="en-IN"/>
              </w:rPr>
            </w:pPr>
            <w:r w:rsidRPr="00D91B4B">
              <w:rPr>
                <w:rFonts w:ascii="Garamond" w:eastAsia="Calibri" w:hAnsi="Garamond"/>
                <w:sz w:val="20"/>
                <w:szCs w:val="20"/>
                <w:lang w:val="en-IN"/>
              </w:rPr>
              <w:t>Goutam Agarwal HUF</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eastAsia="Calibri" w:hAnsi="Garamond"/>
                <w:sz w:val="20"/>
                <w:szCs w:val="20"/>
                <w:lang w:val="en-IN"/>
              </w:rPr>
            </w:pPr>
            <w:r w:rsidRPr="00D91B4B">
              <w:rPr>
                <w:rFonts w:ascii="Garamond" w:hAnsi="Garamond"/>
                <w:sz w:val="20"/>
                <w:szCs w:val="20"/>
              </w:rPr>
              <w:t>Regulations  3(a),  (b),  (c), (d),   4(1)   and   4(2)(a)   of PFUTP Regulations, 2003</w:t>
            </w:r>
          </w:p>
        </w:tc>
        <w:tc>
          <w:tcPr>
            <w:tcW w:w="1417"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right"/>
              <w:rPr>
                <w:rFonts w:ascii="Garamond" w:eastAsia="Calibri" w:hAnsi="Garamond"/>
                <w:sz w:val="20"/>
                <w:szCs w:val="20"/>
                <w:lang w:val="en-IN"/>
              </w:rPr>
            </w:pPr>
            <w:r w:rsidRPr="00D91B4B">
              <w:rPr>
                <w:rFonts w:ascii="Garamond" w:hAnsi="Garamond"/>
                <w:sz w:val="20"/>
                <w:szCs w:val="20"/>
              </w:rPr>
              <w:t>5,00,000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34</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sz w:val="20"/>
                <w:szCs w:val="20"/>
                <w:lang w:val="en-IN"/>
              </w:rPr>
            </w:pPr>
            <w:r w:rsidRPr="00D91B4B">
              <w:rPr>
                <w:rFonts w:ascii="Garamond" w:hAnsi="Garamond" w:cs="Calibri"/>
                <w:color w:val="000000"/>
                <w:sz w:val="20"/>
                <w:szCs w:val="20"/>
                <w:lang w:bidi="hi-IN"/>
              </w:rPr>
              <w:t>06/10/2021</w:t>
            </w:r>
          </w:p>
        </w:tc>
        <w:tc>
          <w:tcPr>
            <w:tcW w:w="1701"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sz w:val="20"/>
                <w:szCs w:val="20"/>
                <w:lang w:val="en-IN"/>
              </w:rPr>
            </w:pPr>
            <w:r w:rsidRPr="00D91B4B">
              <w:rPr>
                <w:rFonts w:ascii="Garamond" w:hAnsi="Garamond" w:cs="Calibri"/>
                <w:color w:val="000000"/>
                <w:sz w:val="20"/>
                <w:szCs w:val="20"/>
                <w:lang w:bidi="hi-IN"/>
              </w:rPr>
              <w:t>Trading in Illiquid Stock Options on BSE</w:t>
            </w:r>
          </w:p>
        </w:tc>
        <w:tc>
          <w:tcPr>
            <w:tcW w:w="1275"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sz w:val="20"/>
                <w:szCs w:val="20"/>
                <w:lang w:val="en-IN"/>
              </w:rPr>
            </w:pPr>
            <w:r w:rsidRPr="00D91B4B">
              <w:rPr>
                <w:rFonts w:ascii="Garamond" w:hAnsi="Garamond" w:cs="Calibri"/>
                <w:color w:val="000000"/>
                <w:sz w:val="20"/>
                <w:szCs w:val="20"/>
                <w:lang w:bidi="hi-IN"/>
              </w:rPr>
              <w:t>Adjudication</w:t>
            </w:r>
          </w:p>
        </w:tc>
        <w:tc>
          <w:tcPr>
            <w:tcW w:w="212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sz w:val="20"/>
                <w:szCs w:val="20"/>
                <w:lang w:val="en-IN"/>
              </w:rPr>
            </w:pPr>
            <w:r w:rsidRPr="00D91B4B">
              <w:rPr>
                <w:rFonts w:ascii="Garamond" w:eastAsia="Calibri" w:hAnsi="Garamond"/>
                <w:sz w:val="20"/>
                <w:szCs w:val="20"/>
                <w:lang w:val="en-IN"/>
              </w:rPr>
              <w:t>Gaurishankar Bhawsar (HUF)</w:t>
            </w:r>
          </w:p>
        </w:tc>
        <w:tc>
          <w:tcPr>
            <w:tcW w:w="2268" w:type="dxa"/>
            <w:tcBorders>
              <w:top w:val="nil"/>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eastAsia="Calibri" w:hAnsi="Garamond"/>
                <w:sz w:val="20"/>
                <w:szCs w:val="20"/>
                <w:lang w:val="en-IN"/>
              </w:rPr>
            </w:pPr>
            <w:r w:rsidRPr="00D91B4B">
              <w:rPr>
                <w:rFonts w:ascii="Garamond" w:hAnsi="Garamond" w:cs="Calibri"/>
                <w:color w:val="000000"/>
                <w:sz w:val="20"/>
                <w:szCs w:val="20"/>
                <w:lang w:bidi="hi-IN"/>
              </w:rPr>
              <w:t>Regulations  3(a),  (b),  (c), (d),   4(1)   and   4(2)(a)   of PFUTP Regulations, 2003</w:t>
            </w:r>
          </w:p>
        </w:tc>
        <w:tc>
          <w:tcPr>
            <w:tcW w:w="141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eastAsia="Calibri" w:hAnsi="Garamond"/>
                <w:sz w:val="20"/>
                <w:szCs w:val="20"/>
                <w:lang w:val="en-IN"/>
              </w:rPr>
            </w:pPr>
            <w:r w:rsidRPr="00D91B4B">
              <w:rPr>
                <w:rFonts w:ascii="Garamond" w:hAnsi="Garamond" w:cs="Calibri"/>
                <w:color w:val="000000"/>
                <w:sz w:val="20"/>
                <w:szCs w:val="20"/>
                <w:lang w:bidi="hi-IN"/>
              </w:rPr>
              <w:t>5,00,000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35</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sz w:val="20"/>
                <w:szCs w:val="20"/>
                <w:lang w:val="en-IN"/>
              </w:rPr>
            </w:pPr>
            <w:r w:rsidRPr="00D91B4B">
              <w:rPr>
                <w:rFonts w:ascii="Garamond" w:hAnsi="Garamond" w:cs="Calibri"/>
                <w:color w:val="000000"/>
                <w:sz w:val="20"/>
                <w:szCs w:val="20"/>
                <w:lang w:bidi="hi-IN"/>
              </w:rPr>
              <w:t>07/10/2021</w:t>
            </w:r>
          </w:p>
        </w:tc>
        <w:tc>
          <w:tcPr>
            <w:tcW w:w="1701"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sz w:val="20"/>
                <w:szCs w:val="20"/>
                <w:lang w:val="en-IN"/>
              </w:rPr>
            </w:pPr>
            <w:r w:rsidRPr="00D91B4B">
              <w:rPr>
                <w:rFonts w:ascii="Garamond" w:hAnsi="Garamond" w:cs="Calibri"/>
                <w:color w:val="000000"/>
                <w:sz w:val="20"/>
                <w:szCs w:val="20"/>
                <w:lang w:bidi="hi-IN"/>
              </w:rPr>
              <w:t>Dealings in Illiquid Stock Options at the Bombay Stock Exchange</w:t>
            </w:r>
          </w:p>
        </w:tc>
        <w:tc>
          <w:tcPr>
            <w:tcW w:w="1275"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sz w:val="20"/>
                <w:szCs w:val="20"/>
                <w:lang w:val="en-IN"/>
              </w:rPr>
            </w:pPr>
            <w:r w:rsidRPr="00D91B4B">
              <w:rPr>
                <w:rFonts w:ascii="Garamond" w:hAnsi="Garamond" w:cs="Calibri"/>
                <w:color w:val="000000"/>
                <w:sz w:val="20"/>
                <w:szCs w:val="20"/>
                <w:lang w:bidi="hi-IN"/>
              </w:rPr>
              <w:t>Adjudication</w:t>
            </w:r>
          </w:p>
        </w:tc>
        <w:tc>
          <w:tcPr>
            <w:tcW w:w="212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sz w:val="20"/>
                <w:szCs w:val="20"/>
                <w:lang w:val="en-IN"/>
              </w:rPr>
            </w:pPr>
            <w:r w:rsidRPr="00D91B4B">
              <w:rPr>
                <w:rFonts w:ascii="Garamond" w:eastAsia="Times New Roman" w:hAnsi="Garamond" w:cs="Calibri"/>
                <w:color w:val="000000"/>
                <w:sz w:val="20"/>
                <w:szCs w:val="20"/>
                <w:lang w:val="en-US"/>
              </w:rPr>
              <w:t>Bina Chowdhary</w:t>
            </w:r>
          </w:p>
        </w:tc>
        <w:tc>
          <w:tcPr>
            <w:tcW w:w="2268" w:type="dxa"/>
            <w:tcBorders>
              <w:top w:val="nil"/>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eastAsia="Calibri" w:hAnsi="Garamond"/>
                <w:sz w:val="20"/>
                <w:szCs w:val="20"/>
                <w:lang w:val="en-IN"/>
              </w:rPr>
            </w:pPr>
            <w:r w:rsidRPr="00D91B4B">
              <w:rPr>
                <w:rFonts w:ascii="Garamond" w:hAnsi="Garamond" w:cs="Calibri"/>
                <w:color w:val="000000"/>
                <w:sz w:val="20"/>
                <w:szCs w:val="20"/>
                <w:lang w:bidi="hi-IN"/>
              </w:rPr>
              <w:t>Regulations 3(a), (b), (c), (d),  4(1)  and  4(2)(a)  of PFUTP Regulations, 2003</w:t>
            </w:r>
          </w:p>
        </w:tc>
        <w:tc>
          <w:tcPr>
            <w:tcW w:w="141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eastAsia="Calibri" w:hAnsi="Garamond"/>
                <w:sz w:val="20"/>
                <w:szCs w:val="20"/>
                <w:lang w:val="en-IN"/>
              </w:rPr>
            </w:pPr>
            <w:r w:rsidRPr="00D91B4B">
              <w:rPr>
                <w:rFonts w:ascii="Garamond" w:hAnsi="Garamond" w:cs="Calibri"/>
                <w:color w:val="000000"/>
                <w:sz w:val="20"/>
                <w:szCs w:val="20"/>
                <w:lang w:bidi="hi-IN"/>
              </w:rPr>
              <w:t>5,00,000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36</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sz w:val="20"/>
                <w:szCs w:val="20"/>
                <w:lang w:val="en-IN"/>
              </w:rPr>
            </w:pPr>
            <w:r w:rsidRPr="00D91B4B">
              <w:rPr>
                <w:rFonts w:ascii="Garamond" w:hAnsi="Garamond" w:cs="Calibri"/>
                <w:color w:val="000000"/>
                <w:sz w:val="20"/>
                <w:szCs w:val="20"/>
                <w:lang w:bidi="hi-IN"/>
              </w:rPr>
              <w:t>08/10/2021</w:t>
            </w:r>
          </w:p>
        </w:tc>
        <w:tc>
          <w:tcPr>
            <w:tcW w:w="1701"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sz w:val="20"/>
                <w:szCs w:val="20"/>
                <w:lang w:val="en-IN"/>
              </w:rPr>
            </w:pPr>
            <w:r w:rsidRPr="00D91B4B">
              <w:rPr>
                <w:rFonts w:ascii="Garamond" w:hAnsi="Garamond" w:cs="Calibri"/>
                <w:color w:val="000000"/>
                <w:sz w:val="20"/>
                <w:szCs w:val="20"/>
                <w:lang w:bidi="hi-IN"/>
              </w:rPr>
              <w:t>M/s Videocon Industries Ltd.</w:t>
            </w:r>
          </w:p>
        </w:tc>
        <w:tc>
          <w:tcPr>
            <w:tcW w:w="1275"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sz w:val="20"/>
                <w:szCs w:val="20"/>
                <w:lang w:val="en-IN"/>
              </w:rPr>
            </w:pPr>
            <w:r w:rsidRPr="00D91B4B">
              <w:rPr>
                <w:rFonts w:ascii="Garamond" w:hAnsi="Garamond" w:cs="Calibri"/>
                <w:color w:val="000000"/>
                <w:sz w:val="20"/>
                <w:szCs w:val="20"/>
                <w:lang w:bidi="hi-IN"/>
              </w:rPr>
              <w:t>Adjudication</w:t>
            </w:r>
          </w:p>
        </w:tc>
        <w:tc>
          <w:tcPr>
            <w:tcW w:w="212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eastAsia="Calibri" w:hAnsi="Garamond"/>
                <w:sz w:val="20"/>
                <w:szCs w:val="20"/>
                <w:lang w:val="en-IN"/>
              </w:rPr>
            </w:pPr>
            <w:r w:rsidRPr="00D91B4B">
              <w:rPr>
                <w:rFonts w:ascii="Garamond" w:hAnsi="Garamond" w:cs="Calibri"/>
                <w:color w:val="000000"/>
                <w:sz w:val="20"/>
                <w:szCs w:val="20"/>
                <w:lang w:bidi="hi-IN"/>
              </w:rPr>
              <w:t>Pradeep Kumar Dhoot</w:t>
            </w:r>
          </w:p>
        </w:tc>
        <w:tc>
          <w:tcPr>
            <w:tcW w:w="2268" w:type="dxa"/>
            <w:tcBorders>
              <w:top w:val="nil"/>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eastAsia="Calibri" w:hAnsi="Garamond"/>
                <w:sz w:val="20"/>
                <w:szCs w:val="20"/>
                <w:lang w:val="en-IN"/>
              </w:rPr>
            </w:pPr>
            <w:r w:rsidRPr="00D91B4B">
              <w:rPr>
                <w:rFonts w:ascii="Garamond" w:hAnsi="Garamond" w:cs="Calibri"/>
                <w:color w:val="000000"/>
                <w:sz w:val="20"/>
                <w:szCs w:val="20"/>
                <w:lang w:bidi="hi-IN"/>
              </w:rPr>
              <w:t>Regulation 4(1) of SEBI PIT Regulations, 2015 read with Section 12A (d) &amp; (e) of SEBI Act, 1992</w:t>
            </w:r>
          </w:p>
        </w:tc>
        <w:tc>
          <w:tcPr>
            <w:tcW w:w="141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eastAsia="Calibri" w:hAnsi="Garamond"/>
                <w:sz w:val="20"/>
                <w:szCs w:val="20"/>
                <w:lang w:val="en-IN"/>
              </w:rPr>
            </w:pPr>
            <w:r w:rsidRPr="00D91B4B">
              <w:rPr>
                <w:rFonts w:ascii="Garamond" w:hAnsi="Garamond" w:cs="Calibri"/>
                <w:color w:val="000000"/>
                <w:sz w:val="20"/>
                <w:szCs w:val="20"/>
                <w:lang w:bidi="hi-IN"/>
              </w:rPr>
              <w:t>20,00,000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37</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08/10/2021</w:t>
            </w:r>
          </w:p>
        </w:tc>
        <w:tc>
          <w:tcPr>
            <w:tcW w:w="1701"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M/s Videocon Industries Ltd.</w:t>
            </w:r>
          </w:p>
        </w:tc>
        <w:tc>
          <w:tcPr>
            <w:tcW w:w="1275"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Adjudication</w:t>
            </w:r>
          </w:p>
        </w:tc>
        <w:tc>
          <w:tcPr>
            <w:tcW w:w="212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sz w:val="20"/>
                <w:szCs w:val="20"/>
              </w:rPr>
              <w:t>Subhash Dayama and Roshi Ap-</w:t>
            </w:r>
          </w:p>
          <w:p w:rsidR="00956136" w:rsidRPr="00D91B4B" w:rsidRDefault="00956136" w:rsidP="00530909">
            <w:pPr>
              <w:jc w:val="both"/>
              <w:rPr>
                <w:rFonts w:ascii="Garamond" w:hAnsi="Garamond"/>
                <w:sz w:val="20"/>
                <w:szCs w:val="20"/>
              </w:rPr>
            </w:pPr>
            <w:r w:rsidRPr="00D91B4B">
              <w:rPr>
                <w:rFonts w:ascii="Garamond" w:hAnsi="Garamond"/>
                <w:sz w:val="20"/>
                <w:szCs w:val="20"/>
              </w:rPr>
              <w:t>pliances Pvt Ltd</w:t>
            </w:r>
          </w:p>
        </w:tc>
        <w:tc>
          <w:tcPr>
            <w:tcW w:w="2268" w:type="dxa"/>
            <w:tcBorders>
              <w:top w:val="nil"/>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hAnsi="Garamond" w:cs="Calibri"/>
                <w:color w:val="000000"/>
                <w:sz w:val="20"/>
                <w:szCs w:val="20"/>
                <w:lang w:bidi="hi-IN"/>
              </w:rPr>
              <w:t>Regulation 4(1) of SEBI PIT Regulations, 2015 read with Section 12A (d) &amp; (e) of SEBI Act, 1992</w:t>
            </w:r>
          </w:p>
        </w:tc>
        <w:tc>
          <w:tcPr>
            <w:tcW w:w="141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cs="Calibri"/>
                <w:color w:val="000000"/>
                <w:sz w:val="20"/>
                <w:szCs w:val="20"/>
                <w:lang w:bidi="hi-IN"/>
              </w:rPr>
              <w:t>30,00,000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38</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08/10/2021</w:t>
            </w:r>
          </w:p>
        </w:tc>
        <w:tc>
          <w:tcPr>
            <w:tcW w:w="1701"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Titan Company Ltd.</w:t>
            </w:r>
          </w:p>
        </w:tc>
        <w:tc>
          <w:tcPr>
            <w:tcW w:w="1275"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Adjudication</w:t>
            </w:r>
          </w:p>
        </w:tc>
        <w:tc>
          <w:tcPr>
            <w:tcW w:w="212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sz w:val="20"/>
                <w:szCs w:val="20"/>
              </w:rPr>
              <w:t>Mr. Haridass G</w:t>
            </w:r>
          </w:p>
        </w:tc>
        <w:tc>
          <w:tcPr>
            <w:tcW w:w="2268" w:type="dxa"/>
            <w:tcBorders>
              <w:top w:val="nil"/>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hAnsi="Garamond" w:cs="Calibri"/>
                <w:color w:val="000000"/>
                <w:sz w:val="20"/>
                <w:szCs w:val="20"/>
                <w:lang w:bidi="hi-IN"/>
              </w:rPr>
              <w:t>Regulation 7(2)(a)of SEBI (PIT) Regulations</w:t>
            </w:r>
          </w:p>
        </w:tc>
        <w:tc>
          <w:tcPr>
            <w:tcW w:w="141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cs="Calibri"/>
                <w:color w:val="000000"/>
                <w:sz w:val="20"/>
                <w:szCs w:val="20"/>
                <w:lang w:bidi="hi-IN"/>
              </w:rPr>
              <w:t>1,00,000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39</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08/10/2021</w:t>
            </w:r>
          </w:p>
        </w:tc>
        <w:tc>
          <w:tcPr>
            <w:tcW w:w="1701"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Titan Company Ltd.</w:t>
            </w:r>
          </w:p>
        </w:tc>
        <w:tc>
          <w:tcPr>
            <w:tcW w:w="1275"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Adjudication</w:t>
            </w:r>
          </w:p>
        </w:tc>
        <w:tc>
          <w:tcPr>
            <w:tcW w:w="212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Karishma Vikas Lashkare</w:t>
            </w:r>
          </w:p>
        </w:tc>
        <w:tc>
          <w:tcPr>
            <w:tcW w:w="2268" w:type="dxa"/>
            <w:tcBorders>
              <w:top w:val="nil"/>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hAnsi="Garamond" w:cs="Calibri"/>
                <w:color w:val="000000"/>
                <w:sz w:val="20"/>
                <w:szCs w:val="20"/>
                <w:lang w:bidi="hi-IN"/>
              </w:rPr>
              <w:t>Regulation 7(2)(a)of SEBI (PIT) Regulations</w:t>
            </w:r>
          </w:p>
        </w:tc>
        <w:tc>
          <w:tcPr>
            <w:tcW w:w="141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cs="Calibri"/>
                <w:color w:val="000000"/>
                <w:sz w:val="20"/>
                <w:szCs w:val="20"/>
                <w:lang w:bidi="hi-IN"/>
              </w:rPr>
              <w:t>1,00,000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40</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08/10/2021</w:t>
            </w:r>
          </w:p>
        </w:tc>
        <w:tc>
          <w:tcPr>
            <w:tcW w:w="1701"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Kushal Ltd..</w:t>
            </w:r>
          </w:p>
        </w:tc>
        <w:tc>
          <w:tcPr>
            <w:tcW w:w="1275"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Adjudication</w:t>
            </w:r>
          </w:p>
        </w:tc>
        <w:tc>
          <w:tcPr>
            <w:tcW w:w="212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Sanjay Kumar Sharma.</w:t>
            </w:r>
          </w:p>
        </w:tc>
        <w:tc>
          <w:tcPr>
            <w:tcW w:w="2268" w:type="dxa"/>
            <w:tcBorders>
              <w:top w:val="nil"/>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hAnsi="Garamond" w:cs="Calibri"/>
                <w:color w:val="000000"/>
                <w:sz w:val="20"/>
                <w:szCs w:val="20"/>
                <w:lang w:bidi="hi-IN"/>
              </w:rPr>
              <w:t>Regulation 7(2)(a)and Regulation 9(1) read with clause 4 Schedule B of the SEBI (PIT) Regulations</w:t>
            </w:r>
          </w:p>
        </w:tc>
        <w:tc>
          <w:tcPr>
            <w:tcW w:w="141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cs="Calibri"/>
                <w:color w:val="000000"/>
                <w:sz w:val="20"/>
                <w:szCs w:val="20"/>
                <w:lang w:bidi="hi-IN"/>
              </w:rPr>
              <w:t>2,50,000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41</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12/10/2021</w:t>
            </w:r>
          </w:p>
        </w:tc>
        <w:tc>
          <w:tcPr>
            <w:tcW w:w="1701"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Trading in Illiquid Stock Options on BSE</w:t>
            </w:r>
          </w:p>
        </w:tc>
        <w:tc>
          <w:tcPr>
            <w:tcW w:w="1275"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Adjudication</w:t>
            </w:r>
          </w:p>
        </w:tc>
        <w:tc>
          <w:tcPr>
            <w:tcW w:w="212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Nikita Agrawal</w:t>
            </w:r>
          </w:p>
        </w:tc>
        <w:tc>
          <w:tcPr>
            <w:tcW w:w="2268" w:type="dxa"/>
            <w:tcBorders>
              <w:top w:val="nil"/>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hAnsi="Garamond" w:cs="Calibri"/>
                <w:color w:val="000000"/>
                <w:sz w:val="20"/>
                <w:szCs w:val="20"/>
                <w:lang w:bidi="hi-IN"/>
              </w:rPr>
              <w:t xml:space="preserve"> Regulations  3(a),  (b),  (c), (d),   4(1)   and   4(2)(a)   of PFUTP Regulations, 2003</w:t>
            </w:r>
          </w:p>
        </w:tc>
        <w:tc>
          <w:tcPr>
            <w:tcW w:w="141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cs="Calibri"/>
                <w:color w:val="000000"/>
                <w:sz w:val="20"/>
                <w:szCs w:val="20"/>
                <w:lang w:bidi="hi-IN"/>
              </w:rPr>
              <w:t>5,00,000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42</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12/10/2021</w:t>
            </w:r>
          </w:p>
        </w:tc>
        <w:tc>
          <w:tcPr>
            <w:tcW w:w="1701"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Trading in Illiquid Stock Options on BSE</w:t>
            </w:r>
          </w:p>
        </w:tc>
        <w:tc>
          <w:tcPr>
            <w:tcW w:w="1275"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Adjudication</w:t>
            </w:r>
          </w:p>
        </w:tc>
        <w:tc>
          <w:tcPr>
            <w:tcW w:w="212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 xml:space="preserve"> Nikhil Golchha HUF</w:t>
            </w:r>
          </w:p>
        </w:tc>
        <w:tc>
          <w:tcPr>
            <w:tcW w:w="2268" w:type="dxa"/>
            <w:tcBorders>
              <w:top w:val="nil"/>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hAnsi="Garamond" w:cs="Calibri"/>
                <w:color w:val="000000"/>
                <w:sz w:val="20"/>
                <w:szCs w:val="20"/>
                <w:lang w:bidi="hi-IN"/>
              </w:rPr>
              <w:t>Regulations  3(a),  (b),  (c), (d),   4(1)   and   4(2)(a)   of PFUTP Regulations, 2003</w:t>
            </w:r>
          </w:p>
        </w:tc>
        <w:tc>
          <w:tcPr>
            <w:tcW w:w="141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cs="Calibri"/>
                <w:color w:val="000000"/>
                <w:sz w:val="20"/>
                <w:szCs w:val="20"/>
                <w:lang w:bidi="hi-IN"/>
              </w:rPr>
              <w:t>5,00,000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43</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13/10/2021</w:t>
            </w:r>
          </w:p>
        </w:tc>
        <w:tc>
          <w:tcPr>
            <w:tcW w:w="1701"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Garnet International Ltd.</w:t>
            </w:r>
          </w:p>
        </w:tc>
        <w:tc>
          <w:tcPr>
            <w:tcW w:w="1275"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Adjudication</w:t>
            </w:r>
          </w:p>
        </w:tc>
        <w:tc>
          <w:tcPr>
            <w:tcW w:w="212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Jitendra  Mehta, Devan  J  Mehta, Kartik  Gaggar, Ramakant   Mangalchand   Gaggar, Sarika  Gaggar, Suresh Gaggar, Hetanshi  Properties  Pvt.  Ltd. , Ashtvakra  Properties  Pvt.  Ltd.</w:t>
            </w:r>
          </w:p>
        </w:tc>
        <w:tc>
          <w:tcPr>
            <w:tcW w:w="2268" w:type="dxa"/>
            <w:tcBorders>
              <w:top w:val="nil"/>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hAnsi="Garamond" w:cs="Calibri"/>
                <w:color w:val="000000"/>
                <w:sz w:val="20"/>
                <w:szCs w:val="20"/>
                <w:lang w:bidi="hi-IN"/>
              </w:rPr>
              <w:t xml:space="preserve">Regulation 13 (4) and (4A) read with 13 (5) of SEBI (PIT ) Regulations 1992; Regulation   7   (2)   (a)   of   SEBI( PIT) Regulations 2015; Regulation  31  (2)  r/w  31  (3)  of  SEBI (SAST ) Regulations 2011; Code    of    Conduct    prescribed    in Clause    10    of    Schedule    B    r/w Regulation    9    (1)    of    PIT Regulations    2015   </w:t>
            </w:r>
            <w:r w:rsidRPr="00D91B4B">
              <w:rPr>
                <w:rFonts w:ascii="Garamond" w:hAnsi="Garamond" w:cs="Calibri"/>
                <w:color w:val="000000"/>
                <w:sz w:val="20"/>
                <w:szCs w:val="20"/>
                <w:lang w:bidi="hi-IN"/>
              </w:rPr>
              <w:lastRenderedPageBreak/>
              <w:t>and    Code    of Conduct prescribed  in Clause 4.2 of Schedule  I  read  with  Regulation  12 (1)   of   PIT   Regulations   1992   and 2015, Regulation 29 (1) r/w (3) of the SAST Regulations, 2011</w:t>
            </w:r>
          </w:p>
        </w:tc>
        <w:tc>
          <w:tcPr>
            <w:tcW w:w="141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cs="Calibri"/>
                <w:color w:val="000000"/>
                <w:sz w:val="20"/>
                <w:szCs w:val="20"/>
                <w:lang w:bidi="hi-IN"/>
              </w:rPr>
              <w:lastRenderedPageBreak/>
              <w:t>11,00,000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lastRenderedPageBreak/>
              <w:t>44</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14/10/2021</w:t>
            </w:r>
          </w:p>
        </w:tc>
        <w:tc>
          <w:tcPr>
            <w:tcW w:w="1701"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Dealings in Illiquid Stock Options at the BSE</w:t>
            </w:r>
          </w:p>
        </w:tc>
        <w:tc>
          <w:tcPr>
            <w:tcW w:w="1275"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Adjudication</w:t>
            </w:r>
          </w:p>
        </w:tc>
        <w:tc>
          <w:tcPr>
            <w:tcW w:w="212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sz w:val="20"/>
                <w:szCs w:val="20"/>
              </w:rPr>
              <w:t>Bimla Devi Baid</w:t>
            </w:r>
          </w:p>
        </w:tc>
        <w:tc>
          <w:tcPr>
            <w:tcW w:w="2268" w:type="dxa"/>
            <w:tcBorders>
              <w:top w:val="nil"/>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hAnsi="Garamond" w:cs="Calibri"/>
                <w:color w:val="000000"/>
                <w:sz w:val="20"/>
                <w:szCs w:val="20"/>
                <w:lang w:bidi="hi-IN"/>
              </w:rPr>
              <w:t>Regulations 3(a), (b), (c), (d),  4(1)  and  4(2)(a)  of PFUTP Regulations, 2003</w:t>
            </w:r>
          </w:p>
        </w:tc>
        <w:tc>
          <w:tcPr>
            <w:tcW w:w="141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cs="Calibri"/>
                <w:color w:val="000000"/>
                <w:sz w:val="20"/>
                <w:szCs w:val="20"/>
                <w:lang w:bidi="hi-IN"/>
              </w:rPr>
              <w:t>5,00,000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45</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20/10/2021</w:t>
            </w:r>
          </w:p>
        </w:tc>
        <w:tc>
          <w:tcPr>
            <w:tcW w:w="1701"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Palred Technologies Ltd</w:t>
            </w:r>
          </w:p>
        </w:tc>
        <w:tc>
          <w:tcPr>
            <w:tcW w:w="1275"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Adjudication</w:t>
            </w:r>
          </w:p>
        </w:tc>
        <w:tc>
          <w:tcPr>
            <w:tcW w:w="212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M Raghuram</w:t>
            </w:r>
          </w:p>
        </w:tc>
        <w:tc>
          <w:tcPr>
            <w:tcW w:w="2268" w:type="dxa"/>
            <w:tcBorders>
              <w:top w:val="nil"/>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eastAsia="Times New Roman" w:hAnsi="Garamond" w:cs="Calibri"/>
                <w:color w:val="000000"/>
                <w:sz w:val="20"/>
                <w:szCs w:val="20"/>
                <w:lang w:val="en-US"/>
              </w:rPr>
              <w:t>Clause 1.2, 3.2, 4.2, 5 and 6 of Schedule I,  Part  A  of  Model  Code  of  Conduct  for  Prevention  of  Insider  Trading  for  Listed Companies under Regulation 12(1) of PIT Regulations, 1992 read with Regulations 12 of PIT Regulations, 2015.</w:t>
            </w:r>
          </w:p>
        </w:tc>
        <w:tc>
          <w:tcPr>
            <w:tcW w:w="141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cs="Calibri"/>
                <w:color w:val="000000"/>
                <w:sz w:val="20"/>
                <w:szCs w:val="20"/>
                <w:lang w:bidi="hi-IN"/>
              </w:rPr>
              <w:t>2,00,000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46</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20/10/2021</w:t>
            </w:r>
          </w:p>
        </w:tc>
        <w:tc>
          <w:tcPr>
            <w:tcW w:w="1701"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Dealings in Illiquid Stock Options at the Bombay Stock Exchange</w:t>
            </w:r>
            <w:r w:rsidRPr="00D91B4B">
              <w:rPr>
                <w:rFonts w:ascii="Garamond" w:hAnsi="Garamond" w:cs="Calibri"/>
                <w:color w:val="000000"/>
                <w:sz w:val="20"/>
                <w:szCs w:val="20"/>
                <w:lang w:bidi="hi-IN"/>
              </w:rPr>
              <w:t>.</w:t>
            </w:r>
          </w:p>
        </w:tc>
        <w:tc>
          <w:tcPr>
            <w:tcW w:w="1275"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Adjudication</w:t>
            </w:r>
          </w:p>
        </w:tc>
        <w:tc>
          <w:tcPr>
            <w:tcW w:w="212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Bindu Mhanot</w:t>
            </w:r>
          </w:p>
        </w:tc>
        <w:tc>
          <w:tcPr>
            <w:tcW w:w="2268" w:type="dxa"/>
            <w:tcBorders>
              <w:top w:val="nil"/>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eastAsia="Times New Roman" w:hAnsi="Garamond" w:cs="Calibri"/>
                <w:color w:val="000000"/>
                <w:sz w:val="20"/>
                <w:szCs w:val="20"/>
                <w:lang w:val="en-US"/>
              </w:rPr>
              <w:t>Regulations 3(a), (b), (c), (d),  4(1)  and  4(2)(a)  of PFUTP    Regulations, 2003</w:t>
            </w:r>
          </w:p>
        </w:tc>
        <w:tc>
          <w:tcPr>
            <w:tcW w:w="141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cs="Calibri"/>
                <w:color w:val="000000"/>
                <w:sz w:val="20"/>
                <w:szCs w:val="20"/>
                <w:lang w:bidi="hi-IN"/>
              </w:rPr>
              <w:t>5,00,000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47</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20/10/2021</w:t>
            </w:r>
          </w:p>
        </w:tc>
        <w:tc>
          <w:tcPr>
            <w:tcW w:w="1701"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Palred Technologies Ltd</w:t>
            </w:r>
          </w:p>
        </w:tc>
        <w:tc>
          <w:tcPr>
            <w:tcW w:w="1275"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Adjudication</w:t>
            </w:r>
          </w:p>
        </w:tc>
        <w:tc>
          <w:tcPr>
            <w:tcW w:w="212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A Sridhar</w:t>
            </w:r>
          </w:p>
        </w:tc>
        <w:tc>
          <w:tcPr>
            <w:tcW w:w="2268" w:type="dxa"/>
            <w:tcBorders>
              <w:top w:val="nil"/>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eastAsia="Times New Roman" w:hAnsi="Garamond" w:cs="Calibri"/>
                <w:color w:val="000000"/>
                <w:sz w:val="20"/>
                <w:szCs w:val="20"/>
                <w:lang w:val="en-US"/>
              </w:rPr>
              <w:t>Clause 1.2, 3.2, 4.2, 5 and 6 of Schedule I,  Part  A  of  Model  Code  of  Conduct  for  Prevention  of  Insider  Trading  for  Listed Companies under Regulation 12(1) of PIT Regulations, 1992 read with Regulations 12 of PIT Regulations, 2015.</w:t>
            </w:r>
          </w:p>
        </w:tc>
        <w:tc>
          <w:tcPr>
            <w:tcW w:w="141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cs="Calibri"/>
                <w:color w:val="000000"/>
                <w:sz w:val="20"/>
                <w:szCs w:val="20"/>
                <w:lang w:bidi="hi-IN"/>
              </w:rPr>
              <w:t>2,00,000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48</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20/10/2021</w:t>
            </w:r>
          </w:p>
        </w:tc>
        <w:tc>
          <w:tcPr>
            <w:tcW w:w="1701"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Trading in Illiquid Stock Options onBSE</w:t>
            </w:r>
          </w:p>
        </w:tc>
        <w:tc>
          <w:tcPr>
            <w:tcW w:w="1275"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Adjudication</w:t>
            </w:r>
          </w:p>
        </w:tc>
        <w:tc>
          <w:tcPr>
            <w:tcW w:w="212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Nikunj Kiritbhai Shah</w:t>
            </w:r>
          </w:p>
        </w:tc>
        <w:tc>
          <w:tcPr>
            <w:tcW w:w="2268" w:type="dxa"/>
            <w:tcBorders>
              <w:top w:val="nil"/>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eastAsia="Times New Roman" w:hAnsi="Garamond" w:cs="Calibri"/>
                <w:color w:val="000000"/>
                <w:sz w:val="20"/>
                <w:szCs w:val="20"/>
                <w:lang w:val="en-US"/>
              </w:rPr>
              <w:t>Regulations  3(a),  (b),  (c), (d),   4(1)   and   4(2)(a)   of PFUTP Regulations, 2003</w:t>
            </w:r>
          </w:p>
        </w:tc>
        <w:tc>
          <w:tcPr>
            <w:tcW w:w="141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cs="Calibri"/>
                <w:color w:val="000000"/>
                <w:sz w:val="20"/>
                <w:szCs w:val="20"/>
                <w:lang w:bidi="hi-IN"/>
              </w:rPr>
              <w:t>5,00,000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49</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20/10/2021</w:t>
            </w:r>
          </w:p>
        </w:tc>
        <w:tc>
          <w:tcPr>
            <w:tcW w:w="1701"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Dealings in Illiquid Stock Options at BSE</w:t>
            </w:r>
          </w:p>
        </w:tc>
        <w:tc>
          <w:tcPr>
            <w:tcW w:w="1275"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Adjudication</w:t>
            </w:r>
          </w:p>
        </w:tc>
        <w:tc>
          <w:tcPr>
            <w:tcW w:w="212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Arnav Gupta</w:t>
            </w:r>
          </w:p>
        </w:tc>
        <w:tc>
          <w:tcPr>
            <w:tcW w:w="2268" w:type="dxa"/>
            <w:tcBorders>
              <w:top w:val="nil"/>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eastAsia="Times New Roman" w:hAnsi="Garamond" w:cs="Calibri"/>
                <w:color w:val="000000"/>
                <w:sz w:val="20"/>
                <w:szCs w:val="20"/>
                <w:lang w:val="en-US"/>
              </w:rPr>
              <w:t>Regulations  3(a),  (b),  (c), (d),   4(1)   and   4(2)(a)   of PFUTP Regulations, 2003</w:t>
            </w:r>
          </w:p>
        </w:tc>
        <w:tc>
          <w:tcPr>
            <w:tcW w:w="141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cs="Calibri"/>
                <w:color w:val="000000"/>
                <w:sz w:val="20"/>
                <w:szCs w:val="20"/>
                <w:lang w:bidi="hi-IN"/>
              </w:rPr>
              <w:t>10,00,000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50</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21/10/2021</w:t>
            </w:r>
          </w:p>
        </w:tc>
        <w:tc>
          <w:tcPr>
            <w:tcW w:w="1701"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Mindtree Ltd.</w:t>
            </w:r>
          </w:p>
        </w:tc>
        <w:tc>
          <w:tcPr>
            <w:tcW w:w="1275"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Adjudication</w:t>
            </w:r>
          </w:p>
        </w:tc>
        <w:tc>
          <w:tcPr>
            <w:tcW w:w="212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Virat Kumar Yerramalla</w:t>
            </w:r>
          </w:p>
        </w:tc>
        <w:tc>
          <w:tcPr>
            <w:tcW w:w="2268" w:type="dxa"/>
            <w:tcBorders>
              <w:top w:val="nil"/>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eastAsia="Times New Roman" w:hAnsi="Garamond" w:cs="Calibri"/>
                <w:color w:val="000000"/>
                <w:sz w:val="20"/>
                <w:szCs w:val="20"/>
                <w:lang w:val="en-US"/>
              </w:rPr>
              <w:t>Regulation 7(2)(a) of the PIT Regulations</w:t>
            </w:r>
          </w:p>
        </w:tc>
        <w:tc>
          <w:tcPr>
            <w:tcW w:w="141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cs="Calibri"/>
                <w:color w:val="000000"/>
                <w:sz w:val="20"/>
                <w:szCs w:val="20"/>
                <w:lang w:bidi="hi-IN"/>
              </w:rPr>
              <w:t>1,00,000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51</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21/10/2021</w:t>
            </w:r>
          </w:p>
        </w:tc>
        <w:tc>
          <w:tcPr>
            <w:tcW w:w="1701"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Mindtree Ltd.</w:t>
            </w:r>
          </w:p>
        </w:tc>
        <w:tc>
          <w:tcPr>
            <w:tcW w:w="1275"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Adjudication</w:t>
            </w:r>
          </w:p>
        </w:tc>
        <w:tc>
          <w:tcPr>
            <w:tcW w:w="212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Uday Kiran Lingamaneni</w:t>
            </w:r>
          </w:p>
        </w:tc>
        <w:tc>
          <w:tcPr>
            <w:tcW w:w="2268" w:type="dxa"/>
            <w:tcBorders>
              <w:top w:val="nil"/>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eastAsia="Times New Roman" w:hAnsi="Garamond" w:cs="Calibri"/>
                <w:color w:val="000000"/>
                <w:sz w:val="20"/>
                <w:szCs w:val="20"/>
                <w:lang w:val="en-US"/>
              </w:rPr>
              <w:t>Regulation 7(2)(a) of the PIT Regulations</w:t>
            </w:r>
          </w:p>
        </w:tc>
        <w:tc>
          <w:tcPr>
            <w:tcW w:w="141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cs="Calibri"/>
                <w:color w:val="000000"/>
                <w:sz w:val="20"/>
                <w:szCs w:val="20"/>
                <w:lang w:bidi="hi-IN"/>
              </w:rPr>
              <w:t>1,00,000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52</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21/10/2021</w:t>
            </w:r>
          </w:p>
        </w:tc>
        <w:tc>
          <w:tcPr>
            <w:tcW w:w="1701"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Upasana Finance Ltd.</w:t>
            </w:r>
          </w:p>
        </w:tc>
        <w:tc>
          <w:tcPr>
            <w:tcW w:w="1275"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Adjudication</w:t>
            </w:r>
          </w:p>
        </w:tc>
        <w:tc>
          <w:tcPr>
            <w:tcW w:w="212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 xml:space="preserve"> </w:t>
            </w:r>
            <w:r w:rsidRPr="00D91B4B">
              <w:rPr>
                <w:rFonts w:ascii="Garamond" w:eastAsia="Times New Roman" w:hAnsi="Garamond" w:cs="Calibri"/>
                <w:color w:val="000000"/>
                <w:sz w:val="20"/>
                <w:szCs w:val="20"/>
                <w:lang w:val="en-US"/>
              </w:rPr>
              <w:t>Ms. Rekha M. Jain, Ms. Bhavika Jain, Ms. Khushbu Jain</w:t>
            </w:r>
          </w:p>
        </w:tc>
        <w:tc>
          <w:tcPr>
            <w:tcW w:w="2268" w:type="dxa"/>
            <w:tcBorders>
              <w:top w:val="nil"/>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eastAsia="Times New Roman" w:hAnsi="Garamond" w:cs="Calibri"/>
                <w:color w:val="000000"/>
                <w:sz w:val="20"/>
                <w:szCs w:val="20"/>
                <w:lang w:val="en-US"/>
              </w:rPr>
              <w:t>Regulation    29(2) read with Regulation    29(3) of   the   Takeover Regulations, 2011</w:t>
            </w:r>
          </w:p>
        </w:tc>
        <w:tc>
          <w:tcPr>
            <w:tcW w:w="141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cs="Calibri"/>
                <w:color w:val="000000"/>
                <w:sz w:val="20"/>
                <w:szCs w:val="20"/>
                <w:lang w:bidi="hi-IN"/>
              </w:rPr>
              <w:t>2,00,000 jointly and severally</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53</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22/10/2021</w:t>
            </w:r>
          </w:p>
        </w:tc>
        <w:tc>
          <w:tcPr>
            <w:tcW w:w="1701"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STL Global Ltd.</w:t>
            </w:r>
          </w:p>
        </w:tc>
        <w:tc>
          <w:tcPr>
            <w:tcW w:w="1275"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Manoj   Jain   (HUF), Manoj  Kantilal  Jain, Sanjay  Kalwadia  (HUF), Shreeji Investment (Ritesh Vyas), Vijay  Kumar  Tayde, Abhishek Upadhyay, Sandhya Dharkar, Nitin</w:t>
            </w:r>
          </w:p>
        </w:tc>
        <w:tc>
          <w:tcPr>
            <w:tcW w:w="2268" w:type="dxa"/>
            <w:tcBorders>
              <w:top w:val="single" w:sz="4" w:space="0" w:color="auto"/>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eastAsia="Times New Roman" w:hAnsi="Garamond" w:cs="Calibri"/>
                <w:color w:val="000000"/>
                <w:sz w:val="20"/>
                <w:szCs w:val="20"/>
                <w:lang w:val="en-US"/>
              </w:rPr>
              <w:t>Regulation 3(a),(b),(c),(d) and 4(1)and 4(2)(a)of PFUTP  Regulations , Section 16 of SCRA read with SEBI Notification dated October 3, 2013, Section 13 and Section 18 of SCRA read with Section 2(i) of the SCRA</w:t>
            </w:r>
          </w:p>
        </w:tc>
        <w:tc>
          <w:tcPr>
            <w:tcW w:w="1417"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cs="Calibri"/>
                <w:color w:val="000000"/>
                <w:sz w:val="20"/>
                <w:szCs w:val="20"/>
                <w:lang w:bidi="hi-IN"/>
              </w:rPr>
              <w:t>31,00,000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lastRenderedPageBreak/>
              <w:t>54</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22/10/2021</w:t>
            </w:r>
          </w:p>
        </w:tc>
        <w:tc>
          <w:tcPr>
            <w:tcW w:w="1701"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Illiquid Stock Options at BSE Ltd.</w:t>
            </w:r>
          </w:p>
        </w:tc>
        <w:tc>
          <w:tcPr>
            <w:tcW w:w="1275"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Surabhi Mittal</w:t>
            </w:r>
          </w:p>
        </w:tc>
        <w:tc>
          <w:tcPr>
            <w:tcW w:w="2268" w:type="dxa"/>
            <w:tcBorders>
              <w:top w:val="single" w:sz="4" w:space="0" w:color="auto"/>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eastAsia="Times New Roman" w:hAnsi="Garamond" w:cs="Calibri"/>
                <w:color w:val="000000"/>
                <w:sz w:val="20"/>
                <w:szCs w:val="20"/>
                <w:lang w:val="en-US"/>
              </w:rPr>
              <w:t>Regulations 3(a), 3(b), 3(c), 3 (d), 4 (1), and  4  (2)  (a)  of the PFUTP Regulations.</w:t>
            </w:r>
          </w:p>
        </w:tc>
        <w:tc>
          <w:tcPr>
            <w:tcW w:w="1417"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cs="Calibri"/>
                <w:color w:val="000000"/>
                <w:sz w:val="20"/>
                <w:szCs w:val="20"/>
                <w:lang w:bidi="hi-IN"/>
              </w:rPr>
              <w:t>5,00,000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55</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b/>
                <w:bCs/>
                <w:sz w:val="20"/>
                <w:szCs w:val="20"/>
              </w:rPr>
            </w:pPr>
            <w:r w:rsidRPr="00D91B4B">
              <w:rPr>
                <w:rFonts w:ascii="Garamond" w:hAnsi="Garamond" w:cs="Calibri"/>
                <w:color w:val="000000"/>
                <w:sz w:val="20"/>
                <w:szCs w:val="20"/>
                <w:lang w:bidi="hi-IN"/>
              </w:rPr>
              <w:t>25/10/2021</w:t>
            </w:r>
          </w:p>
        </w:tc>
        <w:tc>
          <w:tcPr>
            <w:tcW w:w="1701" w:type="dxa"/>
            <w:tcBorders>
              <w:top w:val="nil"/>
              <w:left w:val="nil"/>
              <w:bottom w:val="single" w:sz="4" w:space="0" w:color="auto"/>
              <w:right w:val="single" w:sz="4" w:space="0" w:color="auto"/>
            </w:tcBorders>
            <w:shd w:val="clear" w:color="auto" w:fill="auto"/>
            <w:noWrap/>
          </w:tcPr>
          <w:p w:rsidR="00956136" w:rsidRPr="00D91B4B" w:rsidRDefault="00956136" w:rsidP="00530909">
            <w:pPr>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Fortis Healthcare Holdings Private Ltd.</w:t>
            </w:r>
          </w:p>
        </w:tc>
        <w:tc>
          <w:tcPr>
            <w:tcW w:w="1275"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Adjudication</w:t>
            </w:r>
          </w:p>
        </w:tc>
        <w:tc>
          <w:tcPr>
            <w:tcW w:w="212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Fortis Healthcare Holdings Private Ltd.</w:t>
            </w:r>
          </w:p>
        </w:tc>
        <w:tc>
          <w:tcPr>
            <w:tcW w:w="2268" w:type="dxa"/>
            <w:tcBorders>
              <w:top w:val="nil"/>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eastAsia="Times New Roman" w:hAnsi="Garamond" w:cs="Calibri"/>
                <w:color w:val="000000"/>
                <w:sz w:val="20"/>
                <w:szCs w:val="20"/>
                <w:lang w:val="en-US"/>
              </w:rPr>
              <w:t>Regulations 6(1),7(3),  50(1), 50(2), 50(3),52(1),  52(2),  52(4),  52(5),  52(7),54(2), 55, 56(1), 56(2), 57(1),57(2),60(2), and 62 of the LODR Regulations.</w:t>
            </w:r>
          </w:p>
        </w:tc>
        <w:tc>
          <w:tcPr>
            <w:tcW w:w="141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eastAsia="Times New Roman" w:hAnsi="Garamond" w:cs="Calibri"/>
                <w:color w:val="000000"/>
                <w:sz w:val="20"/>
                <w:szCs w:val="20"/>
                <w:lang w:val="en-US"/>
              </w:rPr>
              <w:t>3,50,000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56</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25/10/2021</w:t>
            </w:r>
          </w:p>
        </w:tc>
        <w:tc>
          <w:tcPr>
            <w:tcW w:w="1701"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Ashapura Intimates Fashion Ltd</w:t>
            </w:r>
          </w:p>
        </w:tc>
        <w:tc>
          <w:tcPr>
            <w:tcW w:w="1275"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Adjudication</w:t>
            </w:r>
          </w:p>
        </w:tc>
        <w:tc>
          <w:tcPr>
            <w:tcW w:w="212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Mr. Harshad Hirji Thakkar, Mrs. Harshaben Hirji Thakkar, Mrs. Ranjan Rasiklal Thakkar, Mrs. Rupal Rasiklal Thakkar, Mr. Rasiklal Thakkar, Mrs. Darshana Harshad Thakkar</w:t>
            </w:r>
          </w:p>
        </w:tc>
        <w:tc>
          <w:tcPr>
            <w:tcW w:w="2268" w:type="dxa"/>
            <w:tcBorders>
              <w:top w:val="nil"/>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eastAsia="Times New Roman" w:hAnsi="Garamond" w:cs="Calibri"/>
                <w:color w:val="000000"/>
                <w:sz w:val="20"/>
                <w:szCs w:val="20"/>
                <w:lang w:val="en-US"/>
              </w:rPr>
              <w:t>Regulation 29(1) read with Regulation 29(3)and Regulations 31(1) and 31(2) read with Regulation 31(3) of the SAST Regulations ; Regulation  7(2)(a)  of  the  PIT Regulations.</w:t>
            </w:r>
          </w:p>
        </w:tc>
        <w:tc>
          <w:tcPr>
            <w:tcW w:w="141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eastAsia="Times New Roman" w:hAnsi="Garamond" w:cs="Calibri"/>
                <w:color w:val="000000"/>
                <w:sz w:val="20"/>
                <w:szCs w:val="20"/>
                <w:lang w:val="en-US"/>
              </w:rPr>
              <w:t>7,50,000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57</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25/10/2021</w:t>
            </w:r>
          </w:p>
        </w:tc>
        <w:tc>
          <w:tcPr>
            <w:tcW w:w="1701"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Titan Company Ltd.</w:t>
            </w:r>
          </w:p>
        </w:tc>
        <w:tc>
          <w:tcPr>
            <w:tcW w:w="1275"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Adjudication</w:t>
            </w:r>
          </w:p>
        </w:tc>
        <w:tc>
          <w:tcPr>
            <w:tcW w:w="212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Mr. Murugan M</w:t>
            </w:r>
          </w:p>
        </w:tc>
        <w:tc>
          <w:tcPr>
            <w:tcW w:w="2268" w:type="dxa"/>
            <w:tcBorders>
              <w:top w:val="nil"/>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eastAsia="Times New Roman" w:hAnsi="Garamond" w:cs="Calibri"/>
                <w:color w:val="000000"/>
                <w:sz w:val="20"/>
                <w:szCs w:val="20"/>
                <w:lang w:val="en-US"/>
              </w:rPr>
              <w:t>Regulation 7(2)(a) of SEBI (PIT) Regulations on two (2) occasions.</w:t>
            </w:r>
          </w:p>
        </w:tc>
        <w:tc>
          <w:tcPr>
            <w:tcW w:w="141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eastAsia="Times New Roman" w:hAnsi="Garamond" w:cs="Calibri"/>
                <w:color w:val="000000"/>
                <w:sz w:val="20"/>
                <w:szCs w:val="20"/>
                <w:lang w:val="en-US"/>
              </w:rPr>
              <w:t>1,00,000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58</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25/10/2021</w:t>
            </w:r>
          </w:p>
        </w:tc>
        <w:tc>
          <w:tcPr>
            <w:tcW w:w="1701"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Titan Company Ltd.</w:t>
            </w:r>
          </w:p>
        </w:tc>
        <w:tc>
          <w:tcPr>
            <w:tcW w:w="1275"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Adjudication</w:t>
            </w:r>
          </w:p>
        </w:tc>
        <w:tc>
          <w:tcPr>
            <w:tcW w:w="212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Mr. K.Nagabushana</w:t>
            </w:r>
          </w:p>
        </w:tc>
        <w:tc>
          <w:tcPr>
            <w:tcW w:w="2268" w:type="dxa"/>
            <w:tcBorders>
              <w:top w:val="nil"/>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eastAsia="Times New Roman" w:hAnsi="Garamond" w:cs="Calibri"/>
                <w:color w:val="000000"/>
                <w:sz w:val="20"/>
                <w:szCs w:val="20"/>
                <w:lang w:val="en-US"/>
              </w:rPr>
              <w:t>Regulation 7(2)(a) of SEBI (PIT) Regulations on two (2) occasions.</w:t>
            </w:r>
          </w:p>
        </w:tc>
        <w:tc>
          <w:tcPr>
            <w:tcW w:w="141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eastAsia="Times New Roman" w:hAnsi="Garamond" w:cs="Calibri"/>
                <w:color w:val="000000"/>
                <w:sz w:val="20"/>
                <w:szCs w:val="20"/>
                <w:lang w:val="en-US"/>
              </w:rPr>
              <w:t>1,00,000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59</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25/10/2021</w:t>
            </w:r>
          </w:p>
        </w:tc>
        <w:tc>
          <w:tcPr>
            <w:tcW w:w="1701"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Titan Company Ltd.</w:t>
            </w:r>
          </w:p>
        </w:tc>
        <w:tc>
          <w:tcPr>
            <w:tcW w:w="1275"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Adjudication</w:t>
            </w:r>
          </w:p>
        </w:tc>
        <w:tc>
          <w:tcPr>
            <w:tcW w:w="212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Shri. A. Rathinappan</w:t>
            </w:r>
          </w:p>
        </w:tc>
        <w:tc>
          <w:tcPr>
            <w:tcW w:w="2268" w:type="dxa"/>
            <w:tcBorders>
              <w:top w:val="nil"/>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eastAsia="Times New Roman" w:hAnsi="Garamond" w:cs="Calibri"/>
                <w:color w:val="000000"/>
                <w:sz w:val="20"/>
                <w:szCs w:val="20"/>
                <w:lang w:val="en-US"/>
              </w:rPr>
              <w:t>Regulation 7(2)(a) on two (2) occasions.</w:t>
            </w:r>
          </w:p>
        </w:tc>
        <w:tc>
          <w:tcPr>
            <w:tcW w:w="141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eastAsia="Times New Roman" w:hAnsi="Garamond" w:cs="Calibri"/>
                <w:color w:val="000000"/>
                <w:sz w:val="20"/>
                <w:szCs w:val="20"/>
                <w:lang w:val="en-US"/>
              </w:rPr>
              <w:t>1,00,000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60</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25/10/2021</w:t>
            </w:r>
          </w:p>
        </w:tc>
        <w:tc>
          <w:tcPr>
            <w:tcW w:w="1701"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Trading in Illiquid Stock Options onBSE</w:t>
            </w:r>
          </w:p>
        </w:tc>
        <w:tc>
          <w:tcPr>
            <w:tcW w:w="1275"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Adjudication</w:t>
            </w:r>
          </w:p>
        </w:tc>
        <w:tc>
          <w:tcPr>
            <w:tcW w:w="212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Nidhi Pasari</w:t>
            </w:r>
          </w:p>
        </w:tc>
        <w:tc>
          <w:tcPr>
            <w:tcW w:w="2268" w:type="dxa"/>
            <w:tcBorders>
              <w:top w:val="nil"/>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hAnsi="Garamond" w:cs="Calibri"/>
                <w:color w:val="000000"/>
                <w:sz w:val="20"/>
                <w:szCs w:val="20"/>
                <w:lang w:bidi="hi-IN"/>
              </w:rPr>
              <w:t> </w:t>
            </w:r>
            <w:r w:rsidRPr="00D91B4B">
              <w:rPr>
                <w:rFonts w:ascii="Garamond" w:eastAsia="Times New Roman" w:hAnsi="Garamond" w:cs="Calibri"/>
                <w:color w:val="000000"/>
                <w:sz w:val="20"/>
                <w:szCs w:val="20"/>
                <w:lang w:val="en-US"/>
              </w:rPr>
              <w:t>Regulations  3(a),  (b),  (c), (d),   4(1)   and   4(2)(a)   of PFUTP Regulations, 2003</w:t>
            </w:r>
          </w:p>
        </w:tc>
        <w:tc>
          <w:tcPr>
            <w:tcW w:w="141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cs="Calibri"/>
                <w:color w:val="000000"/>
                <w:sz w:val="20"/>
                <w:szCs w:val="20"/>
                <w:lang w:bidi="hi-IN"/>
              </w:rPr>
              <w:t>5,00,000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61</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26/10/2021</w:t>
            </w:r>
          </w:p>
        </w:tc>
        <w:tc>
          <w:tcPr>
            <w:tcW w:w="1701"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Dealings in Illiquid Stock Options at the BSE</w:t>
            </w:r>
          </w:p>
        </w:tc>
        <w:tc>
          <w:tcPr>
            <w:tcW w:w="1275"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Adjudication</w:t>
            </w:r>
          </w:p>
        </w:tc>
        <w:tc>
          <w:tcPr>
            <w:tcW w:w="212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Binay Kumar Agarwal HUF</w:t>
            </w:r>
          </w:p>
        </w:tc>
        <w:tc>
          <w:tcPr>
            <w:tcW w:w="2268" w:type="dxa"/>
            <w:tcBorders>
              <w:top w:val="nil"/>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eastAsia="Times New Roman" w:hAnsi="Garamond" w:cs="Calibri"/>
                <w:color w:val="000000"/>
                <w:sz w:val="20"/>
                <w:szCs w:val="20"/>
                <w:lang w:val="en-US"/>
              </w:rPr>
              <w:t>Regulations 3(a),  (b),  (c),  (d),  4(1)  and  4(2)(a)  of  the PFUTP  Regulations, 2003.</w:t>
            </w:r>
          </w:p>
        </w:tc>
        <w:tc>
          <w:tcPr>
            <w:tcW w:w="141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cs="Calibri"/>
                <w:color w:val="000000"/>
                <w:sz w:val="20"/>
                <w:szCs w:val="20"/>
                <w:lang w:bidi="hi-IN"/>
              </w:rPr>
              <w:t>5,00,000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62</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26/10/2021</w:t>
            </w:r>
          </w:p>
        </w:tc>
        <w:tc>
          <w:tcPr>
            <w:tcW w:w="1701"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Dealings in Illiquid Stock Options at the BSE</w:t>
            </w:r>
          </w:p>
        </w:tc>
        <w:tc>
          <w:tcPr>
            <w:tcW w:w="1275"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Adjudication</w:t>
            </w:r>
          </w:p>
        </w:tc>
        <w:tc>
          <w:tcPr>
            <w:tcW w:w="212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Alpna enterprises</w:t>
            </w:r>
          </w:p>
        </w:tc>
        <w:tc>
          <w:tcPr>
            <w:tcW w:w="2268" w:type="dxa"/>
            <w:tcBorders>
              <w:top w:val="nil"/>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eastAsia="Times New Roman" w:hAnsi="Garamond" w:cs="Calibri"/>
                <w:color w:val="000000"/>
                <w:sz w:val="20"/>
                <w:szCs w:val="20"/>
                <w:lang w:val="en-US"/>
              </w:rPr>
              <w:t>Regulations 3(a),  (b),  (c),  (d),  4(1)  and  4(2)(a)  of  the PFUTP  Regulations, 2003.</w:t>
            </w:r>
          </w:p>
        </w:tc>
        <w:tc>
          <w:tcPr>
            <w:tcW w:w="141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cs="Calibri"/>
                <w:color w:val="000000"/>
                <w:sz w:val="20"/>
                <w:szCs w:val="20"/>
                <w:lang w:bidi="hi-IN"/>
              </w:rPr>
              <w:t>5,00,000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63</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27/10/2021</w:t>
            </w:r>
          </w:p>
        </w:tc>
        <w:tc>
          <w:tcPr>
            <w:tcW w:w="1701"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M/s Videocon Industries Ltd.</w:t>
            </w:r>
          </w:p>
        </w:tc>
        <w:tc>
          <w:tcPr>
            <w:tcW w:w="1275"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Adjudication</w:t>
            </w:r>
          </w:p>
        </w:tc>
        <w:tc>
          <w:tcPr>
            <w:tcW w:w="212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Shri Surajit Dutta</w:t>
            </w:r>
          </w:p>
        </w:tc>
        <w:tc>
          <w:tcPr>
            <w:tcW w:w="2268" w:type="dxa"/>
            <w:tcBorders>
              <w:top w:val="nil"/>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eastAsia="Times New Roman" w:hAnsi="Garamond" w:cs="Calibri"/>
                <w:color w:val="000000"/>
                <w:sz w:val="20"/>
                <w:szCs w:val="20"/>
                <w:lang w:val="en-US"/>
              </w:rPr>
              <w:t>Sections 11C (5) of the SEBI Act</w:t>
            </w:r>
          </w:p>
        </w:tc>
        <w:tc>
          <w:tcPr>
            <w:tcW w:w="141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cs="Calibri"/>
                <w:color w:val="000000"/>
                <w:sz w:val="20"/>
                <w:szCs w:val="20"/>
                <w:lang w:bidi="hi-IN"/>
              </w:rPr>
              <w:t>5,00,000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64</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27/10/2021</w:t>
            </w:r>
          </w:p>
        </w:tc>
        <w:tc>
          <w:tcPr>
            <w:tcW w:w="1701"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M/s Videocon Industries Ltd.</w:t>
            </w:r>
          </w:p>
        </w:tc>
        <w:tc>
          <w:tcPr>
            <w:tcW w:w="1275"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Adjudication</w:t>
            </w:r>
          </w:p>
        </w:tc>
        <w:tc>
          <w:tcPr>
            <w:tcW w:w="212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Shri Mithilesh Kumar Jha</w:t>
            </w:r>
          </w:p>
        </w:tc>
        <w:tc>
          <w:tcPr>
            <w:tcW w:w="2268" w:type="dxa"/>
            <w:tcBorders>
              <w:top w:val="nil"/>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eastAsia="Times New Roman" w:hAnsi="Garamond" w:cs="Calibri"/>
                <w:color w:val="000000"/>
                <w:sz w:val="20"/>
                <w:szCs w:val="20"/>
                <w:lang w:val="en-US"/>
              </w:rPr>
              <w:t>Sections 11C (5) of the SEBI Act</w:t>
            </w:r>
          </w:p>
        </w:tc>
        <w:tc>
          <w:tcPr>
            <w:tcW w:w="141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cs="Calibri"/>
                <w:color w:val="000000"/>
                <w:sz w:val="20"/>
                <w:szCs w:val="20"/>
                <w:lang w:bidi="hi-IN"/>
              </w:rPr>
              <w:t>5,00,000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65</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27/10/2021</w:t>
            </w:r>
          </w:p>
        </w:tc>
        <w:tc>
          <w:tcPr>
            <w:tcW w:w="1701"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Trading in Illiquid Stock Options on BSE</w:t>
            </w:r>
          </w:p>
        </w:tc>
        <w:tc>
          <w:tcPr>
            <w:tcW w:w="1275"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Adjudication</w:t>
            </w:r>
          </w:p>
        </w:tc>
        <w:tc>
          <w:tcPr>
            <w:tcW w:w="212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Gourav Khandelwal</w:t>
            </w:r>
          </w:p>
        </w:tc>
        <w:tc>
          <w:tcPr>
            <w:tcW w:w="2268" w:type="dxa"/>
            <w:tcBorders>
              <w:top w:val="nil"/>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eastAsia="Times New Roman" w:hAnsi="Garamond" w:cs="Calibri"/>
                <w:color w:val="000000"/>
                <w:sz w:val="20"/>
                <w:szCs w:val="20"/>
                <w:lang w:val="en-US"/>
              </w:rPr>
              <w:t>Regulations  3(a),  (b),  (c), (d),   4(1)   and   4(2)(a)   of PFUTP Regulations, 2003</w:t>
            </w:r>
          </w:p>
        </w:tc>
        <w:tc>
          <w:tcPr>
            <w:tcW w:w="141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cs="Calibri"/>
                <w:color w:val="000000"/>
                <w:sz w:val="20"/>
                <w:szCs w:val="20"/>
                <w:lang w:bidi="hi-IN"/>
              </w:rPr>
              <w:t>5,00,000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66</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27/10/2021</w:t>
            </w:r>
          </w:p>
        </w:tc>
        <w:tc>
          <w:tcPr>
            <w:tcW w:w="1701"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Dealings in Illiquid Stock Options at the BSE</w:t>
            </w:r>
          </w:p>
        </w:tc>
        <w:tc>
          <w:tcPr>
            <w:tcW w:w="1275"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Adjudication</w:t>
            </w:r>
          </w:p>
        </w:tc>
        <w:tc>
          <w:tcPr>
            <w:tcW w:w="212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Om Sales Corporation</w:t>
            </w:r>
          </w:p>
        </w:tc>
        <w:tc>
          <w:tcPr>
            <w:tcW w:w="2268" w:type="dxa"/>
            <w:tcBorders>
              <w:top w:val="nil"/>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eastAsia="Times New Roman" w:hAnsi="Garamond" w:cs="Calibri"/>
                <w:color w:val="000000"/>
                <w:sz w:val="20"/>
                <w:szCs w:val="20"/>
                <w:lang w:val="en-US"/>
              </w:rPr>
              <w:t>Regulations 3(a),  (b),  (c),  (d),  4(1)  and  4(2)(a)  of  the PFUTP  Regulations, 2003</w:t>
            </w:r>
          </w:p>
        </w:tc>
        <w:tc>
          <w:tcPr>
            <w:tcW w:w="141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cs="Calibri"/>
                <w:color w:val="000000"/>
                <w:sz w:val="20"/>
                <w:szCs w:val="20"/>
                <w:lang w:bidi="hi-IN"/>
              </w:rPr>
              <w:t>5,00,000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67</w:t>
            </w:r>
          </w:p>
        </w:tc>
        <w:tc>
          <w:tcPr>
            <w:tcW w:w="1418" w:type="dxa"/>
            <w:tcBorders>
              <w:top w:val="nil"/>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27/10/2021</w:t>
            </w:r>
          </w:p>
        </w:tc>
        <w:tc>
          <w:tcPr>
            <w:tcW w:w="1701"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Trading in Illiquid Stock Options on BSE</w:t>
            </w:r>
          </w:p>
        </w:tc>
        <w:tc>
          <w:tcPr>
            <w:tcW w:w="1275"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Adjudication</w:t>
            </w:r>
          </w:p>
        </w:tc>
        <w:tc>
          <w:tcPr>
            <w:tcW w:w="212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Niraj Damani</w:t>
            </w:r>
          </w:p>
        </w:tc>
        <w:tc>
          <w:tcPr>
            <w:tcW w:w="2268" w:type="dxa"/>
            <w:tcBorders>
              <w:top w:val="nil"/>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eastAsia="Times New Roman" w:hAnsi="Garamond" w:cs="Calibri"/>
                <w:color w:val="000000"/>
                <w:sz w:val="20"/>
                <w:szCs w:val="20"/>
                <w:lang w:val="en-US"/>
              </w:rPr>
              <w:t>Regulations  3(a), (b),  (c), (d),  4(1)  and  4(2)(a)  of PFUTP Regulations, 2003</w:t>
            </w:r>
          </w:p>
        </w:tc>
        <w:tc>
          <w:tcPr>
            <w:tcW w:w="1417" w:type="dxa"/>
            <w:tcBorders>
              <w:top w:val="nil"/>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cs="Calibri"/>
                <w:color w:val="000000"/>
                <w:sz w:val="20"/>
                <w:szCs w:val="20"/>
                <w:lang w:bidi="hi-IN"/>
              </w:rPr>
              <w:t>5,00,000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68</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27/10/2021</w:t>
            </w:r>
          </w:p>
        </w:tc>
        <w:tc>
          <w:tcPr>
            <w:tcW w:w="1701"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Dealings in Illiquid Stock Options at the BSE</w:t>
            </w:r>
          </w:p>
        </w:tc>
        <w:tc>
          <w:tcPr>
            <w:tcW w:w="1275"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Ms. Neelam Ramniklal Dedhia</w:t>
            </w:r>
          </w:p>
        </w:tc>
        <w:tc>
          <w:tcPr>
            <w:tcW w:w="2268" w:type="dxa"/>
            <w:tcBorders>
              <w:top w:val="single" w:sz="4" w:space="0" w:color="auto"/>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sz w:val="20"/>
                <w:szCs w:val="20"/>
              </w:rPr>
            </w:pPr>
            <w:r w:rsidRPr="00D91B4B">
              <w:rPr>
                <w:rFonts w:ascii="Garamond" w:eastAsia="Times New Roman" w:hAnsi="Garamond" w:cs="Calibri"/>
                <w:color w:val="000000"/>
                <w:sz w:val="20"/>
                <w:szCs w:val="20"/>
                <w:lang w:val="en-US"/>
              </w:rPr>
              <w:t>Violation  of regulations 3(a),  (b),  (c),  (d),  4(1)  and  4(2)(a)  of  the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cs="Calibri"/>
                <w:color w:val="000000"/>
                <w:sz w:val="20"/>
                <w:szCs w:val="20"/>
                <w:lang w:bidi="hi-IN"/>
              </w:rPr>
              <w:t>5,00,000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lastRenderedPageBreak/>
              <w:t>69</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28/10/2021</w:t>
            </w:r>
          </w:p>
        </w:tc>
        <w:tc>
          <w:tcPr>
            <w:tcW w:w="1701"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Dealings in Illiquid Stock Options at the BSE</w:t>
            </w:r>
          </w:p>
        </w:tc>
        <w:tc>
          <w:tcPr>
            <w:tcW w:w="1275"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hAnsi="Garamond" w:cs="Calibri"/>
                <w:color w:val="000000"/>
                <w:sz w:val="20"/>
                <w:szCs w:val="2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sz w:val="20"/>
                <w:szCs w:val="20"/>
              </w:rPr>
            </w:pPr>
            <w:r w:rsidRPr="00D91B4B">
              <w:rPr>
                <w:rFonts w:ascii="Garamond" w:eastAsia="Times New Roman" w:hAnsi="Garamond" w:cs="Calibri"/>
                <w:color w:val="000000"/>
                <w:sz w:val="20"/>
                <w:szCs w:val="20"/>
                <w:lang w:val="en-US"/>
              </w:rPr>
              <w:t>Santosh Kumar Agarwal HUF</w:t>
            </w:r>
          </w:p>
        </w:tc>
        <w:tc>
          <w:tcPr>
            <w:tcW w:w="2268" w:type="dxa"/>
            <w:tcBorders>
              <w:top w:val="single" w:sz="4" w:space="0" w:color="auto"/>
              <w:left w:val="nil"/>
              <w:bottom w:val="single" w:sz="4" w:space="0" w:color="auto"/>
              <w:right w:val="single" w:sz="4" w:space="0" w:color="auto"/>
            </w:tcBorders>
            <w:shd w:val="clear" w:color="auto" w:fill="auto"/>
          </w:tcPr>
          <w:p w:rsidR="00956136" w:rsidRPr="00D91B4B" w:rsidRDefault="00956136" w:rsidP="00530909">
            <w:pPr>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 xml:space="preserve">Regulations 3(a), (b), (c), (d), 4(1) and 4(2) (a) of the PFUTP Regulations </w:t>
            </w:r>
          </w:p>
        </w:tc>
        <w:tc>
          <w:tcPr>
            <w:tcW w:w="1417"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sz w:val="20"/>
                <w:szCs w:val="20"/>
              </w:rPr>
            </w:pPr>
            <w:r w:rsidRPr="00D91B4B">
              <w:rPr>
                <w:rFonts w:ascii="Garamond" w:hAnsi="Garamond" w:cs="Calibri"/>
                <w:color w:val="000000"/>
                <w:sz w:val="20"/>
                <w:szCs w:val="20"/>
                <w:lang w:bidi="hi-IN"/>
              </w:rPr>
              <w:t>5,00,000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70</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cs="Calibri"/>
                <w:color w:val="000000"/>
                <w:sz w:val="20"/>
                <w:szCs w:val="20"/>
                <w:lang w:bidi="hi-IN"/>
              </w:rPr>
            </w:pPr>
            <w:r w:rsidRPr="00D91B4B">
              <w:rPr>
                <w:rFonts w:ascii="Garamond" w:hAnsi="Garamond" w:cs="Calibri"/>
                <w:color w:val="000000"/>
                <w:sz w:val="20"/>
                <w:szCs w:val="20"/>
                <w:lang w:bidi="hi-IN"/>
              </w:rPr>
              <w:t>28/10/2021</w:t>
            </w:r>
          </w:p>
        </w:tc>
        <w:tc>
          <w:tcPr>
            <w:tcW w:w="1701"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cs="Calibri"/>
                <w:color w:val="000000"/>
                <w:sz w:val="20"/>
                <w:szCs w:val="20"/>
                <w:lang w:bidi="hi-IN"/>
              </w:rPr>
            </w:pPr>
            <w:r w:rsidRPr="00D91B4B">
              <w:rPr>
                <w:rFonts w:ascii="Garamond" w:eastAsia="Times New Roman" w:hAnsi="Garamond" w:cs="Calibri"/>
                <w:color w:val="000000"/>
                <w:sz w:val="20"/>
                <w:szCs w:val="20"/>
                <w:lang w:val="en-US"/>
              </w:rPr>
              <w:t>Dealings in Illiquid Stock Options at the BSE</w:t>
            </w:r>
          </w:p>
        </w:tc>
        <w:tc>
          <w:tcPr>
            <w:tcW w:w="1275"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cs="Calibri"/>
                <w:color w:val="000000"/>
                <w:sz w:val="20"/>
                <w:szCs w:val="20"/>
                <w:lang w:bidi="hi-IN"/>
              </w:rPr>
            </w:pPr>
            <w:r w:rsidRPr="00D91B4B">
              <w:rPr>
                <w:rFonts w:ascii="Garamond" w:hAnsi="Garamond" w:cs="Calibri"/>
                <w:color w:val="000000"/>
                <w:sz w:val="20"/>
                <w:szCs w:val="2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cs="Calibri"/>
                <w:color w:val="000000"/>
                <w:sz w:val="20"/>
                <w:szCs w:val="20"/>
                <w:lang w:bidi="hi-IN"/>
              </w:rPr>
            </w:pPr>
            <w:r w:rsidRPr="00D91B4B">
              <w:rPr>
                <w:rFonts w:ascii="Garamond" w:eastAsia="Times New Roman" w:hAnsi="Garamond" w:cs="Calibri"/>
                <w:color w:val="000000"/>
                <w:sz w:val="20"/>
                <w:szCs w:val="20"/>
                <w:lang w:val="en-US"/>
              </w:rPr>
              <w:t>Omen Trading</w:t>
            </w:r>
          </w:p>
        </w:tc>
        <w:tc>
          <w:tcPr>
            <w:tcW w:w="2268" w:type="dxa"/>
            <w:tcBorders>
              <w:top w:val="single" w:sz="4" w:space="0" w:color="auto"/>
              <w:left w:val="nil"/>
              <w:bottom w:val="single" w:sz="4" w:space="0" w:color="auto"/>
              <w:right w:val="single" w:sz="4" w:space="0" w:color="auto"/>
            </w:tcBorders>
            <w:shd w:val="clear" w:color="auto" w:fill="auto"/>
          </w:tcPr>
          <w:p w:rsidR="00956136" w:rsidRPr="00D91B4B" w:rsidRDefault="00956136" w:rsidP="00530909">
            <w:pPr>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 xml:space="preserve">Regulations 3(a), (b), (c), (d), 4(1) and 4(2) (a) of the PFUTP Regulations </w:t>
            </w:r>
          </w:p>
        </w:tc>
        <w:tc>
          <w:tcPr>
            <w:tcW w:w="1417"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cs="Calibri"/>
                <w:color w:val="000000"/>
                <w:sz w:val="20"/>
                <w:szCs w:val="20"/>
                <w:lang w:bidi="hi-IN"/>
              </w:rPr>
            </w:pPr>
            <w:r w:rsidRPr="00D91B4B">
              <w:rPr>
                <w:rFonts w:ascii="Garamond" w:hAnsi="Garamond" w:cs="Calibri"/>
                <w:color w:val="000000"/>
                <w:sz w:val="20"/>
                <w:szCs w:val="20"/>
                <w:lang w:bidi="hi-IN"/>
              </w:rPr>
              <w:t>5,00,000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71</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cs="Calibri"/>
                <w:color w:val="000000"/>
                <w:sz w:val="20"/>
                <w:szCs w:val="20"/>
                <w:lang w:bidi="hi-IN"/>
              </w:rPr>
            </w:pPr>
            <w:r w:rsidRPr="00D91B4B">
              <w:rPr>
                <w:rFonts w:ascii="Garamond" w:hAnsi="Garamond" w:cs="Calibri"/>
                <w:color w:val="000000"/>
                <w:sz w:val="20"/>
                <w:szCs w:val="20"/>
                <w:lang w:bidi="hi-IN"/>
              </w:rPr>
              <w:t>28/10/2021</w:t>
            </w:r>
          </w:p>
        </w:tc>
        <w:tc>
          <w:tcPr>
            <w:tcW w:w="1701"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cs="Calibri"/>
                <w:color w:val="000000"/>
                <w:sz w:val="20"/>
                <w:szCs w:val="20"/>
                <w:lang w:bidi="hi-IN"/>
              </w:rPr>
            </w:pPr>
            <w:r w:rsidRPr="00D91B4B">
              <w:rPr>
                <w:rFonts w:ascii="Garamond" w:eastAsia="Times New Roman" w:hAnsi="Garamond" w:cs="Calibri"/>
                <w:color w:val="000000"/>
                <w:sz w:val="20"/>
                <w:szCs w:val="20"/>
                <w:lang w:val="en-US"/>
              </w:rPr>
              <w:t>Trading in Illiquid Stock Options on BSE</w:t>
            </w:r>
          </w:p>
        </w:tc>
        <w:tc>
          <w:tcPr>
            <w:tcW w:w="1275"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cs="Calibri"/>
                <w:color w:val="000000"/>
                <w:sz w:val="20"/>
                <w:szCs w:val="20"/>
                <w:lang w:bidi="hi-IN"/>
              </w:rPr>
            </w:pPr>
            <w:r w:rsidRPr="00D91B4B">
              <w:rPr>
                <w:rFonts w:ascii="Garamond" w:hAnsi="Garamond" w:cs="Calibri"/>
                <w:color w:val="000000"/>
                <w:sz w:val="20"/>
                <w:szCs w:val="2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cs="Calibri"/>
                <w:color w:val="000000"/>
                <w:sz w:val="20"/>
                <w:szCs w:val="20"/>
                <w:lang w:bidi="hi-IN"/>
              </w:rPr>
            </w:pPr>
            <w:r w:rsidRPr="00D91B4B">
              <w:rPr>
                <w:rFonts w:ascii="Garamond" w:eastAsia="Times New Roman" w:hAnsi="Garamond" w:cs="Calibri"/>
                <w:color w:val="000000"/>
                <w:sz w:val="20"/>
                <w:szCs w:val="20"/>
                <w:lang w:val="en-US"/>
              </w:rPr>
              <w:t>Nimesh Prafulbhai Doshi</w:t>
            </w:r>
          </w:p>
        </w:tc>
        <w:tc>
          <w:tcPr>
            <w:tcW w:w="2268" w:type="dxa"/>
            <w:tcBorders>
              <w:top w:val="single" w:sz="4" w:space="0" w:color="auto"/>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cs="Calibri"/>
                <w:color w:val="000000"/>
                <w:sz w:val="20"/>
                <w:szCs w:val="20"/>
                <w:lang w:bidi="hi-IN"/>
              </w:rPr>
            </w:pPr>
            <w:r w:rsidRPr="00D91B4B">
              <w:rPr>
                <w:rFonts w:ascii="Garamond" w:eastAsia="Times New Roman" w:hAnsi="Garamond" w:cs="Calibri"/>
                <w:color w:val="000000"/>
                <w:sz w:val="20"/>
                <w:szCs w:val="20"/>
                <w:lang w:val="en-US"/>
              </w:rPr>
              <w:t>Regulations  3(a),  (b),  (c), (d),   4(1)   and   4(2)(a)   of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cs="Calibri"/>
                <w:color w:val="000000"/>
                <w:sz w:val="20"/>
                <w:szCs w:val="20"/>
                <w:lang w:bidi="hi-IN"/>
              </w:rPr>
            </w:pPr>
            <w:r w:rsidRPr="00D91B4B">
              <w:rPr>
                <w:rFonts w:ascii="Garamond" w:eastAsia="Times New Roman" w:hAnsi="Garamond" w:cs="Calibri"/>
                <w:color w:val="000000"/>
                <w:sz w:val="20"/>
                <w:szCs w:val="20"/>
                <w:lang w:val="en-US"/>
              </w:rPr>
              <w:t>5,00,000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72</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cs="Calibri"/>
                <w:color w:val="000000"/>
                <w:sz w:val="20"/>
                <w:szCs w:val="20"/>
                <w:lang w:bidi="hi-IN"/>
              </w:rPr>
            </w:pPr>
            <w:r w:rsidRPr="00D91B4B">
              <w:rPr>
                <w:rFonts w:ascii="Garamond" w:hAnsi="Garamond" w:cs="Calibri"/>
                <w:color w:val="000000"/>
                <w:sz w:val="20"/>
                <w:szCs w:val="20"/>
                <w:lang w:bidi="hi-IN"/>
              </w:rPr>
              <w:t>28/10/2021</w:t>
            </w:r>
          </w:p>
        </w:tc>
        <w:tc>
          <w:tcPr>
            <w:tcW w:w="1701"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cs="Calibri"/>
                <w:color w:val="000000"/>
                <w:sz w:val="20"/>
                <w:szCs w:val="20"/>
                <w:lang w:bidi="hi-IN"/>
              </w:rPr>
            </w:pPr>
            <w:r w:rsidRPr="00D91B4B">
              <w:rPr>
                <w:rFonts w:ascii="Garamond" w:eastAsia="Times New Roman" w:hAnsi="Garamond" w:cs="Calibri"/>
                <w:color w:val="000000"/>
                <w:sz w:val="20"/>
                <w:szCs w:val="20"/>
                <w:lang w:val="en-US"/>
              </w:rPr>
              <w:t>Dealings in Illiquid Stock Options on BSE</w:t>
            </w:r>
          </w:p>
        </w:tc>
        <w:tc>
          <w:tcPr>
            <w:tcW w:w="1275"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cs="Calibri"/>
                <w:color w:val="000000"/>
                <w:sz w:val="20"/>
                <w:szCs w:val="20"/>
                <w:lang w:bidi="hi-IN"/>
              </w:rPr>
            </w:pPr>
            <w:r w:rsidRPr="00D91B4B">
              <w:rPr>
                <w:rFonts w:ascii="Garamond" w:hAnsi="Garamond" w:cs="Calibri"/>
                <w:color w:val="000000"/>
                <w:sz w:val="20"/>
                <w:szCs w:val="2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cs="Calibri"/>
                <w:color w:val="000000"/>
                <w:sz w:val="20"/>
                <w:szCs w:val="20"/>
                <w:lang w:bidi="hi-IN"/>
              </w:rPr>
            </w:pPr>
            <w:r w:rsidRPr="00D91B4B">
              <w:rPr>
                <w:rFonts w:ascii="Garamond" w:eastAsia="Times New Roman" w:hAnsi="Garamond" w:cs="Calibri"/>
                <w:color w:val="000000"/>
                <w:sz w:val="20"/>
                <w:szCs w:val="20"/>
                <w:lang w:val="en-US"/>
              </w:rPr>
              <w:t>Neeta Devi Agrawal</w:t>
            </w:r>
          </w:p>
        </w:tc>
        <w:tc>
          <w:tcPr>
            <w:tcW w:w="2268" w:type="dxa"/>
            <w:tcBorders>
              <w:top w:val="single" w:sz="4" w:space="0" w:color="auto"/>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cs="Calibri"/>
                <w:color w:val="000000"/>
                <w:sz w:val="20"/>
                <w:szCs w:val="20"/>
                <w:lang w:bidi="hi-IN"/>
              </w:rPr>
            </w:pPr>
            <w:r w:rsidRPr="00D91B4B">
              <w:rPr>
                <w:rFonts w:ascii="Garamond" w:eastAsia="Times New Roman" w:hAnsi="Garamond" w:cs="Calibri"/>
                <w:color w:val="000000"/>
                <w:sz w:val="20"/>
                <w:szCs w:val="20"/>
                <w:lang w:val="en-US"/>
              </w:rPr>
              <w:t>Regulations   3(a),   (b),   (c), (d),    4(1)    and    4(2)(a)    of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cs="Calibri"/>
                <w:color w:val="000000"/>
                <w:sz w:val="20"/>
                <w:szCs w:val="20"/>
                <w:lang w:bidi="hi-IN"/>
              </w:rPr>
            </w:pPr>
            <w:r w:rsidRPr="00D91B4B">
              <w:rPr>
                <w:rFonts w:ascii="Garamond" w:hAnsi="Garamond" w:cs="Calibri"/>
                <w:color w:val="000000"/>
                <w:sz w:val="20"/>
                <w:szCs w:val="20"/>
                <w:lang w:bidi="hi-IN"/>
              </w:rPr>
              <w:t>5,00,000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73</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cs="Calibri"/>
                <w:color w:val="000000"/>
                <w:sz w:val="20"/>
                <w:szCs w:val="20"/>
                <w:lang w:bidi="hi-IN"/>
              </w:rPr>
            </w:pPr>
            <w:r w:rsidRPr="00D91B4B">
              <w:rPr>
                <w:rFonts w:ascii="Garamond" w:hAnsi="Garamond" w:cs="Calibri"/>
                <w:color w:val="000000"/>
                <w:sz w:val="20"/>
                <w:szCs w:val="20"/>
                <w:lang w:bidi="hi-IN"/>
              </w:rPr>
              <w:t>28/10/2021</w:t>
            </w:r>
          </w:p>
        </w:tc>
        <w:tc>
          <w:tcPr>
            <w:tcW w:w="1701"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cs="Calibri"/>
                <w:color w:val="000000"/>
                <w:sz w:val="20"/>
                <w:szCs w:val="20"/>
                <w:lang w:bidi="hi-IN"/>
              </w:rPr>
            </w:pPr>
            <w:r w:rsidRPr="00D91B4B">
              <w:rPr>
                <w:rFonts w:ascii="Garamond" w:eastAsia="Times New Roman" w:hAnsi="Garamond" w:cs="Calibri"/>
                <w:color w:val="000000"/>
                <w:sz w:val="20"/>
                <w:szCs w:val="20"/>
                <w:lang w:val="en-US"/>
              </w:rPr>
              <w:t>Dealings in Illiquid Stock Options at BSE</w:t>
            </w:r>
          </w:p>
        </w:tc>
        <w:tc>
          <w:tcPr>
            <w:tcW w:w="1275"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cs="Calibri"/>
                <w:color w:val="000000"/>
                <w:sz w:val="20"/>
                <w:szCs w:val="20"/>
                <w:lang w:bidi="hi-IN"/>
              </w:rPr>
            </w:pPr>
            <w:r w:rsidRPr="00D91B4B">
              <w:rPr>
                <w:rFonts w:ascii="Garamond" w:hAnsi="Garamond" w:cs="Calibri"/>
                <w:color w:val="000000"/>
                <w:sz w:val="20"/>
                <w:szCs w:val="2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cs="Calibri"/>
                <w:color w:val="000000"/>
                <w:sz w:val="20"/>
                <w:szCs w:val="20"/>
                <w:lang w:bidi="hi-IN"/>
              </w:rPr>
            </w:pPr>
            <w:r w:rsidRPr="00D91B4B">
              <w:rPr>
                <w:rFonts w:ascii="Garamond" w:eastAsia="Times New Roman" w:hAnsi="Garamond" w:cs="Calibri"/>
                <w:color w:val="000000"/>
                <w:sz w:val="20"/>
                <w:szCs w:val="20"/>
                <w:lang w:val="en-US"/>
              </w:rPr>
              <w:t>Ms. Abhilasha Gupta</w:t>
            </w:r>
          </w:p>
        </w:tc>
        <w:tc>
          <w:tcPr>
            <w:tcW w:w="2268" w:type="dxa"/>
            <w:tcBorders>
              <w:top w:val="single" w:sz="4" w:space="0" w:color="auto"/>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hAnsi="Garamond" w:cs="Calibri"/>
                <w:color w:val="000000"/>
                <w:sz w:val="20"/>
                <w:szCs w:val="20"/>
                <w:lang w:bidi="hi-IN"/>
              </w:rPr>
            </w:pPr>
            <w:r w:rsidRPr="00D91B4B">
              <w:rPr>
                <w:rFonts w:ascii="Garamond" w:eastAsia="Times New Roman" w:hAnsi="Garamond" w:cs="Calibri"/>
                <w:color w:val="000000"/>
                <w:sz w:val="20"/>
                <w:szCs w:val="20"/>
                <w:lang w:val="en-US"/>
              </w:rPr>
              <w:t>Regulations3(a),4(1)and4(2)(a)of the PFUTP Regulations</w:t>
            </w:r>
          </w:p>
        </w:tc>
        <w:tc>
          <w:tcPr>
            <w:tcW w:w="1417"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cs="Calibri"/>
                <w:color w:val="000000"/>
                <w:sz w:val="20"/>
                <w:szCs w:val="20"/>
                <w:lang w:bidi="hi-IN"/>
              </w:rPr>
            </w:pPr>
            <w:r w:rsidRPr="00D91B4B">
              <w:rPr>
                <w:rFonts w:ascii="Garamond" w:hAnsi="Garamond" w:cs="Calibri"/>
                <w:color w:val="000000"/>
                <w:sz w:val="20"/>
                <w:szCs w:val="20"/>
                <w:lang w:bidi="hi-IN"/>
              </w:rPr>
              <w:t>5,00,000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74</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cs="Calibri"/>
                <w:color w:val="000000"/>
                <w:sz w:val="20"/>
                <w:szCs w:val="20"/>
                <w:lang w:bidi="hi-IN"/>
              </w:rPr>
            </w:pPr>
            <w:r w:rsidRPr="00D91B4B">
              <w:rPr>
                <w:rFonts w:ascii="Garamond" w:hAnsi="Garamond" w:cs="Calibri"/>
                <w:color w:val="000000"/>
                <w:sz w:val="20"/>
                <w:szCs w:val="20"/>
                <w:lang w:bidi="hi-IN"/>
              </w:rPr>
              <w:t>29/10/2021</w:t>
            </w:r>
          </w:p>
        </w:tc>
        <w:tc>
          <w:tcPr>
            <w:tcW w:w="1701"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PMC Fincorp Ltd.</w:t>
            </w:r>
          </w:p>
        </w:tc>
        <w:tc>
          <w:tcPr>
            <w:tcW w:w="1275"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cs="Calibri"/>
                <w:color w:val="000000"/>
                <w:sz w:val="20"/>
                <w:szCs w:val="20"/>
                <w:lang w:bidi="hi-IN"/>
              </w:rPr>
            </w:pPr>
            <w:r w:rsidRPr="00D91B4B">
              <w:rPr>
                <w:rFonts w:ascii="Garamond" w:hAnsi="Garamond" w:cs="Calibri"/>
                <w:color w:val="000000"/>
                <w:sz w:val="20"/>
                <w:szCs w:val="2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Pardeep Aggarwal, Sakshi Aggarwal, Santosh Aggarwal, Parmod  Aggarwal, Mayank  Aggarwal, Himanshu  Aggarwal , Nupur  Aggarwal, Savita Aggarwal &amp; 3 others</w:t>
            </w:r>
          </w:p>
        </w:tc>
        <w:tc>
          <w:tcPr>
            <w:tcW w:w="2268" w:type="dxa"/>
            <w:tcBorders>
              <w:top w:val="single" w:sz="4" w:space="0" w:color="auto"/>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Section 12A(a),(b),(c) of SEBI Act read with Regulation 3(a),(b),(c),(d) and Regulations 4(1), 4(2) (a), (e) of PFUTP Regulations.</w:t>
            </w:r>
          </w:p>
        </w:tc>
        <w:tc>
          <w:tcPr>
            <w:tcW w:w="1417"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cs="Calibri"/>
                <w:color w:val="000000"/>
                <w:sz w:val="20"/>
                <w:szCs w:val="20"/>
                <w:lang w:bidi="hi-IN"/>
              </w:rPr>
            </w:pPr>
            <w:r w:rsidRPr="00D91B4B">
              <w:rPr>
                <w:rFonts w:ascii="Garamond" w:hAnsi="Garamond" w:cs="Calibri"/>
                <w:color w:val="000000"/>
                <w:sz w:val="20"/>
                <w:szCs w:val="20"/>
                <w:lang w:bidi="hi-IN"/>
              </w:rPr>
              <w:t>5,00,000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75</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cs="Calibri"/>
                <w:color w:val="000000"/>
                <w:sz w:val="20"/>
                <w:szCs w:val="20"/>
                <w:lang w:bidi="hi-IN"/>
              </w:rPr>
            </w:pPr>
            <w:r w:rsidRPr="00D91B4B">
              <w:rPr>
                <w:rFonts w:ascii="Garamond" w:hAnsi="Garamond" w:cs="Calibri"/>
                <w:color w:val="000000"/>
                <w:sz w:val="20"/>
                <w:szCs w:val="20"/>
                <w:lang w:bidi="hi-IN"/>
              </w:rPr>
              <w:t>29/10/2021</w:t>
            </w:r>
          </w:p>
        </w:tc>
        <w:tc>
          <w:tcPr>
            <w:tcW w:w="1701"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Dealings in illiquid stock options at BSE</w:t>
            </w:r>
          </w:p>
        </w:tc>
        <w:tc>
          <w:tcPr>
            <w:tcW w:w="1275"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cs="Calibri"/>
                <w:color w:val="000000"/>
                <w:sz w:val="20"/>
                <w:szCs w:val="20"/>
                <w:lang w:bidi="hi-IN"/>
              </w:rPr>
            </w:pPr>
            <w:r w:rsidRPr="00D91B4B">
              <w:rPr>
                <w:rFonts w:ascii="Garamond" w:hAnsi="Garamond" w:cs="Calibri"/>
                <w:color w:val="000000"/>
                <w:sz w:val="20"/>
                <w:szCs w:val="2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Mr. Shubham Maheshwari</w:t>
            </w:r>
          </w:p>
        </w:tc>
        <w:tc>
          <w:tcPr>
            <w:tcW w:w="2268" w:type="dxa"/>
            <w:tcBorders>
              <w:top w:val="single" w:sz="4" w:space="0" w:color="auto"/>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Regulations 3(a), (b),(c), (d), 4(1) and 4(2)(a) of the PFUTP Regulations.</w:t>
            </w:r>
          </w:p>
        </w:tc>
        <w:tc>
          <w:tcPr>
            <w:tcW w:w="1417"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cs="Calibri"/>
                <w:color w:val="000000"/>
                <w:sz w:val="20"/>
                <w:szCs w:val="20"/>
                <w:lang w:bidi="hi-IN"/>
              </w:rPr>
            </w:pPr>
            <w:r w:rsidRPr="00D91B4B">
              <w:rPr>
                <w:rFonts w:ascii="Garamond" w:hAnsi="Garamond" w:cs="Calibri"/>
                <w:color w:val="000000"/>
                <w:sz w:val="20"/>
                <w:szCs w:val="20"/>
                <w:lang w:bidi="hi-IN"/>
              </w:rPr>
              <w:t>5,00,000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76</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cs="Calibri"/>
                <w:color w:val="000000"/>
                <w:sz w:val="20"/>
                <w:szCs w:val="20"/>
                <w:lang w:bidi="hi-IN"/>
              </w:rPr>
            </w:pPr>
            <w:r w:rsidRPr="00D91B4B">
              <w:rPr>
                <w:rFonts w:ascii="Garamond" w:hAnsi="Garamond" w:cs="Calibri"/>
                <w:color w:val="000000"/>
                <w:sz w:val="20"/>
                <w:szCs w:val="20"/>
                <w:lang w:bidi="hi-IN"/>
              </w:rPr>
              <w:t>29/10/2021</w:t>
            </w:r>
          </w:p>
        </w:tc>
        <w:tc>
          <w:tcPr>
            <w:tcW w:w="1701"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Dealings in Illiquid Stock Options at the BSE</w:t>
            </w:r>
          </w:p>
        </w:tc>
        <w:tc>
          <w:tcPr>
            <w:tcW w:w="1275"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cs="Calibri"/>
                <w:color w:val="000000"/>
                <w:sz w:val="20"/>
                <w:szCs w:val="20"/>
                <w:lang w:bidi="hi-IN"/>
              </w:rPr>
            </w:pPr>
            <w:r w:rsidRPr="00D91B4B">
              <w:rPr>
                <w:rFonts w:ascii="Garamond" w:hAnsi="Garamond" w:cs="Calibri"/>
                <w:color w:val="000000"/>
                <w:sz w:val="20"/>
                <w:szCs w:val="2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Rajendra Kumar Surana and Sons</w:t>
            </w:r>
          </w:p>
        </w:tc>
        <w:tc>
          <w:tcPr>
            <w:tcW w:w="2268" w:type="dxa"/>
            <w:tcBorders>
              <w:top w:val="single" w:sz="4" w:space="0" w:color="auto"/>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Regulations 3(a), (b), (c), (d), 4(1) and 4(2)(a)of the PFUTP Regulations.</w:t>
            </w:r>
          </w:p>
        </w:tc>
        <w:tc>
          <w:tcPr>
            <w:tcW w:w="1417"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cs="Calibri"/>
                <w:color w:val="000000"/>
                <w:sz w:val="20"/>
                <w:szCs w:val="20"/>
                <w:lang w:bidi="hi-IN"/>
              </w:rPr>
            </w:pPr>
            <w:r w:rsidRPr="00D91B4B">
              <w:rPr>
                <w:rFonts w:ascii="Garamond" w:hAnsi="Garamond" w:cs="Calibri"/>
                <w:color w:val="000000"/>
                <w:sz w:val="20"/>
                <w:szCs w:val="20"/>
                <w:lang w:bidi="hi-IN"/>
              </w:rPr>
              <w:t>5,00,000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77</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cs="Calibri"/>
                <w:color w:val="000000"/>
                <w:sz w:val="20"/>
                <w:szCs w:val="20"/>
                <w:lang w:bidi="hi-IN"/>
              </w:rPr>
            </w:pPr>
            <w:r w:rsidRPr="00D91B4B">
              <w:rPr>
                <w:rFonts w:ascii="Garamond" w:hAnsi="Garamond" w:cs="Calibri"/>
                <w:color w:val="000000"/>
                <w:sz w:val="20"/>
                <w:szCs w:val="20"/>
                <w:lang w:bidi="hi-IN"/>
              </w:rPr>
              <w:t>29/10/2021</w:t>
            </w:r>
          </w:p>
        </w:tc>
        <w:tc>
          <w:tcPr>
            <w:tcW w:w="1701"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Golden Capital Services Ltd.</w:t>
            </w:r>
          </w:p>
        </w:tc>
        <w:tc>
          <w:tcPr>
            <w:tcW w:w="1275"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cs="Calibri"/>
                <w:color w:val="000000"/>
                <w:sz w:val="20"/>
                <w:szCs w:val="20"/>
                <w:lang w:bidi="hi-IN"/>
              </w:rPr>
            </w:pPr>
            <w:r w:rsidRPr="00D91B4B">
              <w:rPr>
                <w:rFonts w:ascii="Garamond" w:hAnsi="Garamond" w:cs="Calibri"/>
                <w:color w:val="000000"/>
                <w:sz w:val="20"/>
                <w:szCs w:val="2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Pradeep Kapoor</w:t>
            </w:r>
          </w:p>
        </w:tc>
        <w:tc>
          <w:tcPr>
            <w:tcW w:w="2268" w:type="dxa"/>
            <w:tcBorders>
              <w:top w:val="single" w:sz="4" w:space="0" w:color="auto"/>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Regulation 29 (2) read with Regulation 29 (3) of SAST Regulations</w:t>
            </w:r>
          </w:p>
        </w:tc>
        <w:tc>
          <w:tcPr>
            <w:tcW w:w="1417"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cs="Calibri"/>
                <w:color w:val="000000"/>
                <w:sz w:val="20"/>
                <w:szCs w:val="20"/>
                <w:lang w:bidi="hi-IN"/>
              </w:rPr>
            </w:pPr>
            <w:r w:rsidRPr="00D91B4B">
              <w:rPr>
                <w:rFonts w:ascii="Garamond" w:hAnsi="Garamond" w:cs="Calibri"/>
                <w:color w:val="000000"/>
                <w:sz w:val="20"/>
                <w:szCs w:val="20"/>
                <w:lang w:bidi="hi-IN"/>
              </w:rPr>
              <w:t>1,00,000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78</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cs="Calibri"/>
                <w:color w:val="000000"/>
                <w:sz w:val="20"/>
                <w:szCs w:val="20"/>
                <w:lang w:bidi="hi-IN"/>
              </w:rPr>
            </w:pPr>
            <w:r w:rsidRPr="00D91B4B">
              <w:rPr>
                <w:rFonts w:ascii="Garamond" w:hAnsi="Garamond" w:cs="Calibri"/>
                <w:color w:val="000000"/>
                <w:sz w:val="20"/>
                <w:szCs w:val="20"/>
                <w:lang w:bidi="hi-IN"/>
              </w:rPr>
              <w:t>29/10/2021</w:t>
            </w:r>
          </w:p>
        </w:tc>
        <w:tc>
          <w:tcPr>
            <w:tcW w:w="1701"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Trading in Illiquid Stock Options on BSE</w:t>
            </w:r>
          </w:p>
        </w:tc>
        <w:tc>
          <w:tcPr>
            <w:tcW w:w="1275"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cs="Calibri"/>
                <w:color w:val="000000"/>
                <w:sz w:val="20"/>
                <w:szCs w:val="20"/>
                <w:lang w:bidi="hi-IN"/>
              </w:rPr>
            </w:pPr>
            <w:r w:rsidRPr="00D91B4B">
              <w:rPr>
                <w:rFonts w:ascii="Garamond" w:hAnsi="Garamond" w:cs="Calibri"/>
                <w:color w:val="000000"/>
                <w:sz w:val="20"/>
                <w:szCs w:val="2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Nilu Chopra</w:t>
            </w:r>
          </w:p>
        </w:tc>
        <w:tc>
          <w:tcPr>
            <w:tcW w:w="2268" w:type="dxa"/>
            <w:tcBorders>
              <w:top w:val="single" w:sz="4" w:space="0" w:color="auto"/>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Regulations  3(a),  (b),  (c), (d),   4(1)   and   4(2)(a)   of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cs="Calibri"/>
                <w:color w:val="000000"/>
                <w:sz w:val="20"/>
                <w:szCs w:val="20"/>
                <w:lang w:bidi="hi-IN"/>
              </w:rPr>
            </w:pPr>
            <w:r w:rsidRPr="00D91B4B">
              <w:rPr>
                <w:rFonts w:ascii="Garamond" w:hAnsi="Garamond" w:cs="Calibri"/>
                <w:color w:val="000000"/>
                <w:sz w:val="20"/>
                <w:szCs w:val="20"/>
                <w:lang w:bidi="hi-IN"/>
              </w:rPr>
              <w:t>5,00,000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79</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cs="Calibri"/>
                <w:color w:val="000000"/>
                <w:sz w:val="20"/>
                <w:szCs w:val="20"/>
                <w:lang w:bidi="hi-IN"/>
              </w:rPr>
            </w:pPr>
            <w:r w:rsidRPr="00D91B4B">
              <w:rPr>
                <w:rFonts w:ascii="Garamond" w:hAnsi="Garamond" w:cs="Calibri"/>
                <w:color w:val="000000"/>
                <w:sz w:val="20"/>
                <w:szCs w:val="20"/>
                <w:lang w:bidi="hi-IN"/>
              </w:rPr>
              <w:t>29/10/2021</w:t>
            </w:r>
          </w:p>
        </w:tc>
        <w:tc>
          <w:tcPr>
            <w:tcW w:w="1701"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Golden Capital Services Ltd.</w:t>
            </w:r>
          </w:p>
        </w:tc>
        <w:tc>
          <w:tcPr>
            <w:tcW w:w="1275"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cs="Calibri"/>
                <w:color w:val="000000"/>
                <w:sz w:val="20"/>
                <w:szCs w:val="20"/>
                <w:lang w:bidi="hi-IN"/>
              </w:rPr>
            </w:pPr>
            <w:r w:rsidRPr="00D91B4B">
              <w:rPr>
                <w:rFonts w:ascii="Garamond" w:hAnsi="Garamond" w:cs="Calibri"/>
                <w:color w:val="000000"/>
                <w:sz w:val="20"/>
                <w:szCs w:val="2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Meeta Kapoor</w:t>
            </w:r>
          </w:p>
        </w:tc>
        <w:tc>
          <w:tcPr>
            <w:tcW w:w="2268" w:type="dxa"/>
            <w:tcBorders>
              <w:top w:val="single" w:sz="4" w:space="0" w:color="auto"/>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Regulation 29 (2) read with Regulation 29 (3) of SAST Regulations.</w:t>
            </w:r>
          </w:p>
        </w:tc>
        <w:tc>
          <w:tcPr>
            <w:tcW w:w="1417"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cs="Calibri"/>
                <w:color w:val="000000"/>
                <w:sz w:val="20"/>
                <w:szCs w:val="20"/>
                <w:lang w:bidi="hi-IN"/>
              </w:rPr>
            </w:pPr>
            <w:r w:rsidRPr="00D91B4B">
              <w:rPr>
                <w:rFonts w:ascii="Garamond" w:hAnsi="Garamond" w:cs="Calibri"/>
                <w:color w:val="000000"/>
                <w:sz w:val="20"/>
                <w:szCs w:val="20"/>
                <w:lang w:bidi="hi-IN"/>
              </w:rPr>
              <w:t>1,00,000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80</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cs="Calibri"/>
                <w:color w:val="000000"/>
                <w:sz w:val="20"/>
                <w:szCs w:val="20"/>
                <w:lang w:bidi="hi-IN"/>
              </w:rPr>
            </w:pPr>
            <w:r w:rsidRPr="00D91B4B">
              <w:rPr>
                <w:rFonts w:ascii="Garamond" w:hAnsi="Garamond" w:cs="Calibri"/>
                <w:color w:val="000000"/>
                <w:sz w:val="20"/>
                <w:szCs w:val="20"/>
                <w:lang w:bidi="hi-IN"/>
              </w:rPr>
              <w:t>29/10/2021</w:t>
            </w:r>
          </w:p>
        </w:tc>
        <w:tc>
          <w:tcPr>
            <w:tcW w:w="1701"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Dealings in illiquid stock options at BSE</w:t>
            </w:r>
          </w:p>
        </w:tc>
        <w:tc>
          <w:tcPr>
            <w:tcW w:w="1275"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cs="Calibri"/>
                <w:color w:val="000000"/>
                <w:sz w:val="20"/>
                <w:szCs w:val="20"/>
                <w:lang w:bidi="hi-IN"/>
              </w:rPr>
            </w:pPr>
            <w:r w:rsidRPr="00D91B4B">
              <w:rPr>
                <w:rFonts w:ascii="Garamond" w:hAnsi="Garamond" w:cs="Calibri"/>
                <w:color w:val="000000"/>
                <w:sz w:val="20"/>
                <w:szCs w:val="2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Mr. Abhiraj M Pujara</w:t>
            </w:r>
          </w:p>
        </w:tc>
        <w:tc>
          <w:tcPr>
            <w:tcW w:w="2268" w:type="dxa"/>
            <w:tcBorders>
              <w:top w:val="single" w:sz="4" w:space="0" w:color="auto"/>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Regulations 3(a), 4(1) and 4(2) (a) of the PFUTP Regulations</w:t>
            </w:r>
          </w:p>
        </w:tc>
        <w:tc>
          <w:tcPr>
            <w:tcW w:w="1417"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cs="Calibri"/>
                <w:color w:val="000000"/>
                <w:sz w:val="20"/>
                <w:szCs w:val="20"/>
                <w:lang w:bidi="hi-IN"/>
              </w:rPr>
            </w:pPr>
            <w:r w:rsidRPr="00D91B4B">
              <w:rPr>
                <w:rFonts w:ascii="Garamond" w:hAnsi="Garamond" w:cs="Calibri"/>
                <w:color w:val="000000"/>
                <w:sz w:val="20"/>
                <w:szCs w:val="20"/>
                <w:lang w:bidi="hi-IN"/>
              </w:rPr>
              <w:t>5,00,000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81</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cs="Calibri"/>
                <w:color w:val="000000"/>
                <w:sz w:val="20"/>
                <w:szCs w:val="20"/>
                <w:lang w:bidi="hi-IN"/>
              </w:rPr>
            </w:pPr>
            <w:r w:rsidRPr="00D91B4B">
              <w:rPr>
                <w:rFonts w:ascii="Garamond" w:hAnsi="Garamond" w:cs="Calibri"/>
                <w:color w:val="000000"/>
                <w:sz w:val="20"/>
                <w:szCs w:val="20"/>
                <w:lang w:bidi="hi-IN"/>
              </w:rPr>
              <w:t>29/10/2021</w:t>
            </w:r>
          </w:p>
        </w:tc>
        <w:tc>
          <w:tcPr>
            <w:tcW w:w="1701"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Trading in Illiquid Stock Options on BSE</w:t>
            </w:r>
          </w:p>
        </w:tc>
        <w:tc>
          <w:tcPr>
            <w:tcW w:w="1275"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cs="Calibri"/>
                <w:color w:val="000000"/>
                <w:sz w:val="20"/>
                <w:szCs w:val="20"/>
                <w:lang w:bidi="hi-IN"/>
              </w:rPr>
            </w:pPr>
            <w:r w:rsidRPr="00D91B4B">
              <w:rPr>
                <w:rFonts w:ascii="Garamond" w:hAnsi="Garamond" w:cs="Calibri"/>
                <w:color w:val="000000"/>
                <w:sz w:val="20"/>
                <w:szCs w:val="2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Nidhi Minni</w:t>
            </w:r>
          </w:p>
        </w:tc>
        <w:tc>
          <w:tcPr>
            <w:tcW w:w="2268" w:type="dxa"/>
            <w:tcBorders>
              <w:top w:val="single" w:sz="4" w:space="0" w:color="auto"/>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lang w:val="en-US"/>
              </w:rPr>
              <w:t>Regulations  3(a),  (b),  (c), (d),   4(1)   and   4(2)(a)   of PFUTP Regulations, 2003</w:t>
            </w:r>
          </w:p>
        </w:tc>
        <w:tc>
          <w:tcPr>
            <w:tcW w:w="1417"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cs="Calibri"/>
                <w:color w:val="000000"/>
                <w:sz w:val="20"/>
                <w:szCs w:val="20"/>
                <w:lang w:bidi="hi-IN"/>
              </w:rPr>
            </w:pPr>
            <w:r w:rsidRPr="00D91B4B">
              <w:rPr>
                <w:rFonts w:ascii="Garamond" w:hAnsi="Garamond" w:cs="Calibri"/>
                <w:color w:val="000000"/>
                <w:sz w:val="20"/>
                <w:szCs w:val="20"/>
                <w:lang w:bidi="hi-IN"/>
              </w:rPr>
              <w:t>5,00,000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82</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cs="Calibri"/>
                <w:color w:val="000000"/>
                <w:sz w:val="20"/>
                <w:szCs w:val="20"/>
                <w:lang w:bidi="hi-IN"/>
              </w:rPr>
            </w:pPr>
            <w:r w:rsidRPr="00D91B4B">
              <w:rPr>
                <w:rFonts w:ascii="Garamond" w:hAnsi="Garamond" w:cs="Calibri"/>
                <w:color w:val="000000"/>
                <w:sz w:val="20"/>
                <w:szCs w:val="20"/>
                <w:lang w:bidi="hi-IN"/>
              </w:rPr>
              <w:t>29/10/2021</w:t>
            </w:r>
          </w:p>
        </w:tc>
        <w:tc>
          <w:tcPr>
            <w:tcW w:w="1701"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rPr>
              <w:t>Front–Running by Manish Chaturvedi &amp; Others</w:t>
            </w:r>
          </w:p>
        </w:tc>
        <w:tc>
          <w:tcPr>
            <w:tcW w:w="1275"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cs="Calibri"/>
                <w:color w:val="000000"/>
                <w:sz w:val="20"/>
                <w:szCs w:val="20"/>
                <w:lang w:bidi="hi-IN"/>
              </w:rPr>
            </w:pPr>
            <w:r w:rsidRPr="00D91B4B">
              <w:rPr>
                <w:rFonts w:ascii="Garamond" w:hAnsi="Garamond" w:cs="Calibri"/>
                <w:color w:val="000000"/>
                <w:sz w:val="20"/>
                <w:szCs w:val="2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rPr>
              <w:t>Praveen Kumar Jain</w:t>
            </w:r>
          </w:p>
        </w:tc>
        <w:tc>
          <w:tcPr>
            <w:tcW w:w="2268" w:type="dxa"/>
            <w:tcBorders>
              <w:top w:val="single" w:sz="4" w:space="0" w:color="auto"/>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rPr>
              <w:t>Sections 11C(2) and 11C(3) read with section 11(2 )of the SEBI Act</w:t>
            </w:r>
          </w:p>
        </w:tc>
        <w:tc>
          <w:tcPr>
            <w:tcW w:w="1417"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cs="Calibri"/>
                <w:color w:val="000000"/>
                <w:sz w:val="20"/>
                <w:szCs w:val="20"/>
                <w:lang w:bidi="hi-IN"/>
              </w:rPr>
            </w:pPr>
            <w:r w:rsidRPr="00D91B4B">
              <w:rPr>
                <w:rFonts w:ascii="Garamond" w:hAnsi="Garamond" w:cs="Calibri"/>
                <w:color w:val="000000"/>
                <w:sz w:val="20"/>
                <w:szCs w:val="20"/>
                <w:lang w:bidi="hi-IN"/>
              </w:rPr>
              <w:t>2,00,000</w:t>
            </w:r>
          </w:p>
        </w:tc>
      </w:tr>
      <w:tr w:rsidR="00956136" w:rsidRPr="00D91B4B" w:rsidTr="00530909">
        <w:trPr>
          <w:trHeight w:val="300"/>
        </w:trPr>
        <w:tc>
          <w:tcPr>
            <w:tcW w:w="568" w:type="dxa"/>
            <w:tcBorders>
              <w:top w:val="single" w:sz="4" w:space="0" w:color="auto"/>
              <w:left w:val="single" w:sz="4" w:space="0" w:color="auto"/>
              <w:bottom w:val="single" w:sz="4" w:space="0" w:color="auto"/>
              <w:right w:val="single" w:sz="4" w:space="0" w:color="auto"/>
            </w:tcBorders>
          </w:tcPr>
          <w:p w:rsidR="00956136" w:rsidRPr="00D91B4B" w:rsidRDefault="00956136" w:rsidP="00530909">
            <w:pPr>
              <w:jc w:val="both"/>
              <w:rPr>
                <w:rFonts w:ascii="Garamond" w:hAnsi="Garamond"/>
                <w:color w:val="000000"/>
                <w:sz w:val="20"/>
                <w:szCs w:val="20"/>
                <w:lang w:val="en-IN" w:eastAsia="en-IN" w:bidi="hi-IN"/>
              </w:rPr>
            </w:pPr>
            <w:r w:rsidRPr="00D91B4B">
              <w:rPr>
                <w:rFonts w:ascii="Garamond" w:hAnsi="Garamond"/>
                <w:color w:val="000000"/>
                <w:sz w:val="20"/>
                <w:szCs w:val="20"/>
                <w:lang w:val="en-IN" w:eastAsia="en-IN" w:bidi="hi-IN"/>
              </w:rPr>
              <w:t>83</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cs="Calibri"/>
                <w:color w:val="000000"/>
                <w:sz w:val="20"/>
                <w:szCs w:val="20"/>
                <w:lang w:bidi="hi-IN"/>
              </w:rPr>
            </w:pPr>
            <w:r w:rsidRPr="00D91B4B">
              <w:rPr>
                <w:rFonts w:ascii="Garamond" w:hAnsi="Garamond" w:cs="Calibri"/>
                <w:color w:val="000000"/>
                <w:sz w:val="20"/>
                <w:szCs w:val="20"/>
                <w:lang w:bidi="hi-IN"/>
              </w:rPr>
              <w:t>29/10/2021</w:t>
            </w:r>
          </w:p>
        </w:tc>
        <w:tc>
          <w:tcPr>
            <w:tcW w:w="1701"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rPr>
              <w:t>Dealings in illiquid stock options at BSE</w:t>
            </w:r>
          </w:p>
        </w:tc>
        <w:tc>
          <w:tcPr>
            <w:tcW w:w="1275"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hAnsi="Garamond" w:cs="Calibri"/>
                <w:color w:val="000000"/>
                <w:sz w:val="20"/>
                <w:szCs w:val="20"/>
                <w:lang w:bidi="hi-IN"/>
              </w:rPr>
            </w:pPr>
            <w:r w:rsidRPr="00D91B4B">
              <w:rPr>
                <w:rFonts w:ascii="Garamond" w:hAnsi="Garamond" w:cs="Calibri"/>
                <w:color w:val="000000"/>
                <w:sz w:val="20"/>
                <w:szCs w:val="20"/>
                <w:lang w:bidi="hi-IN"/>
              </w:rPr>
              <w:t>Adjudication</w:t>
            </w:r>
          </w:p>
        </w:tc>
        <w:tc>
          <w:tcPr>
            <w:tcW w:w="2127"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rPr>
              <w:t>Ms. Anju Neotia</w:t>
            </w:r>
          </w:p>
        </w:tc>
        <w:tc>
          <w:tcPr>
            <w:tcW w:w="2268" w:type="dxa"/>
            <w:tcBorders>
              <w:top w:val="single" w:sz="4" w:space="0" w:color="auto"/>
              <w:left w:val="nil"/>
              <w:bottom w:val="single" w:sz="4" w:space="0" w:color="auto"/>
              <w:right w:val="single" w:sz="4" w:space="0" w:color="auto"/>
            </w:tcBorders>
            <w:shd w:val="clear" w:color="auto" w:fill="auto"/>
          </w:tcPr>
          <w:p w:rsidR="00956136" w:rsidRPr="00D91B4B" w:rsidRDefault="00956136" w:rsidP="00530909">
            <w:pPr>
              <w:shd w:val="clear" w:color="auto" w:fill="FFFFFF"/>
              <w:jc w:val="both"/>
              <w:rPr>
                <w:rFonts w:ascii="Garamond" w:eastAsia="Times New Roman" w:hAnsi="Garamond" w:cs="Calibri"/>
                <w:color w:val="000000"/>
                <w:sz w:val="20"/>
                <w:szCs w:val="20"/>
                <w:lang w:val="en-US"/>
              </w:rPr>
            </w:pPr>
            <w:r w:rsidRPr="00D91B4B">
              <w:rPr>
                <w:rFonts w:ascii="Garamond" w:eastAsia="Times New Roman" w:hAnsi="Garamond" w:cs="Calibri"/>
                <w:color w:val="000000"/>
                <w:sz w:val="20"/>
                <w:szCs w:val="20"/>
              </w:rPr>
              <w:t>Regulations 3(a), 4(1) and 4(2)(a) of the PFUTP Regulations</w:t>
            </w:r>
          </w:p>
        </w:tc>
        <w:tc>
          <w:tcPr>
            <w:tcW w:w="1417" w:type="dxa"/>
            <w:tcBorders>
              <w:top w:val="single" w:sz="4" w:space="0" w:color="auto"/>
              <w:left w:val="nil"/>
              <w:bottom w:val="single" w:sz="4" w:space="0" w:color="auto"/>
              <w:right w:val="single" w:sz="4" w:space="0" w:color="auto"/>
            </w:tcBorders>
            <w:shd w:val="clear" w:color="auto" w:fill="auto"/>
            <w:noWrap/>
          </w:tcPr>
          <w:p w:rsidR="00956136" w:rsidRPr="00D91B4B" w:rsidRDefault="00956136" w:rsidP="00530909">
            <w:pPr>
              <w:jc w:val="right"/>
              <w:rPr>
                <w:rFonts w:ascii="Garamond" w:hAnsi="Garamond" w:cs="Calibri"/>
                <w:color w:val="000000"/>
                <w:sz w:val="20"/>
                <w:szCs w:val="20"/>
                <w:lang w:bidi="hi-IN"/>
              </w:rPr>
            </w:pPr>
            <w:r w:rsidRPr="00D91B4B">
              <w:rPr>
                <w:rFonts w:ascii="Garamond" w:hAnsi="Garamond" w:cs="Calibri"/>
                <w:color w:val="000000"/>
                <w:sz w:val="20"/>
                <w:szCs w:val="20"/>
                <w:lang w:bidi="hi-IN"/>
              </w:rPr>
              <w:t>5,00,000</w:t>
            </w:r>
          </w:p>
        </w:tc>
      </w:tr>
    </w:tbl>
    <w:p w:rsidR="00956136" w:rsidRDefault="00956136" w:rsidP="00272724">
      <w:pPr>
        <w:rPr>
          <w:rFonts w:ascii="Garamond" w:hAnsi="Garamond"/>
          <w:b/>
          <w:sz w:val="22"/>
          <w:szCs w:val="22"/>
        </w:rPr>
      </w:pPr>
    </w:p>
    <w:p w:rsidR="00956136" w:rsidRPr="001D1888" w:rsidRDefault="00956136" w:rsidP="00272724">
      <w:pPr>
        <w:rPr>
          <w:rFonts w:ascii="Garamond" w:hAnsi="Garamond"/>
          <w:b/>
          <w:sz w:val="22"/>
          <w:szCs w:val="22"/>
        </w:rPr>
      </w:pPr>
    </w:p>
    <w:p w:rsidR="00E77B3E" w:rsidRDefault="00272724" w:rsidP="00E77B3E">
      <w:pPr>
        <w:spacing w:after="120"/>
        <w:ind w:left="-709"/>
        <w:rPr>
          <w:rFonts w:ascii="Garamond" w:hAnsi="Garamond" w:cs="Arial"/>
          <w:i/>
          <w:sz w:val="22"/>
          <w:szCs w:val="22"/>
        </w:rPr>
      </w:pPr>
      <w:r w:rsidRPr="001D1888">
        <w:rPr>
          <w:rFonts w:ascii="Garamond" w:hAnsi="Garamond" w:cs="Arial"/>
          <w:i/>
          <w:sz w:val="22"/>
          <w:szCs w:val="22"/>
        </w:rPr>
        <w:t xml:space="preserve">Disclaimer: </w:t>
      </w:r>
      <w:r w:rsidR="00D22F0B" w:rsidRPr="001D1888">
        <w:rPr>
          <w:rFonts w:ascii="Garamond" w:hAnsi="Garamond" w:cs="Arial"/>
          <w:i/>
          <w:sz w:val="22"/>
          <w:szCs w:val="22"/>
        </w:rPr>
        <w:t xml:space="preserve">Regulatory actions consist of orders passed by Whole Time Member/Adjudication Officer.  Please refer SEBI website for exhaustive list.  </w:t>
      </w:r>
      <w:r w:rsidRPr="001D1888">
        <w:rPr>
          <w:rFonts w:ascii="Garamond" w:hAnsi="Garamond" w:cs="Arial"/>
          <w:i/>
          <w:sz w:val="22"/>
          <w:szCs w:val="22"/>
        </w:rPr>
        <w:t>The summary has been prepared for the convenience of readers. In case of any ambiguity, please refer to the original order.</w:t>
      </w:r>
    </w:p>
    <w:p w:rsidR="00956136" w:rsidRDefault="00956136" w:rsidP="00D91B4B">
      <w:pPr>
        <w:spacing w:after="120"/>
        <w:rPr>
          <w:rFonts w:ascii="Garamond" w:hAnsi="Garamond"/>
          <w:b/>
          <w:bCs/>
          <w:color w:val="1F4E79" w:themeColor="accent1" w:themeShade="80"/>
          <w:sz w:val="28"/>
          <w:szCs w:val="28"/>
        </w:rPr>
      </w:pPr>
    </w:p>
    <w:p w:rsidR="00901509" w:rsidRDefault="00901509" w:rsidP="00E77B3E">
      <w:pPr>
        <w:spacing w:after="120"/>
        <w:ind w:left="-709"/>
        <w:jc w:val="center"/>
        <w:rPr>
          <w:rFonts w:ascii="Garamond" w:hAnsi="Garamond"/>
          <w:b/>
          <w:bCs/>
          <w:color w:val="1F4E79" w:themeColor="accent1" w:themeShade="80"/>
          <w:sz w:val="28"/>
          <w:szCs w:val="28"/>
        </w:rPr>
      </w:pPr>
    </w:p>
    <w:p w:rsidR="00901509" w:rsidRDefault="00901509" w:rsidP="00E77B3E">
      <w:pPr>
        <w:spacing w:after="120"/>
        <w:ind w:left="-709"/>
        <w:jc w:val="center"/>
        <w:rPr>
          <w:rFonts w:ascii="Garamond" w:hAnsi="Garamond"/>
          <w:b/>
          <w:bCs/>
          <w:color w:val="1F4E79" w:themeColor="accent1" w:themeShade="80"/>
          <w:sz w:val="28"/>
          <w:szCs w:val="28"/>
        </w:rPr>
      </w:pPr>
    </w:p>
    <w:p w:rsidR="00956136" w:rsidRDefault="00956136" w:rsidP="00E77B3E">
      <w:pPr>
        <w:spacing w:after="120"/>
        <w:ind w:left="-709"/>
        <w:jc w:val="center"/>
        <w:rPr>
          <w:rFonts w:ascii="Garamond" w:hAnsi="Garamond"/>
          <w:b/>
          <w:bCs/>
          <w:color w:val="1F4E79" w:themeColor="accent1" w:themeShade="80"/>
          <w:sz w:val="28"/>
          <w:szCs w:val="28"/>
        </w:rPr>
      </w:pPr>
    </w:p>
    <w:p w:rsidR="00E77B3E" w:rsidRPr="00C4512E" w:rsidRDefault="00E77B3E" w:rsidP="00E77B3E">
      <w:pPr>
        <w:spacing w:after="120"/>
        <w:ind w:left="-709"/>
        <w:jc w:val="center"/>
        <w:rPr>
          <w:rFonts w:ascii="Garamond" w:hAnsi="Garamond"/>
          <w:b/>
          <w:bCs/>
          <w:color w:val="1F4E79" w:themeColor="accent1" w:themeShade="80"/>
          <w:sz w:val="28"/>
          <w:szCs w:val="28"/>
        </w:rPr>
      </w:pPr>
      <w:r w:rsidRPr="00C4512E">
        <w:rPr>
          <w:rFonts w:ascii="Garamond" w:hAnsi="Garamond"/>
          <w:b/>
          <w:bCs/>
          <w:color w:val="1F4E79" w:themeColor="accent1" w:themeShade="80"/>
          <w:sz w:val="28"/>
          <w:szCs w:val="28"/>
        </w:rPr>
        <w:t>LATEST PUBLICATIONS</w:t>
      </w:r>
    </w:p>
    <w:p w:rsidR="00E77B3E" w:rsidRDefault="00E77B3E" w:rsidP="00E77B3E">
      <w:pPr>
        <w:spacing w:after="120"/>
        <w:ind w:left="-709"/>
        <w:jc w:val="center"/>
        <w:rPr>
          <w:rFonts w:ascii="Garamond" w:hAnsi="Garamond"/>
          <w:b/>
          <w:bCs/>
        </w:rPr>
      </w:pPr>
    </w:p>
    <w:p w:rsidR="00E77B3E" w:rsidRPr="00E77B3E" w:rsidRDefault="00E77B3E" w:rsidP="00E77B3E">
      <w:pPr>
        <w:spacing w:after="120"/>
        <w:ind w:left="-709"/>
        <w:jc w:val="center"/>
        <w:rPr>
          <w:rFonts w:ascii="Garamond" w:hAnsi="Garamond"/>
          <w:b/>
          <w:bCs/>
        </w:rPr>
      </w:pPr>
    </w:p>
    <w:p w:rsidR="00E77B3E" w:rsidRPr="00E77B3E" w:rsidRDefault="00E77B3E" w:rsidP="00E77B3E">
      <w:pPr>
        <w:spacing w:after="120"/>
        <w:ind w:left="-709"/>
        <w:rPr>
          <w:rFonts w:ascii="Garamond" w:hAnsi="Garamond"/>
        </w:rPr>
      </w:pPr>
      <w:r w:rsidRPr="00E77B3E">
        <w:rPr>
          <w:rFonts w:ascii="Garamond" w:hAnsi="Garamond"/>
        </w:rPr>
        <w:t xml:space="preserve"> </w:t>
      </w:r>
      <w:r w:rsidR="00B522A6">
        <w:rPr>
          <w:rFonts w:ascii="Garamond" w:hAnsi="Garamond"/>
        </w:rPr>
        <w:t xml:space="preserve">1. SEBI Annual Report: </w:t>
      </w:r>
      <w:r w:rsidRPr="00E77B3E">
        <w:rPr>
          <w:rFonts w:ascii="Garamond" w:hAnsi="Garamond"/>
        </w:rPr>
        <w:t>2020-21</w:t>
      </w:r>
    </w:p>
    <w:p w:rsidR="00E77B3E" w:rsidRPr="00E77B3E" w:rsidRDefault="00E77B3E" w:rsidP="00E77B3E">
      <w:pPr>
        <w:spacing w:after="120"/>
        <w:ind w:left="-709"/>
        <w:rPr>
          <w:rFonts w:ascii="Garamond" w:hAnsi="Garamond"/>
        </w:rPr>
      </w:pPr>
      <w:r w:rsidRPr="00E77B3E">
        <w:rPr>
          <w:rFonts w:ascii="Garamond" w:hAnsi="Garamond"/>
        </w:rPr>
        <w:t xml:space="preserve"> 2. Handbook of Statistics</w:t>
      </w:r>
      <w:r>
        <w:rPr>
          <w:rFonts w:ascii="Garamond" w:hAnsi="Garamond"/>
        </w:rPr>
        <w:t xml:space="preserve"> on Indian Securities Market:</w:t>
      </w:r>
      <w:r w:rsidRPr="00E77B3E">
        <w:rPr>
          <w:rFonts w:ascii="Garamond" w:hAnsi="Garamond"/>
        </w:rPr>
        <w:t xml:space="preserve"> 2020</w:t>
      </w:r>
    </w:p>
    <w:p w:rsidR="00E77B3E" w:rsidRPr="00E77B3E" w:rsidRDefault="00E77B3E" w:rsidP="00E77B3E">
      <w:pPr>
        <w:spacing w:after="120"/>
        <w:ind w:left="-709"/>
        <w:rPr>
          <w:rFonts w:ascii="Garamond" w:hAnsi="Garamond"/>
        </w:rPr>
      </w:pPr>
    </w:p>
    <w:p w:rsidR="00B522A6" w:rsidRDefault="00E77B3E" w:rsidP="00E77B3E">
      <w:pPr>
        <w:spacing w:after="120"/>
        <w:ind w:left="-709"/>
        <w:rPr>
          <w:rFonts w:ascii="Garamond" w:hAnsi="Garamond"/>
        </w:rPr>
      </w:pPr>
      <w:r w:rsidRPr="00E77B3E">
        <w:rPr>
          <w:rFonts w:ascii="Garamond" w:hAnsi="Garamond"/>
        </w:rPr>
        <w:t xml:space="preserve"> Please visit </w:t>
      </w:r>
      <w:r w:rsidR="00B522A6">
        <w:rPr>
          <w:rFonts w:ascii="Garamond" w:hAnsi="Garamond"/>
        </w:rPr>
        <w:t xml:space="preserve">SEBI website at the </w:t>
      </w:r>
      <w:r w:rsidRPr="00E77B3E">
        <w:rPr>
          <w:rFonts w:ascii="Garamond" w:hAnsi="Garamond"/>
        </w:rPr>
        <w:t xml:space="preserve">following URL to </w:t>
      </w:r>
      <w:r w:rsidR="00B522A6">
        <w:rPr>
          <w:rFonts w:ascii="Garamond" w:hAnsi="Garamond"/>
        </w:rPr>
        <w:t>refer/download</w:t>
      </w:r>
      <w:r w:rsidRPr="00E77B3E">
        <w:rPr>
          <w:rFonts w:ascii="Garamond" w:hAnsi="Garamond"/>
        </w:rPr>
        <w:t xml:space="preserve"> </w:t>
      </w:r>
      <w:r w:rsidR="00B522A6">
        <w:rPr>
          <w:rFonts w:ascii="Garamond" w:hAnsi="Garamond"/>
        </w:rPr>
        <w:t>the publications.</w:t>
      </w:r>
    </w:p>
    <w:p w:rsidR="00E77B3E" w:rsidRDefault="00B522A6" w:rsidP="00E77B3E">
      <w:pPr>
        <w:spacing w:after="120"/>
        <w:ind w:left="-709"/>
        <w:rPr>
          <w:rFonts w:ascii="Palatino Linotype" w:hAnsi="Palatino Linotype"/>
          <w:bCs/>
          <w:sz w:val="22"/>
          <w:szCs w:val="22"/>
        </w:rPr>
      </w:pPr>
      <w:r>
        <w:rPr>
          <w:rFonts w:ascii="Garamond" w:hAnsi="Garamond"/>
        </w:rPr>
        <w:t xml:space="preserve"> </w:t>
      </w:r>
      <w:hyperlink r:id="rId45" w:history="1">
        <w:r w:rsidRPr="00385DA6">
          <w:rPr>
            <w:rStyle w:val="Hyperlink"/>
            <w:rFonts w:ascii="Palatino Linotype" w:hAnsi="Palatino Linotype"/>
            <w:bCs/>
            <w:sz w:val="22"/>
            <w:szCs w:val="22"/>
          </w:rPr>
          <w:t>https://www.sebi.gov.in/reports-and-statistics.html</w:t>
        </w:r>
      </w:hyperlink>
    </w:p>
    <w:p w:rsidR="00B522A6" w:rsidRPr="00E77B3E" w:rsidRDefault="00B522A6" w:rsidP="00E77B3E">
      <w:pPr>
        <w:spacing w:after="120"/>
        <w:ind w:left="-709"/>
        <w:rPr>
          <w:rFonts w:ascii="Garamond" w:hAnsi="Garamond"/>
        </w:rPr>
      </w:pPr>
    </w:p>
    <w:sectPr w:rsidR="00B522A6" w:rsidRPr="00E77B3E" w:rsidSect="00332F86">
      <w:headerReference w:type="even" r:id="rId46"/>
      <w:headerReference w:type="default" r:id="rId47"/>
      <w:footerReference w:type="even" r:id="rId48"/>
      <w:footerReference w:type="default" r:id="rId49"/>
      <w:pgSz w:w="11906" w:h="16838" w:code="9"/>
      <w:pgMar w:top="578" w:right="1009" w:bottom="578" w:left="1009" w:header="431" w:footer="43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4B17" w:rsidRDefault="00834B17" w:rsidP="00E07645">
      <w:r>
        <w:separator/>
      </w:r>
    </w:p>
  </w:endnote>
  <w:endnote w:type="continuationSeparator" w:id="0">
    <w:p w:rsidR="00834B17" w:rsidRDefault="00834B17" w:rsidP="00E07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rinda">
    <w:panose1 w:val="020B0502040204020203"/>
    <w:charset w:val="01"/>
    <w:family w:val="roman"/>
    <w:notTrueType/>
    <w:pitch w:val="variable"/>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WCDV-Prakash">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Mangal">
    <w:altName w:val="Cambria Math"/>
    <w:panose1 w:val="02040503050203030202"/>
    <w:charset w:val="01"/>
    <w:family w:val="roman"/>
    <w:notTrueType/>
    <w:pitch w:val="variable"/>
    <w:sig w:usb0="00002000" w:usb1="00000000" w:usb2="00000000" w:usb3="00000000" w:csb0="0000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7C2" w:rsidRDefault="00FA77C2">
    <w:pPr>
      <w:pStyle w:val="Footer"/>
    </w:pPr>
  </w:p>
  <w:p w:rsidR="00FA77C2" w:rsidRDefault="00FA77C2"/>
  <w:p w:rsidR="00FA77C2" w:rsidRDefault="00FA77C2"/>
  <w:p w:rsidR="00FA77C2" w:rsidRDefault="00FA77C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5008751"/>
      <w:docPartObj>
        <w:docPartGallery w:val="Page Numbers (Bottom of Page)"/>
        <w:docPartUnique/>
      </w:docPartObj>
    </w:sdtPr>
    <w:sdtEndPr>
      <w:rPr>
        <w:color w:val="7F7F7F" w:themeColor="background1" w:themeShade="7F"/>
        <w:spacing w:val="60"/>
      </w:rPr>
    </w:sdtEndPr>
    <w:sdtContent>
      <w:p w:rsidR="00FA77C2" w:rsidRDefault="00FA77C2">
        <w:pPr>
          <w:pStyle w:val="Footer"/>
          <w:pBdr>
            <w:top w:val="single" w:sz="4" w:space="1" w:color="D9D9D9" w:themeColor="background1" w:themeShade="D9"/>
          </w:pBdr>
          <w:jc w:val="right"/>
        </w:pPr>
        <w:r>
          <w:fldChar w:fldCharType="begin"/>
        </w:r>
        <w:r>
          <w:instrText xml:space="preserve"> PAGE   \* MERGEFORMAT </w:instrText>
        </w:r>
        <w:r>
          <w:fldChar w:fldCharType="separate"/>
        </w:r>
        <w:r w:rsidR="00871DB4">
          <w:rPr>
            <w:noProof/>
          </w:rPr>
          <w:t>2</w:t>
        </w:r>
        <w:r>
          <w:rPr>
            <w:noProof/>
          </w:rPr>
          <w:fldChar w:fldCharType="end"/>
        </w:r>
        <w:r>
          <w:t xml:space="preserve"> | </w:t>
        </w:r>
        <w:r>
          <w:rPr>
            <w:color w:val="7F7F7F" w:themeColor="background1" w:themeShade="7F"/>
            <w:spacing w:val="60"/>
          </w:rPr>
          <w:t>Page</w:t>
        </w:r>
      </w:p>
    </w:sdtContent>
  </w:sdt>
  <w:p w:rsidR="00FA77C2" w:rsidRDefault="00FA77C2">
    <w:pPr>
      <w:pStyle w:val="Footer"/>
    </w:pPr>
  </w:p>
  <w:p w:rsidR="00FA77C2" w:rsidRDefault="00FA77C2"/>
  <w:p w:rsidR="00FA77C2" w:rsidRDefault="00FA77C2"/>
  <w:p w:rsidR="00FA77C2" w:rsidRDefault="00FA77C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4B17" w:rsidRDefault="00834B17" w:rsidP="00E07645">
      <w:r>
        <w:separator/>
      </w:r>
    </w:p>
  </w:footnote>
  <w:footnote w:type="continuationSeparator" w:id="0">
    <w:p w:rsidR="00834B17" w:rsidRDefault="00834B17" w:rsidP="00E07645">
      <w:r>
        <w:continuationSeparator/>
      </w:r>
    </w:p>
  </w:footnote>
  <w:footnote w:id="1">
    <w:p w:rsidR="00FA77C2" w:rsidRPr="000C6BCB" w:rsidRDefault="00FA77C2" w:rsidP="00D0348E">
      <w:pPr>
        <w:shd w:val="clear" w:color="auto" w:fill="FFFFFF"/>
        <w:rPr>
          <w:rFonts w:ascii="Garamond" w:eastAsia="Times New Roman" w:hAnsi="Garamond" w:cs="Arial"/>
          <w:b/>
          <w:bCs/>
          <w:lang w:val="en-US" w:bidi="hi-IN"/>
        </w:rPr>
      </w:pPr>
      <w:r>
        <w:rPr>
          <w:rStyle w:val="FootnoteReference"/>
        </w:rPr>
        <w:footnoteRef/>
      </w:r>
      <w:r>
        <w:t xml:space="preserve"> </w:t>
      </w:r>
      <w:r w:rsidRPr="000C6BCB">
        <w:rPr>
          <w:rFonts w:ascii="Garamond" w:eastAsia="Times New Roman" w:hAnsi="Garamond" w:cs="Arial"/>
          <w:b/>
          <w:bCs/>
          <w:lang w:val="en-US" w:bidi="hi-IN"/>
        </w:rPr>
        <w:t>Address by Shri Ajay Tyagi, Chairman, SEBI at the inauguration of Joint Certification Course in Cyber Security Foundation by NISM, CERT-In and C-DAC on October 04, 2021.</w:t>
      </w:r>
    </w:p>
    <w:p w:rsidR="00FA77C2" w:rsidRPr="00D0348E" w:rsidRDefault="00FA77C2" w:rsidP="00D0348E">
      <w:pPr>
        <w:shd w:val="clear" w:color="auto" w:fill="FFFFFF"/>
        <w:rPr>
          <w:rFonts w:ascii="Garamond" w:eastAsia="Times New Roman" w:hAnsi="Garamond" w:cs="Arial"/>
          <w:sz w:val="22"/>
          <w:szCs w:val="22"/>
          <w:lang w:val="en-US" w:bidi="hi-IN"/>
        </w:rPr>
      </w:pPr>
    </w:p>
    <w:p w:rsidR="00FA77C2" w:rsidRPr="00563987" w:rsidRDefault="00FA77C2" w:rsidP="00563987">
      <w:pPr>
        <w:shd w:val="clear" w:color="auto" w:fill="FFFFFF"/>
        <w:rPr>
          <w:rFonts w:ascii="Garamond" w:eastAsia="Times New Roman" w:hAnsi="Garamond" w:cs="Arial"/>
          <w:sz w:val="22"/>
          <w:szCs w:val="22"/>
          <w:lang w:val="en-US" w:bidi="hi-IN"/>
        </w:rPr>
      </w:pPr>
    </w:p>
    <w:p w:rsidR="00FA77C2" w:rsidRDefault="00FA77C2">
      <w:pPr>
        <w:pStyle w:val="FootnoteText"/>
      </w:pPr>
    </w:p>
  </w:footnote>
  <w:footnote w:id="2">
    <w:p w:rsidR="00FA77C2" w:rsidRPr="003A30F8" w:rsidRDefault="00FA77C2" w:rsidP="003A30F8">
      <w:pPr>
        <w:pStyle w:val="FootnoteText"/>
        <w:jc w:val="both"/>
        <w:rPr>
          <w:rFonts w:ascii="Garamond" w:hAnsi="Garamond"/>
          <w:b/>
          <w:bCs/>
          <w:i/>
          <w:iCs/>
          <w:sz w:val="24"/>
          <w:szCs w:val="24"/>
        </w:rPr>
      </w:pPr>
      <w:r>
        <w:rPr>
          <w:rStyle w:val="FootnoteReference"/>
        </w:rPr>
        <w:footnoteRef/>
      </w:r>
      <w:r>
        <w:t xml:space="preserve"> </w:t>
      </w:r>
      <w:r w:rsidRPr="003A273B">
        <w:rPr>
          <w:rFonts w:ascii="Garamond" w:hAnsi="Garamond"/>
          <w:b/>
          <w:bCs/>
          <w:i/>
          <w:iCs/>
          <w:sz w:val="24"/>
          <w:szCs w:val="24"/>
        </w:rPr>
        <w:t>This Report has been prepared by the Division of Policy and Inspection (Merchant Bankers/RTAs), Market Intermediaries Supervision and Regulation Department (MIRSD), SEBI. The team is thankful to Shri Ananta Barua, WTM, SEBI for motivation and guidance to undertake the study in a holistic manner and recommend suitable remedial measures.</w:t>
      </w:r>
    </w:p>
  </w:footnote>
  <w:footnote w:id="3">
    <w:p w:rsidR="00FA77C2" w:rsidRPr="009463FD" w:rsidRDefault="00FA77C2" w:rsidP="00DC34EF">
      <w:pPr>
        <w:pStyle w:val="FootnoteText"/>
        <w:jc w:val="both"/>
      </w:pPr>
      <w:r>
        <w:rPr>
          <w:rStyle w:val="FootnoteReference"/>
        </w:rPr>
        <w:footnoteRef/>
      </w:r>
      <w:r>
        <w:t xml:space="preserve"> Sections 125 (2) (h) of Companies Act, 2013</w:t>
      </w:r>
    </w:p>
  </w:footnote>
  <w:footnote w:id="4">
    <w:p w:rsidR="00FA77C2" w:rsidRPr="00B16FC5" w:rsidRDefault="00FA77C2" w:rsidP="00DC34EF">
      <w:pPr>
        <w:pStyle w:val="FootnoteText"/>
        <w:jc w:val="both"/>
      </w:pPr>
      <w:r>
        <w:rPr>
          <w:rStyle w:val="FootnoteReference"/>
        </w:rPr>
        <w:footnoteRef/>
      </w:r>
      <w:r>
        <w:t xml:space="preserve"> </w:t>
      </w:r>
      <w:r w:rsidRPr="00B16FC5">
        <w:t>Regulation 39 (4) of LODR, 2015 r/w clause B (1) (a &amp; b) of Schedule VI of this Regulations on Manner of dealing with unclaimed shares</w:t>
      </w:r>
      <w:r>
        <w:t>. The foregoing is also applicable to unclaimed shares from ‘other issues’ also and are covered in the chapter, ‘Holding of Securities’.</w:t>
      </w:r>
    </w:p>
  </w:footnote>
  <w:footnote w:id="5">
    <w:p w:rsidR="00FA77C2" w:rsidRPr="00D27504" w:rsidRDefault="00FA77C2" w:rsidP="00DC34EF">
      <w:pPr>
        <w:pStyle w:val="FootnoteText"/>
        <w:jc w:val="both"/>
      </w:pPr>
      <w:r>
        <w:rPr>
          <w:rStyle w:val="FootnoteReference"/>
        </w:rPr>
        <w:footnoteRef/>
      </w:r>
      <w:r>
        <w:t xml:space="preserve"> Query No. 6 in FAQ dated February 20, 2020 on Open offer, Buyback and Delisting Offers in SEBI website </w:t>
      </w:r>
    </w:p>
  </w:footnote>
  <w:footnote w:id="6">
    <w:p w:rsidR="00FA77C2" w:rsidRPr="00A819E9" w:rsidRDefault="00FA77C2" w:rsidP="00DC34EF">
      <w:pPr>
        <w:pStyle w:val="FootnoteText"/>
        <w:jc w:val="both"/>
      </w:pPr>
      <w:r>
        <w:rPr>
          <w:rStyle w:val="FootnoteReference"/>
        </w:rPr>
        <w:footnoteRef/>
      </w:r>
      <w:r>
        <w:t xml:space="preserve"> SEBI circular No. </w:t>
      </w:r>
      <w:r w:rsidRPr="00A819E9">
        <w:t>SEBI/HO/CFD/CMD1/CIR/P/2020/144</w:t>
      </w:r>
      <w:r>
        <w:t xml:space="preserve"> on </w:t>
      </w:r>
      <w:r w:rsidRPr="00A819E9">
        <w:t>Clarification on applicability of regulation 40(1) of SEBI (Listing Obligations and Disclosure Requirements) Regulations, 2015 to open offers, buybacks and delisting of securities of listed entities</w:t>
      </w:r>
      <w:r>
        <w:t xml:space="preserve">, dated July 31, 2020. </w:t>
      </w:r>
    </w:p>
  </w:footnote>
  <w:footnote w:id="7">
    <w:p w:rsidR="00FA77C2" w:rsidRPr="00401DC7" w:rsidRDefault="00FA77C2" w:rsidP="00DC34EF">
      <w:pPr>
        <w:pStyle w:val="FootnoteText"/>
        <w:jc w:val="both"/>
      </w:pPr>
      <w:r>
        <w:rPr>
          <w:rStyle w:val="FootnoteReference"/>
        </w:rPr>
        <w:footnoteRef/>
      </w:r>
      <w:r>
        <w:t xml:space="preserve"> Section 68 (7) of Companies Act, 2013 r/w Regulation 11 of SEBI (Buy-Back if Securities) Regulations, 2018</w:t>
      </w:r>
    </w:p>
  </w:footnote>
  <w:footnote w:id="8">
    <w:p w:rsidR="00FA77C2" w:rsidRPr="00371C52" w:rsidRDefault="00FA77C2" w:rsidP="00DC34EF">
      <w:pPr>
        <w:pStyle w:val="FootnoteText"/>
        <w:jc w:val="both"/>
      </w:pPr>
      <w:r>
        <w:rPr>
          <w:rStyle w:val="FootnoteReference"/>
        </w:rPr>
        <w:footnoteRef/>
      </w:r>
      <w:r>
        <w:t xml:space="preserve"> Regulation 31 (2) of LODR, 2015  </w:t>
      </w:r>
    </w:p>
  </w:footnote>
  <w:footnote w:id="9">
    <w:p w:rsidR="00FA77C2" w:rsidRPr="007E6D47" w:rsidRDefault="00FA77C2" w:rsidP="00DC34EF">
      <w:pPr>
        <w:pStyle w:val="FootnoteText"/>
        <w:jc w:val="both"/>
        <w:rPr>
          <w:lang w:val="en-GB"/>
        </w:rPr>
      </w:pPr>
    </w:p>
  </w:footnote>
  <w:footnote w:id="10">
    <w:p w:rsidR="00FA77C2" w:rsidRPr="008A3C87" w:rsidRDefault="00FA77C2" w:rsidP="00DC34EF">
      <w:pPr>
        <w:pStyle w:val="FootnoteText"/>
        <w:jc w:val="both"/>
      </w:pPr>
      <w:r>
        <w:rPr>
          <w:rStyle w:val="FootnoteReference"/>
        </w:rPr>
        <w:footnoteRef/>
      </w:r>
      <w:r>
        <w:t xml:space="preserve"> SEBI circular No. </w:t>
      </w:r>
      <w:r w:rsidRPr="008A3C87">
        <w:t>CIR/HO/MIRSD/DOP/CIR/P/2019/75</w:t>
      </w:r>
      <w:r>
        <w:t xml:space="preserve"> on </w:t>
      </w:r>
      <w:r w:rsidRPr="008A3C87">
        <w:t>Handling of Clients’ Securities</w:t>
      </w:r>
      <w:r>
        <w:t xml:space="preserve"> </w:t>
      </w:r>
      <w:r w:rsidRPr="008A3C87">
        <w:t>by Trading Members/Clearing Members</w:t>
      </w:r>
      <w:r>
        <w:t>, dated June 20, 2019</w:t>
      </w:r>
    </w:p>
  </w:footnote>
  <w:footnote w:id="11">
    <w:p w:rsidR="00FA77C2" w:rsidRPr="007E6D47" w:rsidRDefault="00FA77C2" w:rsidP="00DC34EF">
      <w:pPr>
        <w:pStyle w:val="FootnoteText"/>
        <w:jc w:val="both"/>
        <w:rPr>
          <w:lang w:val="en-GB"/>
        </w:rPr>
      </w:pPr>
      <w:r w:rsidRPr="007E6D47">
        <w:rPr>
          <w:rStyle w:val="FootnoteReference"/>
          <w:lang w:val="en-GB"/>
        </w:rPr>
        <w:footnoteRef/>
      </w:r>
      <w:r w:rsidRPr="007E6D47">
        <w:rPr>
          <w:lang w:val="en-GB"/>
        </w:rPr>
        <w:t xml:space="preserve"> BSE notice 20200210-47 dated </w:t>
      </w:r>
      <w:r>
        <w:rPr>
          <w:lang w:val="en-GB"/>
        </w:rPr>
        <w:t xml:space="preserve">February 10, </w:t>
      </w:r>
      <w:r w:rsidRPr="007E6D47">
        <w:rPr>
          <w:lang w:val="en-GB"/>
        </w:rPr>
        <w:t>2020</w:t>
      </w:r>
    </w:p>
  </w:footnote>
  <w:footnote w:id="12">
    <w:p w:rsidR="00FA77C2" w:rsidRPr="007E6D47" w:rsidRDefault="00FA77C2" w:rsidP="00DC34EF">
      <w:pPr>
        <w:pStyle w:val="FootnoteText"/>
        <w:jc w:val="both"/>
        <w:rPr>
          <w:lang w:val="en-GB"/>
        </w:rPr>
      </w:pPr>
      <w:r w:rsidRPr="007E6D47">
        <w:rPr>
          <w:rStyle w:val="FootnoteReference"/>
          <w:lang w:val="en-GB"/>
        </w:rPr>
        <w:footnoteRef/>
      </w:r>
      <w:r w:rsidRPr="007E6D47">
        <w:rPr>
          <w:lang w:val="en-GB"/>
        </w:rPr>
        <w:t xml:space="preserve"> NSE circular NSE/INSP/43488 dated </w:t>
      </w:r>
      <w:r>
        <w:rPr>
          <w:lang w:val="en-GB"/>
        </w:rPr>
        <w:t xml:space="preserve">February 10, </w:t>
      </w:r>
      <w:r w:rsidRPr="007E6D47">
        <w:rPr>
          <w:lang w:val="en-GB"/>
        </w:rPr>
        <w:t>2020</w:t>
      </w:r>
    </w:p>
  </w:footnote>
  <w:footnote w:id="13">
    <w:p w:rsidR="00FA77C2" w:rsidRPr="007E6D47" w:rsidRDefault="00FA77C2" w:rsidP="00DC34EF">
      <w:pPr>
        <w:pStyle w:val="FootnoteText"/>
        <w:jc w:val="both"/>
        <w:rPr>
          <w:lang w:val="en-GB"/>
        </w:rPr>
      </w:pPr>
      <w:r w:rsidRPr="007E6D47">
        <w:rPr>
          <w:rStyle w:val="FootnoteReference"/>
          <w:lang w:val="en-GB"/>
        </w:rPr>
        <w:footnoteRef/>
      </w:r>
      <w:r w:rsidRPr="007E6D47">
        <w:rPr>
          <w:lang w:val="en-GB"/>
        </w:rPr>
        <w:t xml:space="preserve"> UCC wise / BO ID wise information on money and securities </w:t>
      </w:r>
      <w:r>
        <w:rPr>
          <w:lang w:val="en-GB"/>
        </w:rPr>
        <w:t>is required to be filed</w:t>
      </w:r>
    </w:p>
  </w:footnote>
  <w:footnote w:id="14">
    <w:p w:rsidR="00FA77C2" w:rsidRPr="007E6D47" w:rsidRDefault="00FA77C2" w:rsidP="00DC34EF">
      <w:pPr>
        <w:pStyle w:val="FootnoteText"/>
        <w:jc w:val="both"/>
        <w:rPr>
          <w:lang w:val="en-GB"/>
        </w:rPr>
      </w:pPr>
    </w:p>
  </w:footnote>
  <w:footnote w:id="15">
    <w:p w:rsidR="00FA77C2" w:rsidRPr="007E6D47" w:rsidRDefault="00FA77C2" w:rsidP="00DC34EF">
      <w:pPr>
        <w:pStyle w:val="FootnoteText"/>
        <w:jc w:val="both"/>
        <w:rPr>
          <w:lang w:val="en-GB"/>
        </w:rPr>
      </w:pPr>
      <w:r w:rsidRPr="007E6D47">
        <w:rPr>
          <w:rStyle w:val="FootnoteReference"/>
          <w:lang w:val="en-GB"/>
        </w:rPr>
        <w:footnoteRef/>
      </w:r>
      <w:r w:rsidRPr="007E6D47">
        <w:rPr>
          <w:lang w:val="en-GB"/>
        </w:rPr>
        <w:t xml:space="preserve"> The TM had 33,517 active and 1,48,085 inactive clients.</w:t>
      </w:r>
    </w:p>
  </w:footnote>
  <w:footnote w:id="16">
    <w:p w:rsidR="00FA77C2" w:rsidRPr="007E6D47" w:rsidRDefault="00FA77C2" w:rsidP="00DC34EF">
      <w:pPr>
        <w:pStyle w:val="FootnoteText"/>
        <w:jc w:val="both"/>
        <w:rPr>
          <w:lang w:val="en-GB"/>
        </w:rPr>
      </w:pPr>
      <w:r w:rsidRPr="007E6D47">
        <w:rPr>
          <w:rStyle w:val="FootnoteReference"/>
          <w:lang w:val="en-GB"/>
        </w:rPr>
        <w:footnoteRef/>
      </w:r>
      <w:r w:rsidRPr="007E6D47">
        <w:rPr>
          <w:lang w:val="en-GB"/>
        </w:rPr>
        <w:t xml:space="preserve"> In terms of </w:t>
      </w:r>
      <w:r>
        <w:rPr>
          <w:lang w:val="en-GB"/>
        </w:rPr>
        <w:t>p</w:t>
      </w:r>
      <w:r w:rsidRPr="007E6D47">
        <w:rPr>
          <w:lang w:val="en-GB"/>
        </w:rPr>
        <w:t>rovisions with regard to Payment of Dividend/Interest/Redemption in Annexure to SEBI circular No. SEBI/HO/MIRSD/DOP1/CIR/P/2018/73 on</w:t>
      </w:r>
      <w:r w:rsidRPr="007E6D47">
        <w:rPr>
          <w:rFonts w:ascii="Arial" w:eastAsia="Times New Roman" w:hAnsi="Arial" w:cs="Arial"/>
          <w:sz w:val="34"/>
          <w:szCs w:val="34"/>
          <w:lang w:val="en-GB" w:eastAsia="en-IN"/>
        </w:rPr>
        <w:t xml:space="preserve"> </w:t>
      </w:r>
      <w:r w:rsidRPr="007E6D47">
        <w:rPr>
          <w:lang w:val="en-GB"/>
        </w:rPr>
        <w:t xml:space="preserve">Strengthening the Guidelines and Raising Industry standards for RTA, Issuer Companies and Banker to an Issue, dated </w:t>
      </w:r>
      <w:r>
        <w:rPr>
          <w:lang w:val="en-GB"/>
        </w:rPr>
        <w:t xml:space="preserve">April 20, </w:t>
      </w:r>
      <w:r w:rsidRPr="007E6D47">
        <w:rPr>
          <w:lang w:val="en-GB"/>
        </w:rPr>
        <w:t>2018</w:t>
      </w:r>
    </w:p>
  </w:footnote>
  <w:footnote w:id="17">
    <w:p w:rsidR="00FA77C2" w:rsidRPr="00722E33" w:rsidRDefault="00FA77C2" w:rsidP="00DC34EF">
      <w:pPr>
        <w:pStyle w:val="FootnoteText"/>
        <w:jc w:val="both"/>
      </w:pPr>
      <w:r>
        <w:rPr>
          <w:rStyle w:val="FootnoteReference"/>
        </w:rPr>
        <w:footnoteRef/>
      </w:r>
      <w:r>
        <w:t xml:space="preserve"> Item No. 12 of Clause II of Annexure to the above circular dated </w:t>
      </w:r>
      <w:r>
        <w:rPr>
          <w:lang w:val="en-GB"/>
        </w:rPr>
        <w:t xml:space="preserve">April 20, </w:t>
      </w:r>
      <w:r>
        <w:t>2018</w:t>
      </w:r>
    </w:p>
  </w:footnote>
  <w:footnote w:id="18">
    <w:p w:rsidR="00FA77C2" w:rsidRPr="00470A43" w:rsidRDefault="00FA77C2" w:rsidP="00DC34EF">
      <w:pPr>
        <w:pStyle w:val="FootnoteText"/>
        <w:jc w:val="both"/>
      </w:pPr>
      <w:r>
        <w:rPr>
          <w:rStyle w:val="FootnoteReference"/>
        </w:rPr>
        <w:footnoteRef/>
      </w:r>
      <w:r>
        <w:t xml:space="preserve"> 1,095 listed companies declared and paid dividend in 2019-20 out of 4,495 listed companies for which data is available. </w:t>
      </w:r>
    </w:p>
  </w:footnote>
  <w:footnote w:id="19">
    <w:p w:rsidR="00FA77C2" w:rsidRPr="00CA4749" w:rsidRDefault="00FA77C2" w:rsidP="00DC34EF">
      <w:pPr>
        <w:pStyle w:val="FootnoteText"/>
        <w:jc w:val="both"/>
      </w:pPr>
      <w:r>
        <w:rPr>
          <w:rStyle w:val="FootnoteReference"/>
        </w:rPr>
        <w:footnoteRef/>
      </w:r>
      <w:r>
        <w:t xml:space="preserve"> Where more than one dividend is paid, only the last payment is considered.</w:t>
      </w:r>
    </w:p>
  </w:footnote>
  <w:footnote w:id="20">
    <w:p w:rsidR="00FA77C2" w:rsidRPr="002E2B1B" w:rsidRDefault="00FA77C2" w:rsidP="00DC34EF">
      <w:pPr>
        <w:pStyle w:val="FootnoteText"/>
        <w:jc w:val="both"/>
      </w:pPr>
      <w:r>
        <w:rPr>
          <w:rStyle w:val="FootnoteReference"/>
        </w:rPr>
        <w:footnoteRef/>
      </w:r>
      <w:r>
        <w:t xml:space="preserve"> </w:t>
      </w:r>
      <w:r w:rsidRPr="002E2B1B">
        <w:t>Number of fund transfers made / instruments issued or number of folios / demat accounts pertaining to which payments were made</w:t>
      </w:r>
    </w:p>
  </w:footnote>
  <w:footnote w:id="21">
    <w:p w:rsidR="00FA77C2" w:rsidRPr="00163D24" w:rsidRDefault="00FA77C2" w:rsidP="00DC34EF">
      <w:pPr>
        <w:pStyle w:val="FootnoteText"/>
        <w:jc w:val="both"/>
      </w:pPr>
      <w:r>
        <w:rPr>
          <w:rStyle w:val="FootnoteReference"/>
        </w:rPr>
        <w:footnoteRef/>
      </w:r>
      <w:r>
        <w:t xml:space="preserve"> Data source: QRTA</w:t>
      </w:r>
    </w:p>
  </w:footnote>
  <w:footnote w:id="22">
    <w:p w:rsidR="00FA77C2" w:rsidRPr="006A6081" w:rsidRDefault="00FA77C2" w:rsidP="00DC34EF">
      <w:pPr>
        <w:pStyle w:val="FootnoteText"/>
        <w:jc w:val="both"/>
      </w:pPr>
      <w:r>
        <w:rPr>
          <w:rStyle w:val="FootnoteReference"/>
        </w:rPr>
        <w:footnoteRef/>
      </w:r>
      <w:r>
        <w:t xml:space="preserve"> The nil figure is most likely an error due to mis-classification of data, as elaborated in the chapter, ‘Data’. </w:t>
      </w:r>
    </w:p>
  </w:footnote>
  <w:footnote w:id="23">
    <w:p w:rsidR="00FA77C2" w:rsidRPr="007E6D47" w:rsidRDefault="00FA77C2" w:rsidP="00DC34EF">
      <w:pPr>
        <w:pStyle w:val="FootnoteText"/>
        <w:jc w:val="both"/>
        <w:rPr>
          <w:lang w:val="en-GB"/>
        </w:rPr>
      </w:pPr>
      <w:r w:rsidRPr="007E6D47">
        <w:rPr>
          <w:rStyle w:val="FootnoteReference"/>
          <w:lang w:val="en-GB"/>
        </w:rPr>
        <w:footnoteRef/>
      </w:r>
      <w:r w:rsidRPr="007E6D47">
        <w:rPr>
          <w:lang w:val="en-GB"/>
        </w:rPr>
        <w:t xml:space="preserve"> </w:t>
      </w:r>
      <w:r>
        <w:rPr>
          <w:lang w:val="en-GB"/>
        </w:rPr>
        <w:t xml:space="preserve">Under </w:t>
      </w:r>
      <w:r w:rsidRPr="007E6D47">
        <w:rPr>
          <w:lang w:val="en-GB"/>
        </w:rPr>
        <w:t>Companies Act, 1956</w:t>
      </w:r>
      <w:r>
        <w:rPr>
          <w:lang w:val="en-GB"/>
        </w:rPr>
        <w:t>, accrued interest o</w:t>
      </w:r>
      <w:r w:rsidRPr="007E6D47">
        <w:rPr>
          <w:lang w:val="en-GB"/>
        </w:rPr>
        <w:t xml:space="preserve">n unclaimed dividend, application money, mature deposits and mature debentures </w:t>
      </w:r>
      <w:r>
        <w:rPr>
          <w:lang w:val="en-GB"/>
        </w:rPr>
        <w:t xml:space="preserve">are required to be transferred to IEPF. Under </w:t>
      </w:r>
      <w:r w:rsidRPr="007E6D47">
        <w:rPr>
          <w:lang w:val="en-GB"/>
        </w:rPr>
        <w:t>Companies Act, 2013</w:t>
      </w:r>
      <w:r>
        <w:rPr>
          <w:lang w:val="en-GB"/>
        </w:rPr>
        <w:t xml:space="preserve">, interest on </w:t>
      </w:r>
      <w:r w:rsidRPr="007E6D47">
        <w:rPr>
          <w:lang w:val="en-GB"/>
        </w:rPr>
        <w:t>unclaimed dividend</w:t>
      </w:r>
      <w:r>
        <w:rPr>
          <w:lang w:val="en-GB"/>
        </w:rPr>
        <w:t xml:space="preserve"> is excluded. </w:t>
      </w:r>
      <w:r w:rsidRPr="007E6D47">
        <w:rPr>
          <w:lang w:val="en-GB"/>
        </w:rPr>
        <w:t xml:space="preserve"> </w:t>
      </w:r>
    </w:p>
  </w:footnote>
  <w:footnote w:id="24">
    <w:p w:rsidR="00FA77C2" w:rsidRPr="00234BB1" w:rsidRDefault="00FA77C2" w:rsidP="00DC34EF">
      <w:pPr>
        <w:pStyle w:val="FootnoteText"/>
        <w:jc w:val="both"/>
      </w:pPr>
      <w:r>
        <w:rPr>
          <w:rStyle w:val="FootnoteReference"/>
        </w:rPr>
        <w:footnoteRef/>
      </w:r>
      <w:r>
        <w:t xml:space="preserve"> </w:t>
      </w:r>
      <w:r w:rsidRPr="00234BB1">
        <w:t>Individuals</w:t>
      </w:r>
      <w:r>
        <w:t xml:space="preserve"> (</w:t>
      </w:r>
      <w:r w:rsidRPr="00234BB1">
        <w:t>Resident, NRI, foreign nationals etc.</w:t>
      </w:r>
      <w:r>
        <w:t>)</w:t>
      </w:r>
      <w:r w:rsidRPr="00234BB1">
        <w:t xml:space="preserve"> are eligible for nomination, whereas, non-individuals like corporates, HUF</w:t>
      </w:r>
      <w:r>
        <w:t xml:space="preserve"> and</w:t>
      </w:r>
      <w:r w:rsidRPr="00234BB1">
        <w:t xml:space="preserve"> minors etc. are not eligible for nomination</w:t>
      </w:r>
    </w:p>
  </w:footnote>
  <w:footnote w:id="25">
    <w:p w:rsidR="00FA77C2" w:rsidRPr="000144BB" w:rsidRDefault="00FA77C2" w:rsidP="00DC34EF">
      <w:pPr>
        <w:pStyle w:val="FootnoteText"/>
        <w:jc w:val="both"/>
      </w:pPr>
      <w:r>
        <w:rPr>
          <w:rStyle w:val="FootnoteReference"/>
        </w:rPr>
        <w:footnoteRef/>
      </w:r>
      <w:r>
        <w:t xml:space="preserve"> The number of folios pertain about 3,039 listed companies for which data is available</w:t>
      </w:r>
    </w:p>
  </w:footnote>
  <w:footnote w:id="26">
    <w:p w:rsidR="00FA77C2" w:rsidRPr="00B16FC5" w:rsidRDefault="00FA77C2" w:rsidP="00DC34EF">
      <w:pPr>
        <w:pStyle w:val="FootnoteText"/>
        <w:jc w:val="both"/>
      </w:pPr>
      <w:r>
        <w:rPr>
          <w:rStyle w:val="FootnoteReference"/>
        </w:rPr>
        <w:footnoteRef/>
      </w:r>
      <w:r>
        <w:t xml:space="preserve"> </w:t>
      </w:r>
      <w:r w:rsidRPr="00B16FC5">
        <w:t>Regulation 39 (4) of LODR, 2015 r/w clause B (1) (a &amp; b) of Schedule VI of this Regulations on Manner of dealing with unclaimed shares</w:t>
      </w:r>
      <w:r>
        <w:t xml:space="preserve">. The data furnished by RTA has too many inconstancies and needs reconciliation and hence not included in this report. Details in this regard are given in the Chapter, ‘Data’. </w:t>
      </w:r>
    </w:p>
  </w:footnote>
  <w:footnote w:id="27">
    <w:p w:rsidR="00FA77C2" w:rsidRPr="009B3707" w:rsidRDefault="00FA77C2" w:rsidP="00DC34EF">
      <w:pPr>
        <w:pStyle w:val="FootnoteText"/>
        <w:jc w:val="both"/>
      </w:pPr>
    </w:p>
  </w:footnote>
  <w:footnote w:id="28">
    <w:p w:rsidR="00FA77C2" w:rsidRPr="007E6D47" w:rsidRDefault="00FA77C2" w:rsidP="00DC34EF">
      <w:pPr>
        <w:pStyle w:val="FootnoteText"/>
        <w:jc w:val="both"/>
        <w:rPr>
          <w:lang w:val="en-GB"/>
        </w:rPr>
      </w:pPr>
      <w:r w:rsidRPr="007E6D47">
        <w:rPr>
          <w:rStyle w:val="FootnoteReference"/>
          <w:lang w:val="en-GB"/>
        </w:rPr>
        <w:footnoteRef/>
      </w:r>
      <w:r w:rsidRPr="007E6D47">
        <w:rPr>
          <w:lang w:val="en-GB"/>
        </w:rPr>
        <w:t xml:space="preserve"> Inserted by SEBI (Listing Obligations and Disclosure Requirements) (Fourth Amendment) Regulations, 2018 r/w Gazette Notification No. SEBI/LAD-NRO /GN/ 2018/49 dated</w:t>
      </w:r>
      <w:r>
        <w:rPr>
          <w:lang w:val="en-GB"/>
        </w:rPr>
        <w:t xml:space="preserve"> November 30, </w:t>
      </w:r>
      <w:r w:rsidRPr="007E6D47">
        <w:rPr>
          <w:lang w:val="en-GB"/>
        </w:rPr>
        <w:t>2018</w:t>
      </w:r>
    </w:p>
  </w:footnote>
  <w:footnote w:id="29">
    <w:p w:rsidR="00FA77C2" w:rsidRPr="007E6D47" w:rsidRDefault="00FA77C2" w:rsidP="00DC34EF">
      <w:pPr>
        <w:pStyle w:val="FootnoteText"/>
        <w:jc w:val="both"/>
        <w:rPr>
          <w:lang w:val="en-GB"/>
        </w:rPr>
      </w:pPr>
      <w:r w:rsidRPr="007E6D47">
        <w:rPr>
          <w:rStyle w:val="FootnoteReference"/>
          <w:lang w:val="en-GB"/>
        </w:rPr>
        <w:footnoteRef/>
      </w:r>
      <w:r w:rsidRPr="007E6D47">
        <w:rPr>
          <w:lang w:val="en-GB"/>
        </w:rPr>
        <w:t xml:space="preserve"> SEBI circular No. SEBI/HO/MIRSD/RTAMB/CIR/P/2020/166 on Re-lodgement of Transfer Requests Shares dated 07.09.2020.</w:t>
      </w:r>
    </w:p>
  </w:footnote>
  <w:footnote w:id="30">
    <w:p w:rsidR="00FA77C2" w:rsidRPr="00E007D9" w:rsidRDefault="00FA77C2" w:rsidP="00DC34EF">
      <w:pPr>
        <w:pStyle w:val="FootnoteText"/>
        <w:jc w:val="both"/>
      </w:pPr>
      <w:r>
        <w:rPr>
          <w:rStyle w:val="FootnoteReference"/>
        </w:rPr>
        <w:footnoteRef/>
      </w:r>
      <w:r>
        <w:t xml:space="preserve"> Data provided by RTAs and Depositories for physical and demat shares, respectively. The figures appear to be under reported as detailed in the chapter, ‘Data’.</w:t>
      </w:r>
    </w:p>
  </w:footnote>
  <w:footnote w:id="31">
    <w:p w:rsidR="00FA77C2" w:rsidRPr="007E6D47" w:rsidRDefault="00FA77C2" w:rsidP="00DC34EF">
      <w:pPr>
        <w:pStyle w:val="FootnoteText"/>
        <w:jc w:val="both"/>
        <w:rPr>
          <w:lang w:val="en-GB"/>
        </w:rPr>
      </w:pPr>
      <w:r w:rsidRPr="007E6D47">
        <w:rPr>
          <w:rStyle w:val="FootnoteReference"/>
          <w:lang w:val="en-GB"/>
        </w:rPr>
        <w:footnoteRef/>
      </w:r>
      <w:r w:rsidRPr="007E6D47">
        <w:rPr>
          <w:lang w:val="en-GB"/>
        </w:rPr>
        <w:t xml:space="preserve"> Relevant client details are captured in the Depository System and are available with the </w:t>
      </w:r>
      <w:r>
        <w:rPr>
          <w:lang w:val="en-GB"/>
        </w:rPr>
        <w:t xml:space="preserve">concerned </w:t>
      </w:r>
      <w:r w:rsidRPr="007E6D47">
        <w:rPr>
          <w:lang w:val="en-GB"/>
        </w:rPr>
        <w:t>D</w:t>
      </w:r>
      <w:r>
        <w:rPr>
          <w:lang w:val="en-GB"/>
        </w:rPr>
        <w:t>P</w:t>
      </w:r>
      <w:r w:rsidRPr="007E6D47">
        <w:rPr>
          <w:lang w:val="en-GB"/>
        </w:rPr>
        <w:t xml:space="preserve">.  </w:t>
      </w:r>
    </w:p>
  </w:footnote>
  <w:footnote w:id="32">
    <w:p w:rsidR="00FA77C2" w:rsidRPr="008C020B" w:rsidRDefault="00FA77C2" w:rsidP="00DC34EF">
      <w:pPr>
        <w:pStyle w:val="FootnoteText"/>
        <w:jc w:val="both"/>
      </w:pPr>
    </w:p>
  </w:footnote>
  <w:footnote w:id="33">
    <w:p w:rsidR="00FA77C2" w:rsidRPr="007E6D47" w:rsidRDefault="00FA77C2" w:rsidP="00DC34EF">
      <w:pPr>
        <w:pStyle w:val="FootnoteText"/>
        <w:jc w:val="both"/>
        <w:rPr>
          <w:lang w:val="en-GB"/>
        </w:rPr>
      </w:pPr>
      <w:r w:rsidRPr="007E6D47">
        <w:rPr>
          <w:rStyle w:val="FootnoteReference"/>
          <w:lang w:val="en-GB"/>
        </w:rPr>
        <w:footnoteRef/>
      </w:r>
      <w:r w:rsidRPr="007E6D47">
        <w:rPr>
          <w:lang w:val="en-GB"/>
        </w:rPr>
        <w:t xml:space="preserve"> ESIC circular dated </w:t>
      </w:r>
      <w:r>
        <w:rPr>
          <w:lang w:val="en-GB"/>
        </w:rPr>
        <w:t xml:space="preserve">June 29, </w:t>
      </w:r>
      <w:r w:rsidRPr="007E6D47">
        <w:rPr>
          <w:lang w:val="en-GB"/>
        </w:rPr>
        <w:t>2020 on mandatorily enabling mobile number and bank account details of an insured person while registering an employee with effect from July</w:t>
      </w:r>
      <w:r>
        <w:rPr>
          <w:lang w:val="en-GB"/>
        </w:rPr>
        <w:t xml:space="preserve"> 01</w:t>
      </w:r>
      <w:r w:rsidRPr="007E6D47">
        <w:rPr>
          <w:lang w:val="en-GB"/>
        </w:rPr>
        <w:t>, 2020.</w:t>
      </w:r>
    </w:p>
  </w:footnote>
  <w:footnote w:id="34">
    <w:p w:rsidR="00FA77C2" w:rsidRPr="007E6D47" w:rsidRDefault="00FA77C2" w:rsidP="00DC34EF">
      <w:pPr>
        <w:pStyle w:val="FootnoteText"/>
        <w:jc w:val="both"/>
        <w:rPr>
          <w:lang w:val="en-GB"/>
        </w:rPr>
      </w:pPr>
      <w:r w:rsidRPr="007E6D47">
        <w:rPr>
          <w:rStyle w:val="FootnoteReference"/>
          <w:lang w:val="en-GB"/>
        </w:rPr>
        <w:footnoteRef/>
      </w:r>
      <w:r w:rsidRPr="007E6D47">
        <w:rPr>
          <w:lang w:val="en-GB"/>
        </w:rPr>
        <w:t xml:space="preserve"> Incorporated in the demat account opening form of the Depositories pursuant to the recommendations of the SEBI Group on ‘Transmission of Shares’ to address issues relating to transmission of securities, August 2007.</w:t>
      </w:r>
    </w:p>
  </w:footnote>
  <w:footnote w:id="35">
    <w:p w:rsidR="00FA77C2" w:rsidRPr="007E6D47" w:rsidRDefault="00FA77C2" w:rsidP="00DC34EF">
      <w:pPr>
        <w:pStyle w:val="FootnoteText"/>
        <w:jc w:val="both"/>
        <w:rPr>
          <w:lang w:val="en-GB"/>
        </w:rPr>
      </w:pPr>
      <w:r w:rsidRPr="007E6D47">
        <w:rPr>
          <w:rStyle w:val="FootnoteReference"/>
          <w:lang w:val="en-GB"/>
        </w:rPr>
        <w:footnoteRef/>
      </w:r>
      <w:r w:rsidRPr="007E6D47">
        <w:rPr>
          <w:lang w:val="en-GB"/>
        </w:rPr>
        <w:t xml:space="preserve"> Chapter 02</w:t>
      </w:r>
      <w:r w:rsidRPr="006C7FFA">
        <w:rPr>
          <w:lang w:val="en-GB"/>
        </w:rPr>
        <w:t xml:space="preserve">, Policy for Homo Sapiens, Not 02 Homo Economicus: </w:t>
      </w:r>
      <w:r w:rsidRPr="007E6D47">
        <w:rPr>
          <w:lang w:val="en-GB"/>
        </w:rPr>
        <w:t>Leveraging the Behavioural Economics of “Nudge”, Volume I, Econ</w:t>
      </w:r>
      <w:r>
        <w:rPr>
          <w:lang w:val="en-GB"/>
        </w:rPr>
        <w:t>om</w:t>
      </w:r>
      <w:r w:rsidRPr="007E6D47">
        <w:rPr>
          <w:lang w:val="en-GB"/>
        </w:rPr>
        <w:t>ic Survey, 2018-19</w:t>
      </w:r>
    </w:p>
  </w:footnote>
  <w:footnote w:id="36">
    <w:p w:rsidR="00FA77C2" w:rsidRPr="007E6D47" w:rsidRDefault="00FA77C2" w:rsidP="00DC34EF">
      <w:pPr>
        <w:pStyle w:val="FootnoteText"/>
        <w:jc w:val="both"/>
        <w:rPr>
          <w:lang w:val="en-GB"/>
        </w:rPr>
      </w:pPr>
      <w:r w:rsidRPr="007E6D47">
        <w:rPr>
          <w:rStyle w:val="FootnoteReference"/>
          <w:lang w:val="en-GB"/>
        </w:rPr>
        <w:footnoteRef/>
      </w:r>
      <w:r w:rsidRPr="007E6D47">
        <w:rPr>
          <w:lang w:val="en-GB"/>
        </w:rPr>
        <w:t xml:space="preserve"> ‘Nudge’ theory, which was popularized by Prof. Richard H. Thaler and Cass R. Sunstien in their book, Nudge: Improving Decisions About Health, Wealth and Happiness. The </w:t>
      </w:r>
      <w:r w:rsidRPr="006C7FFA">
        <w:rPr>
          <w:lang w:val="en-GB"/>
        </w:rPr>
        <w:t>former</w:t>
      </w:r>
      <w:r w:rsidRPr="007E6D47">
        <w:rPr>
          <w:lang w:val="en-GB"/>
        </w:rPr>
        <w:t xml:space="preserve"> was awarded the 2017 Nobel Memorial Prize in Economic Sciences for his contributions to behavioural economics, including his ‘Nudge’ theory.  </w:t>
      </w:r>
    </w:p>
  </w:footnote>
  <w:footnote w:id="37">
    <w:p w:rsidR="00FA77C2" w:rsidRPr="006C4D3F" w:rsidRDefault="00FA77C2" w:rsidP="00DC34EF">
      <w:pPr>
        <w:pStyle w:val="FootnoteText"/>
        <w:jc w:val="both"/>
      </w:pPr>
      <w:r>
        <w:rPr>
          <w:rStyle w:val="FootnoteReference"/>
        </w:rPr>
        <w:footnoteRef/>
      </w:r>
      <w:r>
        <w:t xml:space="preserve"> Rule 19 of the Companies (Share Capital and Debenture) Rules, 2014</w:t>
      </w:r>
    </w:p>
  </w:footnote>
  <w:footnote w:id="38">
    <w:p w:rsidR="00FA77C2" w:rsidRPr="009D2E8B" w:rsidRDefault="00FA77C2" w:rsidP="00DC34EF">
      <w:pPr>
        <w:pStyle w:val="FootnoteText"/>
        <w:jc w:val="both"/>
      </w:pPr>
    </w:p>
  </w:footnote>
  <w:footnote w:id="39">
    <w:p w:rsidR="00FA77C2" w:rsidRPr="00C61220" w:rsidRDefault="00FA77C2" w:rsidP="00DC34EF">
      <w:pPr>
        <w:pStyle w:val="FootnoteText"/>
        <w:jc w:val="both"/>
      </w:pPr>
      <w:r>
        <w:rPr>
          <w:rStyle w:val="FootnoteReference"/>
        </w:rPr>
        <w:footnoteRef/>
      </w:r>
      <w:r>
        <w:t xml:space="preserve"> SEBI circular No. </w:t>
      </w:r>
      <w:r w:rsidRPr="00C61220">
        <w:t>SEBI/HO/MIRSD/DOP/CIR/P/2019/123</w:t>
      </w:r>
      <w:r>
        <w:t xml:space="preserve"> on, ‘</w:t>
      </w:r>
      <w:r w:rsidRPr="00C61220">
        <w:t>e-KYC Authentication facility</w:t>
      </w:r>
      <w:r>
        <w:t xml:space="preserve"> </w:t>
      </w:r>
      <w:r w:rsidRPr="00C61220">
        <w:t xml:space="preserve">under section 11A of the Prevention of Money Laundering Act, 2002 by </w:t>
      </w:r>
      <w:r>
        <w:t>e</w:t>
      </w:r>
      <w:r w:rsidRPr="00C61220">
        <w:t>ntities in the securities market</w:t>
      </w:r>
      <w:r>
        <w:t xml:space="preserve"> </w:t>
      </w:r>
      <w:r w:rsidRPr="00C61220">
        <w:t>for Resident Investors</w:t>
      </w:r>
      <w:r>
        <w:t xml:space="preserve">’, dated November 05, 2019 and also the circular dated May 12, 2020 in this regard. </w:t>
      </w:r>
    </w:p>
  </w:footnote>
  <w:footnote w:id="40">
    <w:p w:rsidR="00FA77C2" w:rsidRPr="000F33B1" w:rsidRDefault="00FA77C2" w:rsidP="00DC34EF">
      <w:pPr>
        <w:pStyle w:val="FootnoteText"/>
        <w:jc w:val="both"/>
      </w:pPr>
    </w:p>
  </w:footnote>
  <w:footnote w:id="41">
    <w:p w:rsidR="00FA77C2" w:rsidRPr="00E150F4" w:rsidRDefault="00FA77C2" w:rsidP="00DC34EF">
      <w:pPr>
        <w:pStyle w:val="FootnoteText"/>
        <w:jc w:val="both"/>
      </w:pPr>
      <w:r>
        <w:rPr>
          <w:rStyle w:val="FootnoteReference"/>
        </w:rPr>
        <w:footnoteRef/>
      </w:r>
      <w:r>
        <w:t xml:space="preserve"> </w:t>
      </w:r>
      <w:r w:rsidRPr="00DD6C66">
        <w:t xml:space="preserve">Central KYC Record Registry </w:t>
      </w:r>
      <w:r>
        <w:t xml:space="preserve">- </w:t>
      </w:r>
      <w:r w:rsidRPr="00DD6C66">
        <w:rPr>
          <w:b/>
          <w:bCs/>
        </w:rPr>
        <w:t>CKYCRR</w:t>
      </w:r>
      <w:r>
        <w:t xml:space="preserve"> </w:t>
      </w:r>
      <w:r w:rsidRPr="00DD6C66">
        <w:t xml:space="preserve">of Central Registry of Securitisation Asset Reconstruction and Security Interest of India </w:t>
      </w:r>
      <w:r>
        <w:t xml:space="preserve">- </w:t>
      </w:r>
      <w:r w:rsidRPr="00DD6C66">
        <w:rPr>
          <w:b/>
          <w:bCs/>
        </w:rPr>
        <w:t>CERSAI</w:t>
      </w:r>
      <w:r w:rsidRPr="00DD6C66">
        <w:t xml:space="preserve"> </w:t>
      </w:r>
      <w:r>
        <w:t>(</w:t>
      </w:r>
      <w:r w:rsidRPr="00DD6C66">
        <w:t>entrusted with operating and maintaining KYC Registry pertaining to financial sector, governed under PML Rules 2005)</w:t>
      </w:r>
    </w:p>
  </w:footnote>
  <w:footnote w:id="42">
    <w:p w:rsidR="00FA77C2" w:rsidRPr="00DD6C66" w:rsidRDefault="00FA77C2" w:rsidP="00DC34EF">
      <w:pPr>
        <w:pStyle w:val="FootnoteText"/>
        <w:jc w:val="both"/>
      </w:pPr>
      <w:r>
        <w:rPr>
          <w:rStyle w:val="FootnoteReference"/>
        </w:rPr>
        <w:footnoteRef/>
      </w:r>
      <w:r>
        <w:t xml:space="preserve"> This proposal is also mooted in the consultation paper of SEBI, </w:t>
      </w:r>
      <w:r w:rsidRPr="00DD6C66">
        <w:t>“Role of KYC Registration Agencies (KRAs)/ Market Infrastructure Institutions (MIIs) in performing KYC (Know Your Client) of the client in securities market”</w:t>
      </w:r>
    </w:p>
  </w:footnote>
  <w:footnote w:id="43">
    <w:p w:rsidR="00FA77C2" w:rsidRPr="007E6D47" w:rsidRDefault="00FA77C2" w:rsidP="00DC34EF">
      <w:pPr>
        <w:pStyle w:val="FootnoteText"/>
        <w:jc w:val="both"/>
        <w:rPr>
          <w:lang w:val="en-GB"/>
        </w:rPr>
      </w:pPr>
    </w:p>
  </w:footnote>
  <w:footnote w:id="44">
    <w:p w:rsidR="00FA77C2" w:rsidRPr="002A1331" w:rsidRDefault="00FA77C2" w:rsidP="00DC34EF">
      <w:pPr>
        <w:pStyle w:val="FootnoteText"/>
        <w:jc w:val="both"/>
      </w:pPr>
      <w:r>
        <w:rPr>
          <w:rStyle w:val="FootnoteReference"/>
        </w:rPr>
        <w:footnoteRef/>
      </w:r>
      <w:r>
        <w:t xml:space="preserve"> Transfer, Transmission, Demat, Remat, issue of duplicate shares, Transposition, Change in / Updation of address, bank account, name, signature are service requirements of investors from the RTA. </w:t>
      </w:r>
    </w:p>
  </w:footnote>
  <w:footnote w:id="45">
    <w:p w:rsidR="00FA77C2" w:rsidRPr="002A1331" w:rsidRDefault="00FA77C2" w:rsidP="00DC34EF">
      <w:pPr>
        <w:pStyle w:val="FootnoteText"/>
        <w:jc w:val="both"/>
      </w:pPr>
    </w:p>
  </w:footnote>
  <w:footnote w:id="46">
    <w:p w:rsidR="00FA77C2" w:rsidRPr="00DE1003" w:rsidRDefault="00FA77C2" w:rsidP="00DC34EF">
      <w:pPr>
        <w:pStyle w:val="FootnoteText"/>
        <w:jc w:val="both"/>
      </w:pPr>
      <w:r>
        <w:rPr>
          <w:rStyle w:val="FootnoteReference"/>
        </w:rPr>
        <w:footnoteRef/>
      </w:r>
      <w:r>
        <w:t xml:space="preserve"> </w:t>
      </w:r>
      <w:r w:rsidRPr="008A72BA">
        <w:t>Section 68 B of Companies Act, 1956, inserted by the Companies (Amendment) Act, 2000</w:t>
      </w:r>
      <w:r>
        <w:t xml:space="preserve"> w.e.f. December 13, 2000</w:t>
      </w:r>
    </w:p>
  </w:footnote>
  <w:footnote w:id="47">
    <w:p w:rsidR="00FA77C2" w:rsidRPr="00DE1003" w:rsidRDefault="00FA77C2" w:rsidP="00DC34EF">
      <w:pPr>
        <w:pStyle w:val="FootnoteText"/>
        <w:jc w:val="both"/>
      </w:pPr>
      <w:r>
        <w:rPr>
          <w:rStyle w:val="FootnoteReference"/>
        </w:rPr>
        <w:footnoteRef/>
      </w:r>
      <w:r>
        <w:t xml:space="preserve"> Circular mandating issuance of bonus and duplicate shares only in demat mode is under consideration. </w:t>
      </w:r>
    </w:p>
  </w:footnote>
  <w:footnote w:id="48">
    <w:p w:rsidR="00FA77C2" w:rsidRPr="007E6D47" w:rsidRDefault="00FA77C2" w:rsidP="00DC34EF">
      <w:pPr>
        <w:pStyle w:val="FootnoteText"/>
        <w:jc w:val="both"/>
        <w:rPr>
          <w:lang w:val="en-GB"/>
        </w:rPr>
      </w:pPr>
    </w:p>
  </w:footnote>
  <w:footnote w:id="49">
    <w:p w:rsidR="00FA77C2" w:rsidRPr="007E6D47" w:rsidRDefault="00FA77C2" w:rsidP="00DC34EF">
      <w:pPr>
        <w:pStyle w:val="FootnoteText"/>
        <w:jc w:val="both"/>
        <w:rPr>
          <w:lang w:val="en-GB"/>
        </w:rPr>
      </w:pPr>
      <w:r w:rsidRPr="007E6D47">
        <w:rPr>
          <w:rStyle w:val="FootnoteReference"/>
          <w:lang w:val="en-GB"/>
        </w:rPr>
        <w:footnoteRef/>
      </w:r>
      <w:r w:rsidRPr="007E6D47">
        <w:rPr>
          <w:lang w:val="en-GB"/>
        </w:rPr>
        <w:t xml:space="preserve"> Rule 5 (8) of Investor Education and Protection Fund Authority (Accounting, Audit, Transfer and Refund) Rules, 2016 (amended on </w:t>
      </w:r>
      <w:r>
        <w:rPr>
          <w:lang w:val="en-GB"/>
        </w:rPr>
        <w:t xml:space="preserve">August 14, </w:t>
      </w:r>
      <w:r w:rsidRPr="007E6D47">
        <w:rPr>
          <w:lang w:val="en-GB"/>
        </w:rPr>
        <w:t>2019) under the Companies Act, 2013.</w:t>
      </w:r>
    </w:p>
  </w:footnote>
  <w:footnote w:id="50">
    <w:p w:rsidR="00FA77C2" w:rsidRPr="007E6D47" w:rsidRDefault="00FA77C2" w:rsidP="00DC34EF">
      <w:pPr>
        <w:pStyle w:val="FootnoteText"/>
        <w:jc w:val="both"/>
        <w:rPr>
          <w:lang w:val="en-GB"/>
        </w:rPr>
      </w:pPr>
      <w:r w:rsidRPr="007E6D47">
        <w:rPr>
          <w:rStyle w:val="FootnoteReference"/>
          <w:lang w:val="en-GB"/>
        </w:rPr>
        <w:footnoteRef/>
      </w:r>
      <w:r w:rsidRPr="007E6D47">
        <w:rPr>
          <w:lang w:val="en-GB"/>
        </w:rPr>
        <w:t xml:space="preserve"> The orders dated </w:t>
      </w:r>
      <w:r>
        <w:rPr>
          <w:lang w:val="en-GB"/>
        </w:rPr>
        <w:t xml:space="preserve">October 18, </w:t>
      </w:r>
      <w:r w:rsidRPr="007E6D47">
        <w:rPr>
          <w:lang w:val="en-GB"/>
        </w:rPr>
        <w:t xml:space="preserve">2019 and </w:t>
      </w:r>
      <w:r>
        <w:rPr>
          <w:lang w:val="en-GB"/>
        </w:rPr>
        <w:t xml:space="preserve">November 07, </w:t>
      </w:r>
      <w:r w:rsidRPr="007E6D47">
        <w:rPr>
          <w:lang w:val="en-GB"/>
        </w:rPr>
        <w:t xml:space="preserve">2019 of the WTM in the matter of Cameo Corporate Services Ltd., gives details in this regard.  </w:t>
      </w:r>
    </w:p>
  </w:footnote>
  <w:footnote w:id="51">
    <w:p w:rsidR="00FA77C2" w:rsidRPr="007E6D47" w:rsidRDefault="00FA77C2" w:rsidP="00DC34EF">
      <w:pPr>
        <w:pStyle w:val="FootnoteText"/>
        <w:jc w:val="both"/>
        <w:rPr>
          <w:lang w:val="en-GB"/>
        </w:rPr>
      </w:pPr>
      <w:r w:rsidRPr="007E6D47">
        <w:rPr>
          <w:rStyle w:val="FootnoteReference"/>
          <w:lang w:val="en-GB"/>
        </w:rPr>
        <w:footnoteRef/>
      </w:r>
      <w:r w:rsidRPr="007E6D47">
        <w:rPr>
          <w:lang w:val="en-GB"/>
        </w:rPr>
        <w:t xml:space="preserve"> RBI circular No.  RBI/2011-12/389 DBOD.No.Leg.BC. 81/09.07.005/2011-12 on Unclaimed Deposits/ Inoperative Accounts in Banks - Display list of Inoperative Accounts, dated </w:t>
      </w:r>
      <w:r>
        <w:rPr>
          <w:lang w:val="en-GB"/>
        </w:rPr>
        <w:t xml:space="preserve">February 07, </w:t>
      </w:r>
      <w:r w:rsidRPr="007E6D47">
        <w:rPr>
          <w:lang w:val="en-GB"/>
        </w:rPr>
        <w:t>2012</w:t>
      </w:r>
    </w:p>
  </w:footnote>
  <w:footnote w:id="52">
    <w:p w:rsidR="00FA77C2" w:rsidRPr="007E6D47" w:rsidRDefault="00FA77C2" w:rsidP="00DC34EF">
      <w:pPr>
        <w:pStyle w:val="FootnoteText"/>
        <w:jc w:val="both"/>
        <w:rPr>
          <w:lang w:val="en-GB"/>
        </w:rPr>
      </w:pPr>
      <w:r w:rsidRPr="007E6D47">
        <w:rPr>
          <w:rStyle w:val="FootnoteReference"/>
          <w:lang w:val="en-GB"/>
        </w:rPr>
        <w:footnoteRef/>
      </w:r>
      <w:r w:rsidRPr="007E6D47">
        <w:rPr>
          <w:lang w:val="en-GB"/>
        </w:rPr>
        <w:t xml:space="preserve"> This information, as on </w:t>
      </w:r>
      <w:r>
        <w:rPr>
          <w:lang w:val="en-GB"/>
        </w:rPr>
        <w:t xml:space="preserve">March 31, </w:t>
      </w:r>
      <w:r w:rsidRPr="007E6D47">
        <w:rPr>
          <w:lang w:val="en-GB"/>
        </w:rPr>
        <w:t>2019, was required to be provided by</w:t>
      </w:r>
      <w:r>
        <w:rPr>
          <w:lang w:val="en-GB"/>
        </w:rPr>
        <w:t xml:space="preserve"> all the</w:t>
      </w:r>
      <w:r w:rsidRPr="007E6D47">
        <w:rPr>
          <w:lang w:val="en-GB"/>
        </w:rPr>
        <w:t xml:space="preserve"> listed companies to the Depositories vide SEBI circular No. SEBI/HO/MIRSD/RTAMB/CIR/P/2019 on Enhanced Due Diligence for Dematerialization of Physical Securities, dated </w:t>
      </w:r>
      <w:r>
        <w:rPr>
          <w:lang w:val="en-GB"/>
        </w:rPr>
        <w:t xml:space="preserve">November 05, </w:t>
      </w:r>
      <w:r w:rsidRPr="007E6D47">
        <w:rPr>
          <w:lang w:val="en-GB"/>
        </w:rPr>
        <w:t xml:space="preserve">2019. </w:t>
      </w:r>
    </w:p>
  </w:footnote>
  <w:footnote w:id="53">
    <w:p w:rsidR="00FA77C2" w:rsidRPr="007E6D47" w:rsidRDefault="00FA77C2" w:rsidP="00DC34EF">
      <w:pPr>
        <w:pStyle w:val="FootnoteText"/>
        <w:jc w:val="both"/>
        <w:rPr>
          <w:lang w:val="en-GB"/>
        </w:rPr>
      </w:pPr>
    </w:p>
  </w:footnote>
  <w:footnote w:id="54">
    <w:p w:rsidR="00FA77C2" w:rsidRPr="00F85A59" w:rsidRDefault="00FA77C2" w:rsidP="00DC34EF">
      <w:pPr>
        <w:pStyle w:val="FootnoteText"/>
        <w:jc w:val="both"/>
      </w:pPr>
      <w:r>
        <w:rPr>
          <w:rStyle w:val="FootnoteReference"/>
        </w:rPr>
        <w:footnoteRef/>
      </w:r>
      <w:r>
        <w:t xml:space="preserve"> This is an industry practice and not a regulatory requirement </w:t>
      </w:r>
    </w:p>
  </w:footnote>
  <w:footnote w:id="55">
    <w:p w:rsidR="00FA77C2" w:rsidRPr="00CB6CB4" w:rsidRDefault="00FA77C2" w:rsidP="00DC34EF">
      <w:pPr>
        <w:pStyle w:val="FootnoteText"/>
        <w:jc w:val="both"/>
      </w:pPr>
      <w:r>
        <w:rPr>
          <w:rStyle w:val="FootnoteReference"/>
        </w:rPr>
        <w:footnoteRef/>
      </w:r>
      <w:r>
        <w:t xml:space="preserve"> Table 56, SEBI Bulletin, April 2020</w:t>
      </w:r>
    </w:p>
  </w:footnote>
  <w:footnote w:id="56">
    <w:p w:rsidR="00FA77C2" w:rsidRPr="008A444C" w:rsidRDefault="00FA77C2" w:rsidP="00DC34EF">
      <w:pPr>
        <w:pStyle w:val="FootnoteText"/>
        <w:jc w:val="both"/>
      </w:pPr>
      <w:r>
        <w:rPr>
          <w:rStyle w:val="FootnoteReference"/>
        </w:rPr>
        <w:footnoteRef/>
      </w:r>
      <w:r>
        <w:t xml:space="preserve"> </w:t>
      </w:r>
      <w:r w:rsidRPr="000364C4">
        <w:t>Number of fund transfers made / instruments issued or number of folios / demat accounts pertaining to which payments were made</w:t>
      </w:r>
    </w:p>
  </w:footnote>
  <w:footnote w:id="57">
    <w:p w:rsidR="00FA77C2" w:rsidRPr="00C523E5" w:rsidRDefault="00FA77C2" w:rsidP="00DC34EF">
      <w:pPr>
        <w:pStyle w:val="FootnoteText"/>
        <w:jc w:val="both"/>
      </w:pPr>
      <w:r>
        <w:rPr>
          <w:rStyle w:val="FootnoteReference"/>
        </w:rPr>
        <w:footnoteRef/>
      </w:r>
      <w:r>
        <w:t xml:space="preserve"> Regulation 12 of </w:t>
      </w:r>
      <w:r w:rsidRPr="00556046">
        <w:t>LODR, 2015, mandates payments</w:t>
      </w:r>
      <w:r>
        <w:t xml:space="preserve"> to investors through electronic mode  </w:t>
      </w:r>
    </w:p>
  </w:footnote>
  <w:footnote w:id="58">
    <w:p w:rsidR="00FA77C2" w:rsidRPr="008E1B11" w:rsidRDefault="00FA77C2" w:rsidP="00DC34EF">
      <w:pPr>
        <w:pStyle w:val="FootnoteText"/>
        <w:jc w:val="both"/>
      </w:pPr>
      <w:r>
        <w:rPr>
          <w:rStyle w:val="FootnoteReference"/>
        </w:rPr>
        <w:footnoteRef/>
      </w:r>
      <w:r>
        <w:t xml:space="preserve"> The AUM of MF industry was </w:t>
      </w:r>
      <w:r>
        <w:rPr>
          <w:rFonts w:ascii="Tahoma" w:hAnsi="Tahoma" w:cs="Tahoma"/>
        </w:rPr>
        <w:t>₹</w:t>
      </w:r>
      <w:r>
        <w:t>2</w:t>
      </w:r>
      <w:r w:rsidRPr="008E1B11">
        <w:t>6,85,982</w:t>
      </w:r>
      <w:r>
        <w:t xml:space="preserve"> crore as on September 30, 2020. Source Table 56, SEBI Bulletin, November, 2020</w:t>
      </w:r>
    </w:p>
  </w:footnote>
  <w:footnote w:id="59">
    <w:p w:rsidR="00FA77C2" w:rsidRPr="007E6D47" w:rsidRDefault="00FA77C2" w:rsidP="00DC34EF">
      <w:pPr>
        <w:pStyle w:val="FootnoteText"/>
        <w:jc w:val="both"/>
        <w:rPr>
          <w:lang w:val="en-GB"/>
        </w:rPr>
      </w:pPr>
      <w:r w:rsidRPr="007E6D47">
        <w:rPr>
          <w:rStyle w:val="FootnoteReference"/>
          <w:lang w:val="en-GB"/>
        </w:rPr>
        <w:footnoteRef/>
      </w:r>
      <w:r w:rsidRPr="007E6D47">
        <w:rPr>
          <w:lang w:val="en-GB"/>
        </w:rPr>
        <w:t xml:space="preserve"> SEBI circular MFD/CIR/ 9 /120 /2000 dated </w:t>
      </w:r>
      <w:r>
        <w:rPr>
          <w:lang w:val="en-GB"/>
        </w:rPr>
        <w:t xml:space="preserve">November 24, </w:t>
      </w:r>
      <w:r w:rsidRPr="007E6D47">
        <w:rPr>
          <w:lang w:val="en-GB"/>
        </w:rPr>
        <w:t>2000</w:t>
      </w:r>
    </w:p>
  </w:footnote>
  <w:footnote w:id="60">
    <w:p w:rsidR="00FA77C2" w:rsidRPr="007E6D47" w:rsidRDefault="00FA77C2" w:rsidP="00DC34EF">
      <w:pPr>
        <w:pStyle w:val="FootnoteText"/>
        <w:jc w:val="both"/>
        <w:rPr>
          <w:lang w:val="en-GB"/>
        </w:rPr>
      </w:pPr>
      <w:r w:rsidRPr="007E6D47">
        <w:rPr>
          <w:rStyle w:val="FootnoteReference"/>
          <w:lang w:val="en-GB"/>
        </w:rPr>
        <w:footnoteRef/>
      </w:r>
      <w:r w:rsidRPr="007E6D47">
        <w:rPr>
          <w:lang w:val="en-GB"/>
        </w:rPr>
        <w:t xml:space="preserve"> SEBI circular No. SEBI/HO/IMD/DF2/CIR/P/2016/37 dated </w:t>
      </w:r>
      <w:r>
        <w:rPr>
          <w:lang w:val="en-GB"/>
        </w:rPr>
        <w:t xml:space="preserve">February 25, </w:t>
      </w:r>
      <w:r w:rsidRPr="007E6D47">
        <w:rPr>
          <w:lang w:val="en-GB"/>
        </w:rPr>
        <w:t>2016</w:t>
      </w:r>
    </w:p>
  </w:footnote>
  <w:footnote w:id="61">
    <w:p w:rsidR="00FA77C2" w:rsidRPr="007E6D47" w:rsidRDefault="00FA77C2" w:rsidP="00DC34EF">
      <w:pPr>
        <w:pStyle w:val="FootnoteText"/>
        <w:jc w:val="both"/>
        <w:rPr>
          <w:lang w:val="en-GB"/>
        </w:rPr>
      </w:pPr>
      <w:r w:rsidRPr="007E6D47">
        <w:rPr>
          <w:rStyle w:val="FootnoteReference"/>
          <w:lang w:val="en-GB"/>
        </w:rPr>
        <w:footnoteRef/>
      </w:r>
      <w:r w:rsidRPr="007E6D47">
        <w:rPr>
          <w:lang w:val="en-GB"/>
        </w:rPr>
        <w:t xml:space="preserve"> SEBI circular No. SEBI/HO/IMD/DF3/CIR/P/2019/166 on ‘Investment in units of Mutual Funds in the name of mino</w:t>
      </w:r>
      <w:r>
        <w:rPr>
          <w:lang w:val="en-GB"/>
        </w:rPr>
        <w:t>r</w:t>
      </w:r>
      <w:r w:rsidRPr="007E6D47">
        <w:rPr>
          <w:lang w:val="en-GB"/>
        </w:rPr>
        <w:t xml:space="preserve"> through guardian and ease of process for transmission of units’, dated </w:t>
      </w:r>
      <w:r>
        <w:rPr>
          <w:lang w:val="en-GB"/>
        </w:rPr>
        <w:t xml:space="preserve">December 24, </w:t>
      </w:r>
      <w:r w:rsidRPr="007E6D47">
        <w:rPr>
          <w:lang w:val="en-GB"/>
        </w:rPr>
        <w:t>2019</w:t>
      </w:r>
    </w:p>
  </w:footnote>
  <w:footnote w:id="62">
    <w:p w:rsidR="00FA77C2" w:rsidRPr="00061141" w:rsidRDefault="00FA77C2" w:rsidP="00DC34EF">
      <w:pPr>
        <w:pStyle w:val="FootnoteText"/>
      </w:pPr>
      <w:r>
        <w:rPr>
          <w:rStyle w:val="FootnoteReference"/>
        </w:rPr>
        <w:footnoteRef/>
      </w:r>
      <w:r>
        <w:t xml:space="preserve"> </w:t>
      </w:r>
      <w:r w:rsidRPr="00061141">
        <w:t xml:space="preserve">BSE Ltd., Metropolitan Stock Exchange of India Ltd. and National Stock Exchange of India Ltd.   </w:t>
      </w:r>
    </w:p>
  </w:footnote>
  <w:footnote w:id="63">
    <w:p w:rsidR="00FA77C2" w:rsidRPr="007E6D47" w:rsidRDefault="00FA77C2" w:rsidP="00DC34EF">
      <w:pPr>
        <w:pStyle w:val="FootnoteText"/>
        <w:jc w:val="both"/>
        <w:rPr>
          <w:lang w:val="en-GB"/>
        </w:rPr>
      </w:pPr>
      <w:r w:rsidRPr="007E6D47">
        <w:rPr>
          <w:rStyle w:val="FootnoteReference"/>
          <w:lang w:val="en-GB"/>
        </w:rPr>
        <w:footnoteRef/>
      </w:r>
      <w:r w:rsidRPr="007E6D47">
        <w:rPr>
          <w:lang w:val="en-GB"/>
        </w:rPr>
        <w:t xml:space="preserve"> CSE is covered under the exit scheme for stock exchanges vide SEBI circular CIR/MRD/DSA/14/2012 on Exit Policy for De-recognized / Non-operational Stock Exchanges dated </w:t>
      </w:r>
      <w:r>
        <w:rPr>
          <w:lang w:val="en-GB"/>
        </w:rPr>
        <w:t xml:space="preserve">May 30, </w:t>
      </w:r>
      <w:r w:rsidRPr="007E6D47">
        <w:rPr>
          <w:lang w:val="en-GB"/>
        </w:rPr>
        <w:t xml:space="preserve">2012. However, CSE has appealed and the matter is </w:t>
      </w:r>
      <w:r w:rsidRPr="007E6D47">
        <w:rPr>
          <w:i/>
          <w:iCs/>
          <w:lang w:val="en-GB"/>
        </w:rPr>
        <w:t>sub judice</w:t>
      </w:r>
      <w:r w:rsidRPr="007E6D47">
        <w:rPr>
          <w:lang w:val="en-GB"/>
        </w:rPr>
        <w:t xml:space="preserve">. </w:t>
      </w:r>
    </w:p>
    <w:p w:rsidR="00FA77C2" w:rsidRPr="007E6D47" w:rsidRDefault="00FA77C2" w:rsidP="00DC34EF">
      <w:pPr>
        <w:pStyle w:val="FootnoteText"/>
        <w:rPr>
          <w:lang w:val="en-GB"/>
        </w:rPr>
      </w:pPr>
    </w:p>
  </w:footnote>
  <w:footnote w:id="64">
    <w:p w:rsidR="00FA77C2" w:rsidRPr="00AC02B2" w:rsidRDefault="00FA77C2" w:rsidP="00DC34EF">
      <w:pPr>
        <w:pStyle w:val="FootnoteText"/>
        <w:jc w:val="both"/>
      </w:pPr>
      <w:r>
        <w:rPr>
          <w:rStyle w:val="FootnoteReference"/>
        </w:rPr>
        <w:footnoteRef/>
      </w:r>
      <w:r>
        <w:t xml:space="preserve"> Excluding RTAs handling only MFs, unlisted companies and those yet to commence operations etc. </w:t>
      </w:r>
    </w:p>
  </w:footnote>
  <w:footnote w:id="65">
    <w:p w:rsidR="00FA77C2" w:rsidRPr="00AC02B2" w:rsidRDefault="00FA77C2" w:rsidP="00DC34EF">
      <w:pPr>
        <w:pStyle w:val="FootnoteText"/>
        <w:jc w:val="both"/>
      </w:pPr>
    </w:p>
  </w:footnote>
  <w:footnote w:id="66">
    <w:p w:rsidR="00FA77C2" w:rsidRPr="000F5787" w:rsidRDefault="00FA77C2" w:rsidP="00DC34EF">
      <w:pPr>
        <w:pStyle w:val="FootnoteText"/>
      </w:pPr>
      <w:r>
        <w:rPr>
          <w:rStyle w:val="FootnoteReference"/>
        </w:rPr>
        <w:footnoteRef/>
      </w:r>
      <w:r>
        <w:t xml:space="preserve"> ‘A portfolio bigger that Jhunjhunwala’s, without buying a single share’, Business Standard, October 22, 2018.</w:t>
      </w:r>
    </w:p>
  </w:footnote>
  <w:footnote w:id="67">
    <w:p w:rsidR="00FA77C2" w:rsidRPr="007E6D47" w:rsidRDefault="00FA77C2" w:rsidP="00DC34EF">
      <w:pPr>
        <w:pStyle w:val="FootnoteText"/>
        <w:jc w:val="both"/>
        <w:rPr>
          <w:lang w:val="en-GB"/>
        </w:rPr>
      </w:pPr>
      <w:r w:rsidRPr="007E6D47">
        <w:rPr>
          <w:rStyle w:val="FootnoteReference"/>
          <w:lang w:val="en-GB"/>
        </w:rPr>
        <w:footnoteRef/>
      </w:r>
      <w:r w:rsidRPr="007E6D47">
        <w:rPr>
          <w:lang w:val="en-GB"/>
        </w:rPr>
        <w:t xml:space="preserve"> SEBI circular No. CIR/CFD/DIL/1/2011 on Applications Supported by Blocked Amount (ASBA) facility, dated </w:t>
      </w:r>
      <w:r>
        <w:rPr>
          <w:lang w:val="en-GB"/>
        </w:rPr>
        <w:t xml:space="preserve">April 29, </w:t>
      </w:r>
      <w:r w:rsidRPr="007E6D47">
        <w:rPr>
          <w:lang w:val="en-GB"/>
        </w:rPr>
        <w:t>2011</w:t>
      </w:r>
    </w:p>
  </w:footnote>
  <w:footnote w:id="68">
    <w:p w:rsidR="00FA77C2" w:rsidRPr="007E6D47" w:rsidRDefault="00FA77C2" w:rsidP="00DC34EF">
      <w:pPr>
        <w:pStyle w:val="FootnoteText"/>
        <w:jc w:val="both"/>
        <w:rPr>
          <w:lang w:val="en-GB"/>
        </w:rPr>
      </w:pPr>
      <w:r w:rsidRPr="007E6D47">
        <w:rPr>
          <w:rStyle w:val="FootnoteReference"/>
          <w:lang w:val="en-GB"/>
        </w:rPr>
        <w:footnoteRef/>
      </w:r>
      <w:r w:rsidRPr="007E6D47">
        <w:rPr>
          <w:lang w:val="en-GB"/>
        </w:rPr>
        <w:t xml:space="preserve"> SEBI (Issue of Capital and Disclosure Requirements) (Fifth Amendment) Regulations, 2015 notified on </w:t>
      </w:r>
      <w:r>
        <w:rPr>
          <w:lang w:val="en-GB"/>
        </w:rPr>
        <w:t xml:space="preserve">August 14, </w:t>
      </w:r>
      <w:r w:rsidRPr="007E6D47">
        <w:rPr>
          <w:lang w:val="en-GB"/>
        </w:rPr>
        <w:t>2015</w:t>
      </w:r>
    </w:p>
  </w:footnote>
  <w:footnote w:id="69">
    <w:p w:rsidR="00FA77C2" w:rsidRPr="007E6D47" w:rsidRDefault="00FA77C2" w:rsidP="00DC34EF">
      <w:pPr>
        <w:pStyle w:val="FootnoteText"/>
        <w:jc w:val="both"/>
        <w:rPr>
          <w:lang w:val="en-GB"/>
        </w:rPr>
      </w:pPr>
      <w:r w:rsidRPr="007E6D47">
        <w:rPr>
          <w:rStyle w:val="FootnoteReference"/>
          <w:lang w:val="en-GB"/>
        </w:rPr>
        <w:footnoteRef/>
      </w:r>
      <w:r w:rsidRPr="007E6D47">
        <w:rPr>
          <w:lang w:val="en-GB"/>
        </w:rPr>
        <w:t xml:space="preserve"> Clause 1.1.5 of SEBI circular No. CIR/DIL2/CIR/P/2020/13 on Streamlining the Process of Rights Issue, dated </w:t>
      </w:r>
      <w:r>
        <w:rPr>
          <w:lang w:val="en-GB"/>
        </w:rPr>
        <w:t xml:space="preserve">January 22, </w:t>
      </w:r>
      <w:r w:rsidRPr="007E6D47">
        <w:rPr>
          <w:lang w:val="en-GB"/>
        </w:rPr>
        <w:t>2020</w:t>
      </w:r>
    </w:p>
  </w:footnote>
  <w:footnote w:id="70">
    <w:p w:rsidR="00FA77C2" w:rsidRPr="007E6D47" w:rsidRDefault="00FA77C2" w:rsidP="00DC34EF">
      <w:pPr>
        <w:pStyle w:val="FootnoteText"/>
        <w:jc w:val="both"/>
        <w:rPr>
          <w:lang w:val="en-GB"/>
        </w:rPr>
      </w:pPr>
      <w:r w:rsidRPr="007E6D47">
        <w:rPr>
          <w:rStyle w:val="FootnoteReference"/>
          <w:lang w:val="en-GB"/>
        </w:rPr>
        <w:footnoteRef/>
      </w:r>
      <w:r w:rsidRPr="007E6D47">
        <w:rPr>
          <w:lang w:val="en-GB"/>
        </w:rPr>
        <w:t xml:space="preserve"> Section 68 B of Companies Act, 1956, inserted by the Companies (Amendment) Act, 2000</w:t>
      </w:r>
    </w:p>
  </w:footnote>
  <w:footnote w:id="71">
    <w:p w:rsidR="00FA77C2" w:rsidRPr="007E6D47" w:rsidRDefault="00FA77C2" w:rsidP="00DC34EF">
      <w:pPr>
        <w:pStyle w:val="FootnoteText"/>
        <w:jc w:val="both"/>
        <w:rPr>
          <w:lang w:val="en-GB"/>
        </w:rPr>
      </w:pPr>
      <w:r w:rsidRPr="007E6D47">
        <w:rPr>
          <w:rStyle w:val="FootnoteReference"/>
          <w:lang w:val="en-GB"/>
        </w:rPr>
        <w:footnoteRef/>
      </w:r>
      <w:r w:rsidRPr="007E6D47">
        <w:rPr>
          <w:lang w:val="en-GB"/>
        </w:rPr>
        <w:t xml:space="preserve"> Section 29 of Companies Act, 2013</w:t>
      </w:r>
    </w:p>
  </w:footnote>
  <w:footnote w:id="72">
    <w:p w:rsidR="00FA77C2" w:rsidRPr="007E6D47" w:rsidRDefault="00FA77C2" w:rsidP="00DC34EF">
      <w:pPr>
        <w:pStyle w:val="FootnoteText"/>
        <w:jc w:val="both"/>
        <w:rPr>
          <w:lang w:val="en-GB"/>
        </w:rPr>
      </w:pPr>
      <w:r w:rsidRPr="007E6D47">
        <w:rPr>
          <w:rStyle w:val="FootnoteReference"/>
          <w:lang w:val="en-GB"/>
        </w:rPr>
        <w:footnoteRef/>
      </w:r>
      <w:r w:rsidRPr="007E6D47">
        <w:rPr>
          <w:lang w:val="en-GB"/>
        </w:rPr>
        <w:t xml:space="preserve"> Regulation 77 A of ICDR, inserted w.e.f. </w:t>
      </w:r>
      <w:r>
        <w:rPr>
          <w:lang w:val="en-GB"/>
        </w:rPr>
        <w:t xml:space="preserve">December 26, </w:t>
      </w:r>
      <w:r w:rsidRPr="007E6D47">
        <w:rPr>
          <w:lang w:val="en-GB"/>
        </w:rPr>
        <w:t xml:space="preserve">2019 vide SEBI (Issue of Capital and Disclosure Requirements) (Sixth Amendment) Regulations, r/w Regulation 2 (1) (eee) of ICDR and is applicable for draft / abridged / letter of offer, filed on or after this date. </w:t>
      </w:r>
    </w:p>
  </w:footnote>
  <w:footnote w:id="73">
    <w:p w:rsidR="00FA77C2" w:rsidRPr="00097CF5" w:rsidRDefault="00FA77C2" w:rsidP="00DC34EF">
      <w:pPr>
        <w:pStyle w:val="FootnoteText"/>
        <w:jc w:val="both"/>
      </w:pPr>
      <w:r>
        <w:rPr>
          <w:rStyle w:val="FootnoteReference"/>
        </w:rPr>
        <w:footnoteRef/>
      </w:r>
      <w:r>
        <w:t xml:space="preserve"> </w:t>
      </w:r>
      <w:r w:rsidRPr="009A4E68">
        <w:t>Chapter, ‘Data’, gives</w:t>
      </w:r>
      <w:r>
        <w:t xml:space="preserve"> details in this regard </w:t>
      </w:r>
    </w:p>
  </w:footnote>
  <w:footnote w:id="74">
    <w:p w:rsidR="00FA77C2" w:rsidRPr="007E6D47" w:rsidRDefault="00FA77C2" w:rsidP="00DC34EF">
      <w:pPr>
        <w:pStyle w:val="FootnoteText"/>
        <w:jc w:val="both"/>
        <w:rPr>
          <w:lang w:val="en-GB"/>
        </w:rPr>
      </w:pPr>
      <w:r w:rsidRPr="007E6D47">
        <w:rPr>
          <w:rStyle w:val="FootnoteReference"/>
          <w:lang w:val="en-GB"/>
        </w:rPr>
        <w:footnoteRef/>
      </w:r>
      <w:r w:rsidRPr="007E6D47">
        <w:rPr>
          <w:lang w:val="en-GB"/>
        </w:rPr>
        <w:t xml:space="preserve"> SEBI (Buy-back of Securities) (Amendment) Regulations, 2015, SEBI (Delisting of Equity Shares) (Amendment) Regulations, 2015 and SEBI (Substantial Acquisition of Shares and Takeovers) (Amendment) Regulations, 2015, notified in the Gazette on 24.03.2015.</w:t>
      </w:r>
    </w:p>
  </w:footnote>
  <w:footnote w:id="75">
    <w:p w:rsidR="00FA77C2" w:rsidRPr="007E6D47" w:rsidRDefault="00FA77C2" w:rsidP="00DC34EF">
      <w:pPr>
        <w:pStyle w:val="FootnoteText"/>
        <w:jc w:val="both"/>
        <w:rPr>
          <w:lang w:val="en-GB"/>
        </w:rPr>
      </w:pPr>
      <w:r w:rsidRPr="007E6D47">
        <w:rPr>
          <w:rStyle w:val="FootnoteReference"/>
          <w:lang w:val="en-GB"/>
        </w:rPr>
        <w:footnoteRef/>
      </w:r>
      <w:r w:rsidRPr="007E6D47">
        <w:rPr>
          <w:lang w:val="en-GB"/>
        </w:rPr>
        <w:t xml:space="preserve"> SEBI circular No. CIR/CFD/POLICYCELL/1/2015 on Mechanism for acquisition of shares through Stock Exchange pursuant to Tender-Offers under Takeovers, Buy Back and Delisting, dated 13.05.2015.</w:t>
      </w:r>
    </w:p>
  </w:footnote>
  <w:footnote w:id="76">
    <w:p w:rsidR="00FA77C2" w:rsidRPr="007E6D47" w:rsidRDefault="00FA77C2" w:rsidP="00DC34EF">
      <w:pPr>
        <w:pStyle w:val="FootnoteText"/>
        <w:jc w:val="both"/>
        <w:rPr>
          <w:lang w:val="en-GB"/>
        </w:rPr>
      </w:pPr>
      <w:r w:rsidRPr="007E6D47">
        <w:rPr>
          <w:rStyle w:val="FootnoteReference"/>
          <w:lang w:val="en-GB"/>
        </w:rPr>
        <w:footnoteRef/>
      </w:r>
      <w:r w:rsidRPr="007E6D47">
        <w:rPr>
          <w:lang w:val="en-GB"/>
        </w:rPr>
        <w:t xml:space="preserve"> SEBI circular CFD/DCR2/CIR/P/2016/131 on Streamlining the Process for Acquisition of Shares pursuant to Tender-Offers made for Takeovers, Buy Back and Delisting of Securities, dated 09.12.2016</w:t>
      </w:r>
    </w:p>
  </w:footnote>
  <w:footnote w:id="77">
    <w:p w:rsidR="00FA77C2" w:rsidRPr="006E72E5" w:rsidRDefault="00FA77C2" w:rsidP="00DC34EF">
      <w:pPr>
        <w:jc w:val="both"/>
        <w:rPr>
          <w:sz w:val="20"/>
          <w:szCs w:val="20"/>
          <w:lang w:val="en-US"/>
        </w:rPr>
      </w:pPr>
      <w:r>
        <w:rPr>
          <w:rStyle w:val="FootnoteReference"/>
        </w:rPr>
        <w:footnoteRef/>
      </w:r>
      <w:r>
        <w:t xml:space="preserve"> </w:t>
      </w:r>
      <w:r w:rsidRPr="003B166C">
        <w:rPr>
          <w:rFonts w:ascii="Garamond" w:hAnsi="Garamond"/>
          <w:b/>
          <w:bCs/>
          <w:sz w:val="22"/>
          <w:szCs w:val="22"/>
          <w:lang w:val="en-US"/>
        </w:rPr>
        <w:t>Source:</w:t>
      </w:r>
      <w:r w:rsidRPr="003B166C">
        <w:rPr>
          <w:rFonts w:ascii="Garamond" w:hAnsi="Garamond"/>
          <w:sz w:val="22"/>
          <w:szCs w:val="22"/>
          <w:lang w:val="en-US"/>
        </w:rPr>
        <w:t xml:space="preserve"> NSE website (web link -  </w:t>
      </w:r>
      <w:hyperlink r:id="rId1" w:history="1">
        <w:r w:rsidRPr="003B166C">
          <w:rPr>
            <w:rStyle w:val="Hyperlink"/>
            <w:rFonts w:ascii="Garamond" w:hAnsi="Garamond"/>
            <w:sz w:val="22"/>
            <w:szCs w:val="22"/>
          </w:rPr>
          <w:t>https://www1.nseindia.com/live_market/content/live_watch/tender_offer/tender_offer.htm</w:t>
        </w:r>
      </w:hyperlink>
      <w:r w:rsidRPr="003B166C">
        <w:rPr>
          <w:rFonts w:ascii="Garamond" w:hAnsi="Garamond"/>
          <w:color w:val="1F497D"/>
          <w:sz w:val="22"/>
          <w:szCs w:val="22"/>
        </w:rPr>
        <w:t xml:space="preserve"> ). </w:t>
      </w:r>
      <w:r w:rsidRPr="003B166C">
        <w:rPr>
          <w:rFonts w:ascii="Garamond" w:hAnsi="Garamond"/>
          <w:sz w:val="22"/>
          <w:szCs w:val="22"/>
          <w:lang w:val="en-US"/>
        </w:rPr>
        <w:t>The limitation pertaining to this data is covered in the chapter, ‘Data’.</w:t>
      </w:r>
    </w:p>
  </w:footnote>
  <w:footnote w:id="78">
    <w:p w:rsidR="00FA77C2" w:rsidRPr="005B5517" w:rsidRDefault="00FA77C2" w:rsidP="00D23F20">
      <w:pPr>
        <w:pStyle w:val="FootnoteText"/>
        <w:rPr>
          <w:rFonts w:ascii="Palatino Linotype" w:hAnsi="Palatino Linotype"/>
          <w:i/>
          <w:lang w:val="en-IN"/>
        </w:rPr>
      </w:pPr>
      <w:r w:rsidRPr="005B5517">
        <w:rPr>
          <w:rStyle w:val="FootnoteReference"/>
          <w:rFonts w:ascii="Palatino Linotype" w:hAnsi="Palatino Linotype"/>
          <w:i/>
        </w:rPr>
        <w:footnoteRef/>
      </w:r>
      <w:r w:rsidRPr="005B5517">
        <w:rPr>
          <w:rFonts w:ascii="Palatino Linotype" w:hAnsi="Palatino Linotype"/>
          <w:i/>
        </w:rPr>
        <w:t xml:space="preserve"> In case of close ended schemes, at the time of maturity, AMC repurchases </w:t>
      </w:r>
      <w:r>
        <w:rPr>
          <w:rFonts w:ascii="Palatino Linotype" w:hAnsi="Palatino Linotype"/>
          <w:i/>
        </w:rPr>
        <w:t>the</w:t>
      </w:r>
      <w:r w:rsidRPr="005B5517">
        <w:rPr>
          <w:rFonts w:ascii="Palatino Linotype" w:hAnsi="Palatino Linotype"/>
          <w:i/>
        </w:rPr>
        <w:t xml:space="preserve"> units.</w:t>
      </w:r>
    </w:p>
  </w:footnote>
  <w:footnote w:id="79">
    <w:p w:rsidR="000C6BCB" w:rsidRDefault="000C6BCB" w:rsidP="000C6BCB">
      <w:pPr>
        <w:pStyle w:val="FootnoteText"/>
      </w:pPr>
      <w:r>
        <w:rPr>
          <w:rStyle w:val="FootnoteReference"/>
        </w:rPr>
        <w:footnoteRef/>
      </w:r>
      <w:r>
        <w:t xml:space="preserve"> </w:t>
      </w:r>
      <w:r w:rsidRPr="000D159E">
        <w:t>USA, USA, France, Germany, UK, Hong Kong</w:t>
      </w:r>
      <w:r>
        <w:t>, South Korea, Japan, Singapore and</w:t>
      </w:r>
      <w:r w:rsidRPr="000D159E">
        <w:t xml:space="preserve"> Taiwan</w:t>
      </w:r>
    </w:p>
  </w:footnote>
  <w:footnote w:id="80">
    <w:p w:rsidR="00FA77C2" w:rsidRDefault="00FA77C2" w:rsidP="003B453C">
      <w:pPr>
        <w:pStyle w:val="FootnoteText"/>
      </w:pPr>
      <w:r>
        <w:rPr>
          <w:rStyle w:val="FootnoteReference"/>
        </w:rPr>
        <w:footnoteRef/>
      </w:r>
      <w:r>
        <w:t xml:space="preserve"> US, UK, Germany, Spain, Japan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7C2" w:rsidRDefault="00FA77C2">
    <w:pPr>
      <w:pStyle w:val="Header"/>
    </w:pPr>
  </w:p>
  <w:p w:rsidR="00FA77C2" w:rsidRDefault="00FA77C2"/>
  <w:p w:rsidR="00FA77C2" w:rsidRDefault="00FA77C2"/>
  <w:p w:rsidR="00FA77C2" w:rsidRDefault="00FA77C2"/>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7C2" w:rsidRDefault="00FA77C2">
    <w:pPr>
      <w:pStyle w:val="Header"/>
    </w:pPr>
  </w:p>
  <w:p w:rsidR="00FA77C2" w:rsidRDefault="00FA77C2"/>
  <w:p w:rsidR="00FA77C2" w:rsidRDefault="00FA77C2"/>
  <w:p w:rsidR="00FA77C2" w:rsidRDefault="00FA77C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D"/>
    <w:multiLevelType w:val="hybridMultilevel"/>
    <w:tmpl w:val="61067A92"/>
    <w:lvl w:ilvl="0" w:tplc="A2BA30F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000019"/>
    <w:multiLevelType w:val="multilevel"/>
    <w:tmpl w:val="396D53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000022"/>
    <w:multiLevelType w:val="multilevel"/>
    <w:tmpl w:val="4FE373B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08064DE"/>
    <w:multiLevelType w:val="hybridMultilevel"/>
    <w:tmpl w:val="E1B0C96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11368B8"/>
    <w:multiLevelType w:val="hybridMultilevel"/>
    <w:tmpl w:val="80BE703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05CC0AEE"/>
    <w:multiLevelType w:val="hybridMultilevel"/>
    <w:tmpl w:val="ADCC02E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15:restartNumberingAfterBreak="0">
    <w:nsid w:val="09C45371"/>
    <w:multiLevelType w:val="multilevel"/>
    <w:tmpl w:val="9B8243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AE94C1A"/>
    <w:multiLevelType w:val="hybridMultilevel"/>
    <w:tmpl w:val="9D66DAD6"/>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7C078F"/>
    <w:multiLevelType w:val="hybridMultilevel"/>
    <w:tmpl w:val="3D44BBC2"/>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15:restartNumberingAfterBreak="0">
    <w:nsid w:val="0FFD16E1"/>
    <w:multiLevelType w:val="multilevel"/>
    <w:tmpl w:val="B800761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50E755B"/>
    <w:multiLevelType w:val="hybridMultilevel"/>
    <w:tmpl w:val="00DEB74E"/>
    <w:lvl w:ilvl="0" w:tplc="40090001">
      <w:start w:val="1"/>
      <w:numFmt w:val="bullet"/>
      <w:lvlText w:val=""/>
      <w:lvlJc w:val="left"/>
      <w:pPr>
        <w:ind w:left="1584" w:hanging="360"/>
      </w:pPr>
      <w:rPr>
        <w:rFonts w:ascii="Symbol" w:hAnsi="Symbol" w:hint="default"/>
      </w:rPr>
    </w:lvl>
    <w:lvl w:ilvl="1" w:tplc="40090003" w:tentative="1">
      <w:start w:val="1"/>
      <w:numFmt w:val="bullet"/>
      <w:lvlText w:val="o"/>
      <w:lvlJc w:val="left"/>
      <w:pPr>
        <w:ind w:left="2304" w:hanging="360"/>
      </w:pPr>
      <w:rPr>
        <w:rFonts w:ascii="Courier New" w:hAnsi="Courier New" w:cs="Courier New" w:hint="default"/>
      </w:rPr>
    </w:lvl>
    <w:lvl w:ilvl="2" w:tplc="40090005" w:tentative="1">
      <w:start w:val="1"/>
      <w:numFmt w:val="bullet"/>
      <w:lvlText w:val=""/>
      <w:lvlJc w:val="left"/>
      <w:pPr>
        <w:ind w:left="3024" w:hanging="360"/>
      </w:pPr>
      <w:rPr>
        <w:rFonts w:ascii="Wingdings" w:hAnsi="Wingdings" w:hint="default"/>
      </w:rPr>
    </w:lvl>
    <w:lvl w:ilvl="3" w:tplc="40090001" w:tentative="1">
      <w:start w:val="1"/>
      <w:numFmt w:val="bullet"/>
      <w:lvlText w:val=""/>
      <w:lvlJc w:val="left"/>
      <w:pPr>
        <w:ind w:left="3744" w:hanging="360"/>
      </w:pPr>
      <w:rPr>
        <w:rFonts w:ascii="Symbol" w:hAnsi="Symbol" w:hint="default"/>
      </w:rPr>
    </w:lvl>
    <w:lvl w:ilvl="4" w:tplc="40090003" w:tentative="1">
      <w:start w:val="1"/>
      <w:numFmt w:val="bullet"/>
      <w:lvlText w:val="o"/>
      <w:lvlJc w:val="left"/>
      <w:pPr>
        <w:ind w:left="4464" w:hanging="360"/>
      </w:pPr>
      <w:rPr>
        <w:rFonts w:ascii="Courier New" w:hAnsi="Courier New" w:cs="Courier New" w:hint="default"/>
      </w:rPr>
    </w:lvl>
    <w:lvl w:ilvl="5" w:tplc="40090005" w:tentative="1">
      <w:start w:val="1"/>
      <w:numFmt w:val="bullet"/>
      <w:lvlText w:val=""/>
      <w:lvlJc w:val="left"/>
      <w:pPr>
        <w:ind w:left="5184" w:hanging="360"/>
      </w:pPr>
      <w:rPr>
        <w:rFonts w:ascii="Wingdings" w:hAnsi="Wingdings" w:hint="default"/>
      </w:rPr>
    </w:lvl>
    <w:lvl w:ilvl="6" w:tplc="40090001" w:tentative="1">
      <w:start w:val="1"/>
      <w:numFmt w:val="bullet"/>
      <w:lvlText w:val=""/>
      <w:lvlJc w:val="left"/>
      <w:pPr>
        <w:ind w:left="5904" w:hanging="360"/>
      </w:pPr>
      <w:rPr>
        <w:rFonts w:ascii="Symbol" w:hAnsi="Symbol" w:hint="default"/>
      </w:rPr>
    </w:lvl>
    <w:lvl w:ilvl="7" w:tplc="40090003" w:tentative="1">
      <w:start w:val="1"/>
      <w:numFmt w:val="bullet"/>
      <w:lvlText w:val="o"/>
      <w:lvlJc w:val="left"/>
      <w:pPr>
        <w:ind w:left="6624" w:hanging="360"/>
      </w:pPr>
      <w:rPr>
        <w:rFonts w:ascii="Courier New" w:hAnsi="Courier New" w:cs="Courier New" w:hint="default"/>
      </w:rPr>
    </w:lvl>
    <w:lvl w:ilvl="8" w:tplc="40090005" w:tentative="1">
      <w:start w:val="1"/>
      <w:numFmt w:val="bullet"/>
      <w:lvlText w:val=""/>
      <w:lvlJc w:val="left"/>
      <w:pPr>
        <w:ind w:left="7344" w:hanging="360"/>
      </w:pPr>
      <w:rPr>
        <w:rFonts w:ascii="Wingdings" w:hAnsi="Wingdings" w:hint="default"/>
      </w:rPr>
    </w:lvl>
  </w:abstractNum>
  <w:abstractNum w:abstractNumId="11" w15:restartNumberingAfterBreak="0">
    <w:nsid w:val="195331BD"/>
    <w:multiLevelType w:val="hybridMultilevel"/>
    <w:tmpl w:val="61067A92"/>
    <w:lvl w:ilvl="0" w:tplc="A2BA30F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CB45C15"/>
    <w:multiLevelType w:val="hybridMultilevel"/>
    <w:tmpl w:val="26D0858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DC12AEF"/>
    <w:multiLevelType w:val="hybridMultilevel"/>
    <w:tmpl w:val="870C7850"/>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4" w15:restartNumberingAfterBreak="0">
    <w:nsid w:val="1F8C7E25"/>
    <w:multiLevelType w:val="hybridMultilevel"/>
    <w:tmpl w:val="42F41A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420D67"/>
    <w:multiLevelType w:val="multilevel"/>
    <w:tmpl w:val="B7105E1C"/>
    <w:lvl w:ilvl="0">
      <w:start w:val="1"/>
      <w:numFmt w:val="upperLetter"/>
      <w:lvlText w:val="%1."/>
      <w:lvlJc w:val="left"/>
      <w:pPr>
        <w:ind w:left="360" w:hanging="360"/>
      </w:pPr>
      <w:rPr>
        <w:color w:val="000000"/>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92765E4"/>
    <w:multiLevelType w:val="hybridMultilevel"/>
    <w:tmpl w:val="76E8154C"/>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7" w15:restartNumberingAfterBreak="0">
    <w:nsid w:val="2E426874"/>
    <w:multiLevelType w:val="multilevel"/>
    <w:tmpl w:val="D058536A"/>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9CF6A57"/>
    <w:multiLevelType w:val="multilevel"/>
    <w:tmpl w:val="31342868"/>
    <w:lvl w:ilvl="0">
      <w:start w:val="4"/>
      <w:numFmt w:val="upperRoman"/>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rPr>
    </w:lvl>
    <w:lvl w:ilvl="2">
      <w:start w:val="1"/>
      <w:numFmt w:val="decimal"/>
      <w:lvlText w:val="%2.%3."/>
      <w:lvlJc w:val="left"/>
      <w:pPr>
        <w:ind w:left="1224" w:hanging="504"/>
      </w:pPr>
      <w:rPr>
        <w:rFonts w:hint="default"/>
      </w:rPr>
    </w:lvl>
    <w:lvl w:ilvl="3">
      <w:start w:val="1"/>
      <w:numFmt w:val="decimal"/>
      <w:lvlText w:val="%2.%3.%4."/>
      <w:lvlJc w:val="left"/>
      <w:pPr>
        <w:ind w:left="1728" w:hanging="648"/>
      </w:pPr>
      <w:rPr>
        <w:rFonts w:hint="default"/>
        <w:b w:val="0"/>
      </w:rPr>
    </w:lvl>
    <w:lvl w:ilvl="4">
      <w:start w:val="1"/>
      <w:numFmt w:val="decimal"/>
      <w:lvlText w:val="%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1D01991"/>
    <w:multiLevelType w:val="multilevel"/>
    <w:tmpl w:val="0F9AD6D0"/>
    <w:lvl w:ilvl="0">
      <w:start w:val="3"/>
      <w:numFmt w:val="upperRoman"/>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2.%3."/>
      <w:lvlJc w:val="left"/>
      <w:pPr>
        <w:ind w:left="1224" w:hanging="504"/>
      </w:pPr>
      <w:rPr>
        <w:rFonts w:hint="default"/>
      </w:rPr>
    </w:lvl>
    <w:lvl w:ilvl="3">
      <w:start w:val="1"/>
      <w:numFmt w:val="decimal"/>
      <w:lvlText w:val="%2.%3.%4."/>
      <w:lvlJc w:val="left"/>
      <w:pPr>
        <w:ind w:left="1728" w:hanging="648"/>
      </w:pPr>
      <w:rPr>
        <w:rFonts w:hint="default"/>
        <w:b w:val="0"/>
      </w:rPr>
    </w:lvl>
    <w:lvl w:ilvl="4">
      <w:start w:val="1"/>
      <w:numFmt w:val="decimal"/>
      <w:lvlText w:val="%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46F0E12"/>
    <w:multiLevelType w:val="hybridMultilevel"/>
    <w:tmpl w:val="EEAE40C8"/>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4F65963"/>
    <w:multiLevelType w:val="hybridMultilevel"/>
    <w:tmpl w:val="583A31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1185EAC"/>
    <w:multiLevelType w:val="hybridMultilevel"/>
    <w:tmpl w:val="5080CE36"/>
    <w:lvl w:ilvl="0" w:tplc="40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B7380D"/>
    <w:multiLevelType w:val="hybridMultilevel"/>
    <w:tmpl w:val="2A6CE9AE"/>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4" w15:restartNumberingAfterBreak="0">
    <w:nsid w:val="5B062FF1"/>
    <w:multiLevelType w:val="hybridMultilevel"/>
    <w:tmpl w:val="3F3066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5F4E711A"/>
    <w:multiLevelType w:val="multilevel"/>
    <w:tmpl w:val="A6741A6C"/>
    <w:lvl w:ilvl="0">
      <w:start w:val="1"/>
      <w:numFmt w:val="upperRoman"/>
      <w:lvlText w:val="%1."/>
      <w:lvlJc w:val="righ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6225236"/>
    <w:multiLevelType w:val="hybridMultilevel"/>
    <w:tmpl w:val="4310336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7" w15:restartNumberingAfterBreak="0">
    <w:nsid w:val="77B05D50"/>
    <w:multiLevelType w:val="hybridMultilevel"/>
    <w:tmpl w:val="FC10A20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8" w15:restartNumberingAfterBreak="0">
    <w:nsid w:val="7A8210A3"/>
    <w:multiLevelType w:val="hybridMultilevel"/>
    <w:tmpl w:val="D914549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abstractNumId w:val="6"/>
  </w:num>
  <w:num w:numId="2">
    <w:abstractNumId w:val="25"/>
  </w:num>
  <w:num w:numId="3">
    <w:abstractNumId w:val="9"/>
  </w:num>
  <w:num w:numId="4">
    <w:abstractNumId w:val="15"/>
  </w:num>
  <w:num w:numId="5">
    <w:abstractNumId w:val="12"/>
  </w:num>
  <w:num w:numId="6">
    <w:abstractNumId w:val="24"/>
  </w:num>
  <w:num w:numId="7">
    <w:abstractNumId w:val="11"/>
  </w:num>
  <w:num w:numId="8">
    <w:abstractNumId w:val="0"/>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16"/>
  </w:num>
  <w:num w:numId="12">
    <w:abstractNumId w:val="2"/>
  </w:num>
  <w:num w:numId="13">
    <w:abstractNumId w:val="3"/>
  </w:num>
  <w:num w:numId="14">
    <w:abstractNumId w:val="14"/>
  </w:num>
  <w:num w:numId="15">
    <w:abstractNumId w:val="7"/>
  </w:num>
  <w:num w:numId="16">
    <w:abstractNumId w:val="22"/>
  </w:num>
  <w:num w:numId="17">
    <w:abstractNumId w:val="17"/>
  </w:num>
  <w:num w:numId="18">
    <w:abstractNumId w:val="5"/>
  </w:num>
  <w:num w:numId="19">
    <w:abstractNumId w:val="8"/>
  </w:num>
  <w:num w:numId="20">
    <w:abstractNumId w:val="23"/>
  </w:num>
  <w:num w:numId="21">
    <w:abstractNumId w:val="4"/>
  </w:num>
  <w:num w:numId="22">
    <w:abstractNumId w:val="27"/>
  </w:num>
  <w:num w:numId="23">
    <w:abstractNumId w:val="13"/>
  </w:num>
  <w:num w:numId="24">
    <w:abstractNumId w:val="17"/>
    <w:lvlOverride w:ilvl="0">
      <w:lvl w:ilvl="0">
        <w:start w:val="1"/>
        <w:numFmt w:val="upperRoman"/>
        <w:lvlText w:val="%1."/>
        <w:lvlJc w:val="left"/>
        <w:pPr>
          <w:ind w:left="360" w:hanging="360"/>
        </w:pPr>
        <w:rPr>
          <w:rFonts w:hint="default"/>
          <w:b/>
          <w:bCs/>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2.%3."/>
        <w:lvlJc w:val="left"/>
        <w:pPr>
          <w:ind w:left="1224" w:hanging="504"/>
        </w:pPr>
        <w:rPr>
          <w:rFonts w:hint="default"/>
        </w:rPr>
      </w:lvl>
    </w:lvlOverride>
    <w:lvlOverride w:ilvl="3">
      <w:lvl w:ilvl="3">
        <w:start w:val="1"/>
        <w:numFmt w:val="decimal"/>
        <w:lvlText w:val="%2.%3.%4."/>
        <w:lvlJc w:val="left"/>
        <w:pPr>
          <w:ind w:left="1728" w:hanging="648"/>
        </w:pPr>
        <w:rPr>
          <w:rFonts w:hint="default"/>
          <w:b w:val="0"/>
        </w:rPr>
      </w:lvl>
    </w:lvlOverride>
    <w:lvlOverride w:ilvl="4">
      <w:lvl w:ilvl="4">
        <w:start w:val="1"/>
        <w:numFmt w:val="decimal"/>
        <w:lvlText w:val="%2.%3.%4.%5."/>
        <w:lvlJc w:val="left"/>
        <w:pPr>
          <w:ind w:left="2232" w:hanging="792"/>
        </w:pPr>
        <w:rPr>
          <w:rFonts w:hint="default"/>
          <w:b w:val="0"/>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
    <w:abstractNumId w:val="19"/>
  </w:num>
  <w:num w:numId="26">
    <w:abstractNumId w:val="10"/>
  </w:num>
  <w:num w:numId="27">
    <w:abstractNumId w:val="26"/>
  </w:num>
  <w:num w:numId="28">
    <w:abstractNumId w:val="20"/>
  </w:num>
  <w:num w:numId="29">
    <w:abstractNumId w:val="18"/>
  </w:num>
  <w:num w:numId="30">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97C"/>
    <w:rsid w:val="00000718"/>
    <w:rsid w:val="00000F02"/>
    <w:rsid w:val="00001102"/>
    <w:rsid w:val="000012F5"/>
    <w:rsid w:val="0000238B"/>
    <w:rsid w:val="00002F15"/>
    <w:rsid w:val="000052BB"/>
    <w:rsid w:val="00005830"/>
    <w:rsid w:val="00011F8C"/>
    <w:rsid w:val="000129F5"/>
    <w:rsid w:val="00012FAA"/>
    <w:rsid w:val="000133EA"/>
    <w:rsid w:val="00013A01"/>
    <w:rsid w:val="00013BA3"/>
    <w:rsid w:val="000145C6"/>
    <w:rsid w:val="000161B3"/>
    <w:rsid w:val="000174DC"/>
    <w:rsid w:val="000211A2"/>
    <w:rsid w:val="000216DD"/>
    <w:rsid w:val="00022868"/>
    <w:rsid w:val="000243DB"/>
    <w:rsid w:val="000243E1"/>
    <w:rsid w:val="000254CD"/>
    <w:rsid w:val="000256C7"/>
    <w:rsid w:val="00026D29"/>
    <w:rsid w:val="0003061B"/>
    <w:rsid w:val="000346B6"/>
    <w:rsid w:val="00034DE0"/>
    <w:rsid w:val="00035307"/>
    <w:rsid w:val="00035948"/>
    <w:rsid w:val="00035951"/>
    <w:rsid w:val="00035F8D"/>
    <w:rsid w:val="0003625D"/>
    <w:rsid w:val="00041691"/>
    <w:rsid w:val="00041693"/>
    <w:rsid w:val="00043C9A"/>
    <w:rsid w:val="00043F40"/>
    <w:rsid w:val="00045903"/>
    <w:rsid w:val="00045B3E"/>
    <w:rsid w:val="00046401"/>
    <w:rsid w:val="00046A06"/>
    <w:rsid w:val="00047581"/>
    <w:rsid w:val="000475E7"/>
    <w:rsid w:val="00047715"/>
    <w:rsid w:val="000507E2"/>
    <w:rsid w:val="00050DB7"/>
    <w:rsid w:val="00053B79"/>
    <w:rsid w:val="00055162"/>
    <w:rsid w:val="000556EC"/>
    <w:rsid w:val="000577B9"/>
    <w:rsid w:val="00057D3C"/>
    <w:rsid w:val="00062D7C"/>
    <w:rsid w:val="00062F4A"/>
    <w:rsid w:val="00063FF5"/>
    <w:rsid w:val="00065CF0"/>
    <w:rsid w:val="00065E8C"/>
    <w:rsid w:val="00066531"/>
    <w:rsid w:val="000702D1"/>
    <w:rsid w:val="00071658"/>
    <w:rsid w:val="0007274D"/>
    <w:rsid w:val="000730EC"/>
    <w:rsid w:val="0007312C"/>
    <w:rsid w:val="00073DF2"/>
    <w:rsid w:val="00074803"/>
    <w:rsid w:val="00074BD8"/>
    <w:rsid w:val="00075391"/>
    <w:rsid w:val="0007759D"/>
    <w:rsid w:val="00077C1C"/>
    <w:rsid w:val="00080500"/>
    <w:rsid w:val="00081D7A"/>
    <w:rsid w:val="00082028"/>
    <w:rsid w:val="00082CA8"/>
    <w:rsid w:val="00084083"/>
    <w:rsid w:val="0008421C"/>
    <w:rsid w:val="000847BB"/>
    <w:rsid w:val="00084FB3"/>
    <w:rsid w:val="000859EF"/>
    <w:rsid w:val="00085A8E"/>
    <w:rsid w:val="0008687B"/>
    <w:rsid w:val="00086BF6"/>
    <w:rsid w:val="00087232"/>
    <w:rsid w:val="00087B33"/>
    <w:rsid w:val="00090A9B"/>
    <w:rsid w:val="00090DEF"/>
    <w:rsid w:val="00091168"/>
    <w:rsid w:val="00091E37"/>
    <w:rsid w:val="000920E5"/>
    <w:rsid w:val="00092887"/>
    <w:rsid w:val="000946C2"/>
    <w:rsid w:val="000960B9"/>
    <w:rsid w:val="0009614C"/>
    <w:rsid w:val="0009638E"/>
    <w:rsid w:val="00096468"/>
    <w:rsid w:val="00096C8C"/>
    <w:rsid w:val="000A047F"/>
    <w:rsid w:val="000A0816"/>
    <w:rsid w:val="000A142F"/>
    <w:rsid w:val="000A19FF"/>
    <w:rsid w:val="000A2F76"/>
    <w:rsid w:val="000A34B6"/>
    <w:rsid w:val="000A37CE"/>
    <w:rsid w:val="000A47E6"/>
    <w:rsid w:val="000A4D70"/>
    <w:rsid w:val="000A56AA"/>
    <w:rsid w:val="000A7141"/>
    <w:rsid w:val="000B0A37"/>
    <w:rsid w:val="000B0DD6"/>
    <w:rsid w:val="000B27CD"/>
    <w:rsid w:val="000B2BC5"/>
    <w:rsid w:val="000B4450"/>
    <w:rsid w:val="000B5449"/>
    <w:rsid w:val="000B5935"/>
    <w:rsid w:val="000B6B00"/>
    <w:rsid w:val="000B7BC0"/>
    <w:rsid w:val="000B7FBD"/>
    <w:rsid w:val="000C02A3"/>
    <w:rsid w:val="000C0C5B"/>
    <w:rsid w:val="000C1CD7"/>
    <w:rsid w:val="000C1D79"/>
    <w:rsid w:val="000C1EA0"/>
    <w:rsid w:val="000C2077"/>
    <w:rsid w:val="000C23CE"/>
    <w:rsid w:val="000C3C7D"/>
    <w:rsid w:val="000C5949"/>
    <w:rsid w:val="000C5AA9"/>
    <w:rsid w:val="000C5CF4"/>
    <w:rsid w:val="000C6063"/>
    <w:rsid w:val="000C677F"/>
    <w:rsid w:val="000C69C1"/>
    <w:rsid w:val="000C6BCB"/>
    <w:rsid w:val="000D1A21"/>
    <w:rsid w:val="000D2FD5"/>
    <w:rsid w:val="000D4C7F"/>
    <w:rsid w:val="000D66B0"/>
    <w:rsid w:val="000E03A6"/>
    <w:rsid w:val="000E0833"/>
    <w:rsid w:val="000E0D86"/>
    <w:rsid w:val="000E125F"/>
    <w:rsid w:val="000E184C"/>
    <w:rsid w:val="000E1FA1"/>
    <w:rsid w:val="000E2A6E"/>
    <w:rsid w:val="000E33A1"/>
    <w:rsid w:val="000E3746"/>
    <w:rsid w:val="000E3A95"/>
    <w:rsid w:val="000E46BB"/>
    <w:rsid w:val="000E4795"/>
    <w:rsid w:val="000E4C9B"/>
    <w:rsid w:val="000E7329"/>
    <w:rsid w:val="000E76D0"/>
    <w:rsid w:val="000E76FF"/>
    <w:rsid w:val="000E777A"/>
    <w:rsid w:val="000E7AC9"/>
    <w:rsid w:val="000F02FB"/>
    <w:rsid w:val="000F0612"/>
    <w:rsid w:val="000F0BF4"/>
    <w:rsid w:val="000F17E5"/>
    <w:rsid w:val="000F236F"/>
    <w:rsid w:val="000F28BC"/>
    <w:rsid w:val="000F3F0C"/>
    <w:rsid w:val="000F4124"/>
    <w:rsid w:val="000F464D"/>
    <w:rsid w:val="000F55A8"/>
    <w:rsid w:val="000F5A2B"/>
    <w:rsid w:val="000F5AAF"/>
    <w:rsid w:val="000F6775"/>
    <w:rsid w:val="000F6B02"/>
    <w:rsid w:val="000F7372"/>
    <w:rsid w:val="000F7C8D"/>
    <w:rsid w:val="000F7F35"/>
    <w:rsid w:val="00100264"/>
    <w:rsid w:val="00100331"/>
    <w:rsid w:val="00100655"/>
    <w:rsid w:val="00100F24"/>
    <w:rsid w:val="00102392"/>
    <w:rsid w:val="001032F6"/>
    <w:rsid w:val="00104045"/>
    <w:rsid w:val="001041E6"/>
    <w:rsid w:val="0010444E"/>
    <w:rsid w:val="001048AC"/>
    <w:rsid w:val="0010536E"/>
    <w:rsid w:val="00106806"/>
    <w:rsid w:val="00107440"/>
    <w:rsid w:val="00107643"/>
    <w:rsid w:val="0011004C"/>
    <w:rsid w:val="0011033C"/>
    <w:rsid w:val="00110766"/>
    <w:rsid w:val="001109EA"/>
    <w:rsid w:val="00112036"/>
    <w:rsid w:val="00112407"/>
    <w:rsid w:val="00112B87"/>
    <w:rsid w:val="00113363"/>
    <w:rsid w:val="00113380"/>
    <w:rsid w:val="00114AC5"/>
    <w:rsid w:val="00114B6F"/>
    <w:rsid w:val="00114C90"/>
    <w:rsid w:val="001155EB"/>
    <w:rsid w:val="001164CA"/>
    <w:rsid w:val="0011654B"/>
    <w:rsid w:val="00121293"/>
    <w:rsid w:val="001212CB"/>
    <w:rsid w:val="00123411"/>
    <w:rsid w:val="00123543"/>
    <w:rsid w:val="0012367A"/>
    <w:rsid w:val="00124B1E"/>
    <w:rsid w:val="001254B4"/>
    <w:rsid w:val="00125AF5"/>
    <w:rsid w:val="0012648B"/>
    <w:rsid w:val="00126726"/>
    <w:rsid w:val="001279AE"/>
    <w:rsid w:val="00127DA0"/>
    <w:rsid w:val="00130027"/>
    <w:rsid w:val="00130306"/>
    <w:rsid w:val="00130BC0"/>
    <w:rsid w:val="00132024"/>
    <w:rsid w:val="00132568"/>
    <w:rsid w:val="00134BC1"/>
    <w:rsid w:val="00135041"/>
    <w:rsid w:val="001357A7"/>
    <w:rsid w:val="00135EF6"/>
    <w:rsid w:val="001363E8"/>
    <w:rsid w:val="001372F6"/>
    <w:rsid w:val="001376EC"/>
    <w:rsid w:val="00137E4B"/>
    <w:rsid w:val="00140090"/>
    <w:rsid w:val="001404C9"/>
    <w:rsid w:val="00141FC6"/>
    <w:rsid w:val="00142329"/>
    <w:rsid w:val="00143013"/>
    <w:rsid w:val="00143E99"/>
    <w:rsid w:val="001450AE"/>
    <w:rsid w:val="00146A22"/>
    <w:rsid w:val="00146B24"/>
    <w:rsid w:val="00146D0E"/>
    <w:rsid w:val="00150006"/>
    <w:rsid w:val="0015021B"/>
    <w:rsid w:val="00151C67"/>
    <w:rsid w:val="001523E1"/>
    <w:rsid w:val="00153CF4"/>
    <w:rsid w:val="00154F31"/>
    <w:rsid w:val="00160183"/>
    <w:rsid w:val="001602E0"/>
    <w:rsid w:val="00160768"/>
    <w:rsid w:val="00160DEC"/>
    <w:rsid w:val="00160E47"/>
    <w:rsid w:val="0016116C"/>
    <w:rsid w:val="0016171E"/>
    <w:rsid w:val="00161BEF"/>
    <w:rsid w:val="00162443"/>
    <w:rsid w:val="00163595"/>
    <w:rsid w:val="00164B80"/>
    <w:rsid w:val="00164F38"/>
    <w:rsid w:val="001662DE"/>
    <w:rsid w:val="0016654B"/>
    <w:rsid w:val="001667BE"/>
    <w:rsid w:val="00166B5E"/>
    <w:rsid w:val="00166FE1"/>
    <w:rsid w:val="00170534"/>
    <w:rsid w:val="0017198F"/>
    <w:rsid w:val="001720CD"/>
    <w:rsid w:val="0017288A"/>
    <w:rsid w:val="00175031"/>
    <w:rsid w:val="001755DE"/>
    <w:rsid w:val="00175977"/>
    <w:rsid w:val="00175A49"/>
    <w:rsid w:val="00175C02"/>
    <w:rsid w:val="00177824"/>
    <w:rsid w:val="00177BD1"/>
    <w:rsid w:val="00177C4A"/>
    <w:rsid w:val="0018049A"/>
    <w:rsid w:val="001816BF"/>
    <w:rsid w:val="0018197C"/>
    <w:rsid w:val="0018293F"/>
    <w:rsid w:val="00182965"/>
    <w:rsid w:val="0018378C"/>
    <w:rsid w:val="00183E80"/>
    <w:rsid w:val="001846C4"/>
    <w:rsid w:val="001847A1"/>
    <w:rsid w:val="00184C5B"/>
    <w:rsid w:val="00184D09"/>
    <w:rsid w:val="0018502D"/>
    <w:rsid w:val="00185553"/>
    <w:rsid w:val="001868D6"/>
    <w:rsid w:val="00186AD9"/>
    <w:rsid w:val="00186E61"/>
    <w:rsid w:val="001912C3"/>
    <w:rsid w:val="00191B9C"/>
    <w:rsid w:val="0019305B"/>
    <w:rsid w:val="001932A2"/>
    <w:rsid w:val="00193EFB"/>
    <w:rsid w:val="0019451C"/>
    <w:rsid w:val="00194F88"/>
    <w:rsid w:val="00195B2A"/>
    <w:rsid w:val="00195FEB"/>
    <w:rsid w:val="001961E8"/>
    <w:rsid w:val="00196267"/>
    <w:rsid w:val="0019787A"/>
    <w:rsid w:val="00197CCB"/>
    <w:rsid w:val="001A054F"/>
    <w:rsid w:val="001A0B06"/>
    <w:rsid w:val="001A2361"/>
    <w:rsid w:val="001A3018"/>
    <w:rsid w:val="001A3156"/>
    <w:rsid w:val="001A375B"/>
    <w:rsid w:val="001A42AC"/>
    <w:rsid w:val="001A5A37"/>
    <w:rsid w:val="001A5E17"/>
    <w:rsid w:val="001A61B6"/>
    <w:rsid w:val="001A6439"/>
    <w:rsid w:val="001A697A"/>
    <w:rsid w:val="001A7518"/>
    <w:rsid w:val="001A7D69"/>
    <w:rsid w:val="001A7DC2"/>
    <w:rsid w:val="001B1D3E"/>
    <w:rsid w:val="001B2693"/>
    <w:rsid w:val="001B279D"/>
    <w:rsid w:val="001B44E2"/>
    <w:rsid w:val="001B4C10"/>
    <w:rsid w:val="001B5B2F"/>
    <w:rsid w:val="001B5BFF"/>
    <w:rsid w:val="001B7218"/>
    <w:rsid w:val="001B7FD3"/>
    <w:rsid w:val="001C0933"/>
    <w:rsid w:val="001C0BB1"/>
    <w:rsid w:val="001C0BDA"/>
    <w:rsid w:val="001C2149"/>
    <w:rsid w:val="001C2441"/>
    <w:rsid w:val="001C3230"/>
    <w:rsid w:val="001C4EE9"/>
    <w:rsid w:val="001C5DA4"/>
    <w:rsid w:val="001C637A"/>
    <w:rsid w:val="001C7B26"/>
    <w:rsid w:val="001C7B28"/>
    <w:rsid w:val="001D04F5"/>
    <w:rsid w:val="001D093A"/>
    <w:rsid w:val="001D0BCA"/>
    <w:rsid w:val="001D1729"/>
    <w:rsid w:val="001D1888"/>
    <w:rsid w:val="001D2CA3"/>
    <w:rsid w:val="001D4399"/>
    <w:rsid w:val="001D4801"/>
    <w:rsid w:val="001D4880"/>
    <w:rsid w:val="001D52A6"/>
    <w:rsid w:val="001D5BBC"/>
    <w:rsid w:val="001D68DB"/>
    <w:rsid w:val="001D7AA4"/>
    <w:rsid w:val="001D7B80"/>
    <w:rsid w:val="001E0BB4"/>
    <w:rsid w:val="001E1254"/>
    <w:rsid w:val="001E1FC4"/>
    <w:rsid w:val="001E2A24"/>
    <w:rsid w:val="001E3F5F"/>
    <w:rsid w:val="001E4032"/>
    <w:rsid w:val="001E4F7E"/>
    <w:rsid w:val="001E5152"/>
    <w:rsid w:val="001E51C8"/>
    <w:rsid w:val="001E722D"/>
    <w:rsid w:val="001E79D3"/>
    <w:rsid w:val="001E7A6D"/>
    <w:rsid w:val="001F078D"/>
    <w:rsid w:val="001F19F8"/>
    <w:rsid w:val="001F3CB6"/>
    <w:rsid w:val="001F45DC"/>
    <w:rsid w:val="001F4744"/>
    <w:rsid w:val="001F4F5A"/>
    <w:rsid w:val="001F5922"/>
    <w:rsid w:val="001F707A"/>
    <w:rsid w:val="002005C8"/>
    <w:rsid w:val="00200742"/>
    <w:rsid w:val="00200C72"/>
    <w:rsid w:val="00201047"/>
    <w:rsid w:val="002013AA"/>
    <w:rsid w:val="00201776"/>
    <w:rsid w:val="00201C91"/>
    <w:rsid w:val="00201F92"/>
    <w:rsid w:val="00202156"/>
    <w:rsid w:val="00203447"/>
    <w:rsid w:val="00204BFE"/>
    <w:rsid w:val="00204C2C"/>
    <w:rsid w:val="002058D4"/>
    <w:rsid w:val="00206786"/>
    <w:rsid w:val="00206B5D"/>
    <w:rsid w:val="00207133"/>
    <w:rsid w:val="00207654"/>
    <w:rsid w:val="002101C9"/>
    <w:rsid w:val="00210EF0"/>
    <w:rsid w:val="00212565"/>
    <w:rsid w:val="002135D8"/>
    <w:rsid w:val="002140C5"/>
    <w:rsid w:val="00214741"/>
    <w:rsid w:val="0021539B"/>
    <w:rsid w:val="00217822"/>
    <w:rsid w:val="0022096F"/>
    <w:rsid w:val="00220AB1"/>
    <w:rsid w:val="00220C24"/>
    <w:rsid w:val="00220D54"/>
    <w:rsid w:val="00222713"/>
    <w:rsid w:val="00223671"/>
    <w:rsid w:val="002240ED"/>
    <w:rsid w:val="002245EC"/>
    <w:rsid w:val="00224764"/>
    <w:rsid w:val="00224F9F"/>
    <w:rsid w:val="002252C5"/>
    <w:rsid w:val="00225F3F"/>
    <w:rsid w:val="0022662A"/>
    <w:rsid w:val="00226BF6"/>
    <w:rsid w:val="002271C2"/>
    <w:rsid w:val="00227328"/>
    <w:rsid w:val="00227721"/>
    <w:rsid w:val="00227EA4"/>
    <w:rsid w:val="0023129A"/>
    <w:rsid w:val="002319FF"/>
    <w:rsid w:val="002322F9"/>
    <w:rsid w:val="002325B0"/>
    <w:rsid w:val="002334AB"/>
    <w:rsid w:val="00233575"/>
    <w:rsid w:val="00233585"/>
    <w:rsid w:val="00234E67"/>
    <w:rsid w:val="002354B2"/>
    <w:rsid w:val="00235B23"/>
    <w:rsid w:val="002361F1"/>
    <w:rsid w:val="00236346"/>
    <w:rsid w:val="00236954"/>
    <w:rsid w:val="0023700B"/>
    <w:rsid w:val="00237509"/>
    <w:rsid w:val="002405F0"/>
    <w:rsid w:val="00240828"/>
    <w:rsid w:val="00240D60"/>
    <w:rsid w:val="00241B89"/>
    <w:rsid w:val="0024216A"/>
    <w:rsid w:val="002421DD"/>
    <w:rsid w:val="0024227C"/>
    <w:rsid w:val="00243068"/>
    <w:rsid w:val="0024330D"/>
    <w:rsid w:val="00243434"/>
    <w:rsid w:val="002447CE"/>
    <w:rsid w:val="00244EAF"/>
    <w:rsid w:val="0024500A"/>
    <w:rsid w:val="002450DA"/>
    <w:rsid w:val="00245553"/>
    <w:rsid w:val="002467B3"/>
    <w:rsid w:val="002468DB"/>
    <w:rsid w:val="00247214"/>
    <w:rsid w:val="002479A0"/>
    <w:rsid w:val="00247B4A"/>
    <w:rsid w:val="00250D94"/>
    <w:rsid w:val="00250FFA"/>
    <w:rsid w:val="00251FF1"/>
    <w:rsid w:val="002520EA"/>
    <w:rsid w:val="002541C6"/>
    <w:rsid w:val="0025439E"/>
    <w:rsid w:val="00255D90"/>
    <w:rsid w:val="00256242"/>
    <w:rsid w:val="002576F1"/>
    <w:rsid w:val="00261986"/>
    <w:rsid w:val="002647AE"/>
    <w:rsid w:val="00265CA8"/>
    <w:rsid w:val="00265D83"/>
    <w:rsid w:val="002664D0"/>
    <w:rsid w:val="00266B8C"/>
    <w:rsid w:val="0026767E"/>
    <w:rsid w:val="00267A7C"/>
    <w:rsid w:val="0027194E"/>
    <w:rsid w:val="00271F75"/>
    <w:rsid w:val="002721CB"/>
    <w:rsid w:val="0027231F"/>
    <w:rsid w:val="00272724"/>
    <w:rsid w:val="00272D3E"/>
    <w:rsid w:val="00272F12"/>
    <w:rsid w:val="00273612"/>
    <w:rsid w:val="00275078"/>
    <w:rsid w:val="00275096"/>
    <w:rsid w:val="0027517B"/>
    <w:rsid w:val="00275929"/>
    <w:rsid w:val="002770A6"/>
    <w:rsid w:val="002776BE"/>
    <w:rsid w:val="00280CFD"/>
    <w:rsid w:val="002818A0"/>
    <w:rsid w:val="002818B2"/>
    <w:rsid w:val="002819FF"/>
    <w:rsid w:val="00283974"/>
    <w:rsid w:val="00284BC2"/>
    <w:rsid w:val="00284E34"/>
    <w:rsid w:val="002852AB"/>
    <w:rsid w:val="002853A4"/>
    <w:rsid w:val="00285F0C"/>
    <w:rsid w:val="00286614"/>
    <w:rsid w:val="00287B4A"/>
    <w:rsid w:val="002911AB"/>
    <w:rsid w:val="00291F28"/>
    <w:rsid w:val="00294843"/>
    <w:rsid w:val="00294B3E"/>
    <w:rsid w:val="002959F3"/>
    <w:rsid w:val="00295C58"/>
    <w:rsid w:val="00295F4F"/>
    <w:rsid w:val="00296BD4"/>
    <w:rsid w:val="00297ABE"/>
    <w:rsid w:val="002A0261"/>
    <w:rsid w:val="002A1CAB"/>
    <w:rsid w:val="002A25B6"/>
    <w:rsid w:val="002A2BB0"/>
    <w:rsid w:val="002A44A0"/>
    <w:rsid w:val="002A51F7"/>
    <w:rsid w:val="002A54FF"/>
    <w:rsid w:val="002A635E"/>
    <w:rsid w:val="002A6544"/>
    <w:rsid w:val="002A68F6"/>
    <w:rsid w:val="002A7477"/>
    <w:rsid w:val="002A7A64"/>
    <w:rsid w:val="002A7D0C"/>
    <w:rsid w:val="002B0029"/>
    <w:rsid w:val="002B0E62"/>
    <w:rsid w:val="002B10BE"/>
    <w:rsid w:val="002B13B8"/>
    <w:rsid w:val="002B1D79"/>
    <w:rsid w:val="002B2515"/>
    <w:rsid w:val="002B2FED"/>
    <w:rsid w:val="002B402D"/>
    <w:rsid w:val="002B6143"/>
    <w:rsid w:val="002B769A"/>
    <w:rsid w:val="002C0082"/>
    <w:rsid w:val="002C0CF3"/>
    <w:rsid w:val="002C1128"/>
    <w:rsid w:val="002C1136"/>
    <w:rsid w:val="002C1200"/>
    <w:rsid w:val="002C2400"/>
    <w:rsid w:val="002C2CFE"/>
    <w:rsid w:val="002C3645"/>
    <w:rsid w:val="002C4936"/>
    <w:rsid w:val="002C4D20"/>
    <w:rsid w:val="002C4ED2"/>
    <w:rsid w:val="002C54CA"/>
    <w:rsid w:val="002C6429"/>
    <w:rsid w:val="002C6CCB"/>
    <w:rsid w:val="002C6FCE"/>
    <w:rsid w:val="002C7385"/>
    <w:rsid w:val="002C7A76"/>
    <w:rsid w:val="002C7D3D"/>
    <w:rsid w:val="002C7F2D"/>
    <w:rsid w:val="002D09D6"/>
    <w:rsid w:val="002D0AE7"/>
    <w:rsid w:val="002D2DC8"/>
    <w:rsid w:val="002D3E7C"/>
    <w:rsid w:val="002D42CB"/>
    <w:rsid w:val="002D432D"/>
    <w:rsid w:val="002D4D99"/>
    <w:rsid w:val="002D6708"/>
    <w:rsid w:val="002D724A"/>
    <w:rsid w:val="002E006D"/>
    <w:rsid w:val="002E0F21"/>
    <w:rsid w:val="002E1041"/>
    <w:rsid w:val="002E11AF"/>
    <w:rsid w:val="002E1534"/>
    <w:rsid w:val="002E154E"/>
    <w:rsid w:val="002E1620"/>
    <w:rsid w:val="002E18B1"/>
    <w:rsid w:val="002E20EC"/>
    <w:rsid w:val="002E2589"/>
    <w:rsid w:val="002E26CF"/>
    <w:rsid w:val="002E2C31"/>
    <w:rsid w:val="002E3090"/>
    <w:rsid w:val="002E41FF"/>
    <w:rsid w:val="002E4D3E"/>
    <w:rsid w:val="002E627C"/>
    <w:rsid w:val="002E687D"/>
    <w:rsid w:val="002E7C98"/>
    <w:rsid w:val="002E7F52"/>
    <w:rsid w:val="002F2903"/>
    <w:rsid w:val="002F2984"/>
    <w:rsid w:val="002F2F21"/>
    <w:rsid w:val="002F3796"/>
    <w:rsid w:val="002F3AF7"/>
    <w:rsid w:val="002F41CD"/>
    <w:rsid w:val="002F70EB"/>
    <w:rsid w:val="002F71DF"/>
    <w:rsid w:val="0030004F"/>
    <w:rsid w:val="00300262"/>
    <w:rsid w:val="00301C6A"/>
    <w:rsid w:val="0030208E"/>
    <w:rsid w:val="00302629"/>
    <w:rsid w:val="00302A9D"/>
    <w:rsid w:val="0030426F"/>
    <w:rsid w:val="00304C7D"/>
    <w:rsid w:val="00305062"/>
    <w:rsid w:val="0030548A"/>
    <w:rsid w:val="00305806"/>
    <w:rsid w:val="003064C4"/>
    <w:rsid w:val="00306646"/>
    <w:rsid w:val="00310322"/>
    <w:rsid w:val="003103C6"/>
    <w:rsid w:val="00310A33"/>
    <w:rsid w:val="00310D4F"/>
    <w:rsid w:val="00312489"/>
    <w:rsid w:val="00312D42"/>
    <w:rsid w:val="0031379C"/>
    <w:rsid w:val="00313F0E"/>
    <w:rsid w:val="00314402"/>
    <w:rsid w:val="00314E26"/>
    <w:rsid w:val="00314ED5"/>
    <w:rsid w:val="00315CB7"/>
    <w:rsid w:val="0031610E"/>
    <w:rsid w:val="003162C3"/>
    <w:rsid w:val="00316405"/>
    <w:rsid w:val="00317634"/>
    <w:rsid w:val="00317D01"/>
    <w:rsid w:val="0032036A"/>
    <w:rsid w:val="00321324"/>
    <w:rsid w:val="003219BE"/>
    <w:rsid w:val="0032394B"/>
    <w:rsid w:val="00325395"/>
    <w:rsid w:val="0032692D"/>
    <w:rsid w:val="00326A7E"/>
    <w:rsid w:val="0033096F"/>
    <w:rsid w:val="00331382"/>
    <w:rsid w:val="00332050"/>
    <w:rsid w:val="00332124"/>
    <w:rsid w:val="003321CF"/>
    <w:rsid w:val="003323BA"/>
    <w:rsid w:val="003323D9"/>
    <w:rsid w:val="003327D8"/>
    <w:rsid w:val="00332F86"/>
    <w:rsid w:val="00333281"/>
    <w:rsid w:val="00334455"/>
    <w:rsid w:val="00334516"/>
    <w:rsid w:val="00334B83"/>
    <w:rsid w:val="00335F32"/>
    <w:rsid w:val="003364B9"/>
    <w:rsid w:val="00336FC3"/>
    <w:rsid w:val="0034014E"/>
    <w:rsid w:val="00341FCF"/>
    <w:rsid w:val="003423FE"/>
    <w:rsid w:val="00342BD1"/>
    <w:rsid w:val="0034368F"/>
    <w:rsid w:val="0034385B"/>
    <w:rsid w:val="003456FD"/>
    <w:rsid w:val="00345A4F"/>
    <w:rsid w:val="00346D6C"/>
    <w:rsid w:val="00351582"/>
    <w:rsid w:val="003515BE"/>
    <w:rsid w:val="003516D9"/>
    <w:rsid w:val="00352307"/>
    <w:rsid w:val="00352AD5"/>
    <w:rsid w:val="003557AC"/>
    <w:rsid w:val="00356067"/>
    <w:rsid w:val="003570AD"/>
    <w:rsid w:val="003576D8"/>
    <w:rsid w:val="0035797F"/>
    <w:rsid w:val="00357F0F"/>
    <w:rsid w:val="00360032"/>
    <w:rsid w:val="00360BE5"/>
    <w:rsid w:val="00360FA1"/>
    <w:rsid w:val="0036332D"/>
    <w:rsid w:val="00363C1F"/>
    <w:rsid w:val="003656FA"/>
    <w:rsid w:val="00365A69"/>
    <w:rsid w:val="003671F5"/>
    <w:rsid w:val="00371E4B"/>
    <w:rsid w:val="00372242"/>
    <w:rsid w:val="00373978"/>
    <w:rsid w:val="00373B39"/>
    <w:rsid w:val="0037442E"/>
    <w:rsid w:val="003745A0"/>
    <w:rsid w:val="00374E1A"/>
    <w:rsid w:val="00375172"/>
    <w:rsid w:val="003755CB"/>
    <w:rsid w:val="003761AC"/>
    <w:rsid w:val="003769B7"/>
    <w:rsid w:val="00376E21"/>
    <w:rsid w:val="00381D19"/>
    <w:rsid w:val="00383DBF"/>
    <w:rsid w:val="00383FFB"/>
    <w:rsid w:val="00384E16"/>
    <w:rsid w:val="00385837"/>
    <w:rsid w:val="0038592C"/>
    <w:rsid w:val="00387126"/>
    <w:rsid w:val="003873FD"/>
    <w:rsid w:val="00387426"/>
    <w:rsid w:val="0038777E"/>
    <w:rsid w:val="003903F3"/>
    <w:rsid w:val="003909F6"/>
    <w:rsid w:val="00390F23"/>
    <w:rsid w:val="003913C8"/>
    <w:rsid w:val="00391EC4"/>
    <w:rsid w:val="00391F48"/>
    <w:rsid w:val="0039243F"/>
    <w:rsid w:val="00395300"/>
    <w:rsid w:val="003959B8"/>
    <w:rsid w:val="00395B40"/>
    <w:rsid w:val="00396038"/>
    <w:rsid w:val="00396049"/>
    <w:rsid w:val="00396457"/>
    <w:rsid w:val="0039654D"/>
    <w:rsid w:val="00397135"/>
    <w:rsid w:val="0039732B"/>
    <w:rsid w:val="003976DA"/>
    <w:rsid w:val="00397E98"/>
    <w:rsid w:val="003A028D"/>
    <w:rsid w:val="003A17FF"/>
    <w:rsid w:val="003A21E5"/>
    <w:rsid w:val="003A273B"/>
    <w:rsid w:val="003A297D"/>
    <w:rsid w:val="003A2BF9"/>
    <w:rsid w:val="003A30F8"/>
    <w:rsid w:val="003A331B"/>
    <w:rsid w:val="003A3BEA"/>
    <w:rsid w:val="003A48C5"/>
    <w:rsid w:val="003A4AC6"/>
    <w:rsid w:val="003A4BE3"/>
    <w:rsid w:val="003A5FB5"/>
    <w:rsid w:val="003B0112"/>
    <w:rsid w:val="003B0D0B"/>
    <w:rsid w:val="003B1065"/>
    <w:rsid w:val="003B166C"/>
    <w:rsid w:val="003B16D2"/>
    <w:rsid w:val="003B1DAD"/>
    <w:rsid w:val="003B1F08"/>
    <w:rsid w:val="003B2AA2"/>
    <w:rsid w:val="003B2FD2"/>
    <w:rsid w:val="003B453C"/>
    <w:rsid w:val="003B5D3E"/>
    <w:rsid w:val="003B6169"/>
    <w:rsid w:val="003B6B7F"/>
    <w:rsid w:val="003B6CA4"/>
    <w:rsid w:val="003B7137"/>
    <w:rsid w:val="003C0053"/>
    <w:rsid w:val="003C03E0"/>
    <w:rsid w:val="003C05C5"/>
    <w:rsid w:val="003C1892"/>
    <w:rsid w:val="003C1D4C"/>
    <w:rsid w:val="003C2485"/>
    <w:rsid w:val="003C2CFF"/>
    <w:rsid w:val="003C2E75"/>
    <w:rsid w:val="003C2E80"/>
    <w:rsid w:val="003C3AA0"/>
    <w:rsid w:val="003C3DD7"/>
    <w:rsid w:val="003C4496"/>
    <w:rsid w:val="003C51EB"/>
    <w:rsid w:val="003C6A4A"/>
    <w:rsid w:val="003C70B1"/>
    <w:rsid w:val="003C728F"/>
    <w:rsid w:val="003D15FC"/>
    <w:rsid w:val="003D192D"/>
    <w:rsid w:val="003D1C08"/>
    <w:rsid w:val="003D1EB4"/>
    <w:rsid w:val="003D2B66"/>
    <w:rsid w:val="003D2D6D"/>
    <w:rsid w:val="003D31FD"/>
    <w:rsid w:val="003D3C28"/>
    <w:rsid w:val="003D3F72"/>
    <w:rsid w:val="003D42E3"/>
    <w:rsid w:val="003D4466"/>
    <w:rsid w:val="003D5C27"/>
    <w:rsid w:val="003D77FA"/>
    <w:rsid w:val="003D7F47"/>
    <w:rsid w:val="003E0B11"/>
    <w:rsid w:val="003E0D79"/>
    <w:rsid w:val="003E0F9F"/>
    <w:rsid w:val="003E14ED"/>
    <w:rsid w:val="003E1821"/>
    <w:rsid w:val="003E1929"/>
    <w:rsid w:val="003E5A8A"/>
    <w:rsid w:val="003E5D13"/>
    <w:rsid w:val="003E61D3"/>
    <w:rsid w:val="003E63F8"/>
    <w:rsid w:val="003E6B8D"/>
    <w:rsid w:val="003E70CB"/>
    <w:rsid w:val="003E71C8"/>
    <w:rsid w:val="003F0D78"/>
    <w:rsid w:val="003F139B"/>
    <w:rsid w:val="003F1FB2"/>
    <w:rsid w:val="003F2F76"/>
    <w:rsid w:val="003F384D"/>
    <w:rsid w:val="003F3A95"/>
    <w:rsid w:val="003F3BBB"/>
    <w:rsid w:val="003F4581"/>
    <w:rsid w:val="003F537A"/>
    <w:rsid w:val="003F5475"/>
    <w:rsid w:val="003F560E"/>
    <w:rsid w:val="003F5A24"/>
    <w:rsid w:val="003F5BB2"/>
    <w:rsid w:val="003F5EDA"/>
    <w:rsid w:val="003F62E0"/>
    <w:rsid w:val="003F643D"/>
    <w:rsid w:val="003F653C"/>
    <w:rsid w:val="003F6B61"/>
    <w:rsid w:val="003F6E33"/>
    <w:rsid w:val="003F71F4"/>
    <w:rsid w:val="00400590"/>
    <w:rsid w:val="00400691"/>
    <w:rsid w:val="00400A9A"/>
    <w:rsid w:val="004018C7"/>
    <w:rsid w:val="00401C57"/>
    <w:rsid w:val="004026E0"/>
    <w:rsid w:val="004028D9"/>
    <w:rsid w:val="00404CDD"/>
    <w:rsid w:val="00404F7C"/>
    <w:rsid w:val="004066A2"/>
    <w:rsid w:val="00406C29"/>
    <w:rsid w:val="00406CA1"/>
    <w:rsid w:val="0041013E"/>
    <w:rsid w:val="00410C67"/>
    <w:rsid w:val="0041126A"/>
    <w:rsid w:val="00411783"/>
    <w:rsid w:val="00411A91"/>
    <w:rsid w:val="004127A2"/>
    <w:rsid w:val="0041286F"/>
    <w:rsid w:val="004139A3"/>
    <w:rsid w:val="00413BE4"/>
    <w:rsid w:val="0041405E"/>
    <w:rsid w:val="0041477F"/>
    <w:rsid w:val="0041487F"/>
    <w:rsid w:val="00414991"/>
    <w:rsid w:val="00414E7A"/>
    <w:rsid w:val="00416135"/>
    <w:rsid w:val="00416ED9"/>
    <w:rsid w:val="004173B2"/>
    <w:rsid w:val="004205AB"/>
    <w:rsid w:val="00421135"/>
    <w:rsid w:val="00421794"/>
    <w:rsid w:val="004225E9"/>
    <w:rsid w:val="00423D86"/>
    <w:rsid w:val="004241FD"/>
    <w:rsid w:val="00424C9E"/>
    <w:rsid w:val="004255B6"/>
    <w:rsid w:val="0042605C"/>
    <w:rsid w:val="00427912"/>
    <w:rsid w:val="00430234"/>
    <w:rsid w:val="00430948"/>
    <w:rsid w:val="004312D0"/>
    <w:rsid w:val="00431AF3"/>
    <w:rsid w:val="00432A89"/>
    <w:rsid w:val="00432CD0"/>
    <w:rsid w:val="004333ED"/>
    <w:rsid w:val="004338FC"/>
    <w:rsid w:val="00433C37"/>
    <w:rsid w:val="0043444E"/>
    <w:rsid w:val="00434487"/>
    <w:rsid w:val="004354AF"/>
    <w:rsid w:val="00436B07"/>
    <w:rsid w:val="00436B9A"/>
    <w:rsid w:val="0044161F"/>
    <w:rsid w:val="0044362C"/>
    <w:rsid w:val="00444544"/>
    <w:rsid w:val="00444D4B"/>
    <w:rsid w:val="00445C99"/>
    <w:rsid w:val="00445CDF"/>
    <w:rsid w:val="00446060"/>
    <w:rsid w:val="00450AC4"/>
    <w:rsid w:val="00450C02"/>
    <w:rsid w:val="00451057"/>
    <w:rsid w:val="004517B1"/>
    <w:rsid w:val="00451CE6"/>
    <w:rsid w:val="004531B5"/>
    <w:rsid w:val="0045332B"/>
    <w:rsid w:val="004539CC"/>
    <w:rsid w:val="00453B3B"/>
    <w:rsid w:val="00453EDC"/>
    <w:rsid w:val="00454200"/>
    <w:rsid w:val="00454BBE"/>
    <w:rsid w:val="00455CC2"/>
    <w:rsid w:val="0045638C"/>
    <w:rsid w:val="00456F4D"/>
    <w:rsid w:val="00457A73"/>
    <w:rsid w:val="00460B5A"/>
    <w:rsid w:val="00461079"/>
    <w:rsid w:val="00461811"/>
    <w:rsid w:val="00462BB7"/>
    <w:rsid w:val="0046376B"/>
    <w:rsid w:val="00465207"/>
    <w:rsid w:val="0046520C"/>
    <w:rsid w:val="00465BEA"/>
    <w:rsid w:val="00467125"/>
    <w:rsid w:val="00470C37"/>
    <w:rsid w:val="00470E75"/>
    <w:rsid w:val="00471819"/>
    <w:rsid w:val="00471C73"/>
    <w:rsid w:val="00473AB6"/>
    <w:rsid w:val="0047416D"/>
    <w:rsid w:val="00474CDF"/>
    <w:rsid w:val="00474EEE"/>
    <w:rsid w:val="00475B6F"/>
    <w:rsid w:val="00475EA5"/>
    <w:rsid w:val="00476049"/>
    <w:rsid w:val="00476DC3"/>
    <w:rsid w:val="00477023"/>
    <w:rsid w:val="00481088"/>
    <w:rsid w:val="00481098"/>
    <w:rsid w:val="00481126"/>
    <w:rsid w:val="00481388"/>
    <w:rsid w:val="00481554"/>
    <w:rsid w:val="00485AC3"/>
    <w:rsid w:val="004877E5"/>
    <w:rsid w:val="00490058"/>
    <w:rsid w:val="00490858"/>
    <w:rsid w:val="004910FA"/>
    <w:rsid w:val="0049159A"/>
    <w:rsid w:val="004917C8"/>
    <w:rsid w:val="0049180F"/>
    <w:rsid w:val="004918D4"/>
    <w:rsid w:val="004925AA"/>
    <w:rsid w:val="00492688"/>
    <w:rsid w:val="004928B5"/>
    <w:rsid w:val="00493257"/>
    <w:rsid w:val="00493829"/>
    <w:rsid w:val="00493C95"/>
    <w:rsid w:val="004948A0"/>
    <w:rsid w:val="00495295"/>
    <w:rsid w:val="00495CD8"/>
    <w:rsid w:val="004965FA"/>
    <w:rsid w:val="004A0A89"/>
    <w:rsid w:val="004A0AA0"/>
    <w:rsid w:val="004A0C2B"/>
    <w:rsid w:val="004A1B8E"/>
    <w:rsid w:val="004A2B0F"/>
    <w:rsid w:val="004A2F1E"/>
    <w:rsid w:val="004A4106"/>
    <w:rsid w:val="004A4D62"/>
    <w:rsid w:val="004A5473"/>
    <w:rsid w:val="004A5CBC"/>
    <w:rsid w:val="004A77AF"/>
    <w:rsid w:val="004B1561"/>
    <w:rsid w:val="004B37FD"/>
    <w:rsid w:val="004B44C0"/>
    <w:rsid w:val="004B50FF"/>
    <w:rsid w:val="004B52CF"/>
    <w:rsid w:val="004B58D5"/>
    <w:rsid w:val="004B68FB"/>
    <w:rsid w:val="004B74FC"/>
    <w:rsid w:val="004B75B3"/>
    <w:rsid w:val="004B7B6E"/>
    <w:rsid w:val="004B7DF7"/>
    <w:rsid w:val="004B7E75"/>
    <w:rsid w:val="004C06B8"/>
    <w:rsid w:val="004C1507"/>
    <w:rsid w:val="004C342F"/>
    <w:rsid w:val="004C41AD"/>
    <w:rsid w:val="004C5AAA"/>
    <w:rsid w:val="004C5B13"/>
    <w:rsid w:val="004C5CDD"/>
    <w:rsid w:val="004C671E"/>
    <w:rsid w:val="004C6C55"/>
    <w:rsid w:val="004C755E"/>
    <w:rsid w:val="004C7FE7"/>
    <w:rsid w:val="004D03BA"/>
    <w:rsid w:val="004D10FC"/>
    <w:rsid w:val="004D20E5"/>
    <w:rsid w:val="004D2766"/>
    <w:rsid w:val="004D4942"/>
    <w:rsid w:val="004D5075"/>
    <w:rsid w:val="004D6063"/>
    <w:rsid w:val="004D681F"/>
    <w:rsid w:val="004D77F7"/>
    <w:rsid w:val="004E1212"/>
    <w:rsid w:val="004E18EB"/>
    <w:rsid w:val="004E1A56"/>
    <w:rsid w:val="004E204B"/>
    <w:rsid w:val="004E2725"/>
    <w:rsid w:val="004E44D7"/>
    <w:rsid w:val="004E4666"/>
    <w:rsid w:val="004E4D44"/>
    <w:rsid w:val="004E4F2A"/>
    <w:rsid w:val="004E4FF9"/>
    <w:rsid w:val="004E59E1"/>
    <w:rsid w:val="004E68D9"/>
    <w:rsid w:val="004E6A68"/>
    <w:rsid w:val="004E76E0"/>
    <w:rsid w:val="004F092E"/>
    <w:rsid w:val="004F0E2C"/>
    <w:rsid w:val="004F1BBB"/>
    <w:rsid w:val="004F328A"/>
    <w:rsid w:val="004F4B1D"/>
    <w:rsid w:val="004F4FDA"/>
    <w:rsid w:val="004F560A"/>
    <w:rsid w:val="004F6E2D"/>
    <w:rsid w:val="004F754E"/>
    <w:rsid w:val="00500AEE"/>
    <w:rsid w:val="00501CB2"/>
    <w:rsid w:val="005021A7"/>
    <w:rsid w:val="005023F9"/>
    <w:rsid w:val="005029BF"/>
    <w:rsid w:val="00503572"/>
    <w:rsid w:val="00503C46"/>
    <w:rsid w:val="00506ADA"/>
    <w:rsid w:val="00506DC6"/>
    <w:rsid w:val="0051010F"/>
    <w:rsid w:val="0051191E"/>
    <w:rsid w:val="00512441"/>
    <w:rsid w:val="00512785"/>
    <w:rsid w:val="00512839"/>
    <w:rsid w:val="00513E19"/>
    <w:rsid w:val="00514244"/>
    <w:rsid w:val="0051508B"/>
    <w:rsid w:val="005156DA"/>
    <w:rsid w:val="00515FF5"/>
    <w:rsid w:val="005179F5"/>
    <w:rsid w:val="00517AB4"/>
    <w:rsid w:val="00520349"/>
    <w:rsid w:val="005209F9"/>
    <w:rsid w:val="00522769"/>
    <w:rsid w:val="005228CE"/>
    <w:rsid w:val="00522CF8"/>
    <w:rsid w:val="00523195"/>
    <w:rsid w:val="0052378B"/>
    <w:rsid w:val="00523C6B"/>
    <w:rsid w:val="00523DB5"/>
    <w:rsid w:val="0052445F"/>
    <w:rsid w:val="00526A07"/>
    <w:rsid w:val="00527C0B"/>
    <w:rsid w:val="00530099"/>
    <w:rsid w:val="005308BB"/>
    <w:rsid w:val="00530909"/>
    <w:rsid w:val="00531BA9"/>
    <w:rsid w:val="00532DCC"/>
    <w:rsid w:val="0053331A"/>
    <w:rsid w:val="00533B8C"/>
    <w:rsid w:val="00533DA0"/>
    <w:rsid w:val="00534667"/>
    <w:rsid w:val="00536359"/>
    <w:rsid w:val="005363D6"/>
    <w:rsid w:val="005364CA"/>
    <w:rsid w:val="0053744E"/>
    <w:rsid w:val="00537FE9"/>
    <w:rsid w:val="00540E3D"/>
    <w:rsid w:val="00540F6D"/>
    <w:rsid w:val="005430DE"/>
    <w:rsid w:val="00543616"/>
    <w:rsid w:val="0054408A"/>
    <w:rsid w:val="00544A10"/>
    <w:rsid w:val="00544EE7"/>
    <w:rsid w:val="005456C0"/>
    <w:rsid w:val="005459F8"/>
    <w:rsid w:val="00545C71"/>
    <w:rsid w:val="00546F34"/>
    <w:rsid w:val="005473DC"/>
    <w:rsid w:val="00547CB1"/>
    <w:rsid w:val="00550718"/>
    <w:rsid w:val="00550730"/>
    <w:rsid w:val="005508F9"/>
    <w:rsid w:val="00550AAC"/>
    <w:rsid w:val="0055100E"/>
    <w:rsid w:val="005511B9"/>
    <w:rsid w:val="005512F9"/>
    <w:rsid w:val="00551F25"/>
    <w:rsid w:val="0055272B"/>
    <w:rsid w:val="00553199"/>
    <w:rsid w:val="005537D2"/>
    <w:rsid w:val="00553A93"/>
    <w:rsid w:val="00554852"/>
    <w:rsid w:val="00554FE9"/>
    <w:rsid w:val="005553B4"/>
    <w:rsid w:val="005553E9"/>
    <w:rsid w:val="005560D4"/>
    <w:rsid w:val="0055674D"/>
    <w:rsid w:val="00556A8C"/>
    <w:rsid w:val="00557075"/>
    <w:rsid w:val="00557F61"/>
    <w:rsid w:val="005609FB"/>
    <w:rsid w:val="00561B4E"/>
    <w:rsid w:val="00561BB9"/>
    <w:rsid w:val="00562052"/>
    <w:rsid w:val="00562448"/>
    <w:rsid w:val="00562529"/>
    <w:rsid w:val="005628AE"/>
    <w:rsid w:val="00562BBD"/>
    <w:rsid w:val="00563987"/>
    <w:rsid w:val="00563C6B"/>
    <w:rsid w:val="00564999"/>
    <w:rsid w:val="00566E49"/>
    <w:rsid w:val="00566F45"/>
    <w:rsid w:val="005675F7"/>
    <w:rsid w:val="005676F5"/>
    <w:rsid w:val="005678B7"/>
    <w:rsid w:val="00567B61"/>
    <w:rsid w:val="00570AC0"/>
    <w:rsid w:val="00571F07"/>
    <w:rsid w:val="00573059"/>
    <w:rsid w:val="00574D67"/>
    <w:rsid w:val="00575F0D"/>
    <w:rsid w:val="005762E0"/>
    <w:rsid w:val="00576EC5"/>
    <w:rsid w:val="0058047E"/>
    <w:rsid w:val="00580563"/>
    <w:rsid w:val="005805C0"/>
    <w:rsid w:val="00580980"/>
    <w:rsid w:val="00580E45"/>
    <w:rsid w:val="0058176C"/>
    <w:rsid w:val="00581BF7"/>
    <w:rsid w:val="00582027"/>
    <w:rsid w:val="005822ED"/>
    <w:rsid w:val="00582803"/>
    <w:rsid w:val="0058376D"/>
    <w:rsid w:val="00583ADF"/>
    <w:rsid w:val="00583B02"/>
    <w:rsid w:val="00584C53"/>
    <w:rsid w:val="00586AF5"/>
    <w:rsid w:val="00586C1B"/>
    <w:rsid w:val="00586E40"/>
    <w:rsid w:val="00586FDC"/>
    <w:rsid w:val="0059339E"/>
    <w:rsid w:val="00593652"/>
    <w:rsid w:val="005936C9"/>
    <w:rsid w:val="00594142"/>
    <w:rsid w:val="00594C6C"/>
    <w:rsid w:val="00594DA2"/>
    <w:rsid w:val="00595268"/>
    <w:rsid w:val="00595330"/>
    <w:rsid w:val="00595392"/>
    <w:rsid w:val="00595DF3"/>
    <w:rsid w:val="00596E5C"/>
    <w:rsid w:val="005A0285"/>
    <w:rsid w:val="005A0A20"/>
    <w:rsid w:val="005A15AF"/>
    <w:rsid w:val="005A15B1"/>
    <w:rsid w:val="005A1704"/>
    <w:rsid w:val="005A1BA3"/>
    <w:rsid w:val="005A1FFE"/>
    <w:rsid w:val="005A282D"/>
    <w:rsid w:val="005A3028"/>
    <w:rsid w:val="005A3CBE"/>
    <w:rsid w:val="005A3F7D"/>
    <w:rsid w:val="005A40A3"/>
    <w:rsid w:val="005A4316"/>
    <w:rsid w:val="005A4D17"/>
    <w:rsid w:val="005A55E3"/>
    <w:rsid w:val="005A5AC8"/>
    <w:rsid w:val="005A765A"/>
    <w:rsid w:val="005A7FA8"/>
    <w:rsid w:val="005B05E6"/>
    <w:rsid w:val="005B0C69"/>
    <w:rsid w:val="005B1031"/>
    <w:rsid w:val="005B1872"/>
    <w:rsid w:val="005B1CA9"/>
    <w:rsid w:val="005B2091"/>
    <w:rsid w:val="005B22A2"/>
    <w:rsid w:val="005B240B"/>
    <w:rsid w:val="005B325C"/>
    <w:rsid w:val="005B3403"/>
    <w:rsid w:val="005B500E"/>
    <w:rsid w:val="005B5428"/>
    <w:rsid w:val="005B5BF1"/>
    <w:rsid w:val="005B5C45"/>
    <w:rsid w:val="005B7799"/>
    <w:rsid w:val="005C0936"/>
    <w:rsid w:val="005C0C45"/>
    <w:rsid w:val="005C1A9B"/>
    <w:rsid w:val="005C1AF4"/>
    <w:rsid w:val="005C375D"/>
    <w:rsid w:val="005C4914"/>
    <w:rsid w:val="005C5303"/>
    <w:rsid w:val="005C5499"/>
    <w:rsid w:val="005C6219"/>
    <w:rsid w:val="005C6540"/>
    <w:rsid w:val="005C7FB6"/>
    <w:rsid w:val="005D07CE"/>
    <w:rsid w:val="005D10C7"/>
    <w:rsid w:val="005D397F"/>
    <w:rsid w:val="005D4ABD"/>
    <w:rsid w:val="005D5970"/>
    <w:rsid w:val="005D7224"/>
    <w:rsid w:val="005D738E"/>
    <w:rsid w:val="005D7E5E"/>
    <w:rsid w:val="005E0816"/>
    <w:rsid w:val="005E0AEF"/>
    <w:rsid w:val="005E0F99"/>
    <w:rsid w:val="005E1961"/>
    <w:rsid w:val="005E2A41"/>
    <w:rsid w:val="005E3653"/>
    <w:rsid w:val="005E3B1B"/>
    <w:rsid w:val="005E4ECB"/>
    <w:rsid w:val="005E4FE5"/>
    <w:rsid w:val="005E66C3"/>
    <w:rsid w:val="005E6F72"/>
    <w:rsid w:val="005E7795"/>
    <w:rsid w:val="005F0012"/>
    <w:rsid w:val="005F0A31"/>
    <w:rsid w:val="005F15E4"/>
    <w:rsid w:val="005F27D6"/>
    <w:rsid w:val="005F373B"/>
    <w:rsid w:val="005F3B5C"/>
    <w:rsid w:val="005F3D2C"/>
    <w:rsid w:val="005F443A"/>
    <w:rsid w:val="005F4FFF"/>
    <w:rsid w:val="005F527E"/>
    <w:rsid w:val="005F53D0"/>
    <w:rsid w:val="005F5CDF"/>
    <w:rsid w:val="005F5DCF"/>
    <w:rsid w:val="005F5E77"/>
    <w:rsid w:val="005F6797"/>
    <w:rsid w:val="006004A3"/>
    <w:rsid w:val="00601046"/>
    <w:rsid w:val="006014E5"/>
    <w:rsid w:val="006015D9"/>
    <w:rsid w:val="00601A5D"/>
    <w:rsid w:val="00602902"/>
    <w:rsid w:val="0060354C"/>
    <w:rsid w:val="006037D2"/>
    <w:rsid w:val="00605018"/>
    <w:rsid w:val="006056C6"/>
    <w:rsid w:val="00605A24"/>
    <w:rsid w:val="00605DA3"/>
    <w:rsid w:val="0060602C"/>
    <w:rsid w:val="00606689"/>
    <w:rsid w:val="00606E35"/>
    <w:rsid w:val="006100DD"/>
    <w:rsid w:val="0061099B"/>
    <w:rsid w:val="00610C35"/>
    <w:rsid w:val="00610CFC"/>
    <w:rsid w:val="006116C3"/>
    <w:rsid w:val="00611DA1"/>
    <w:rsid w:val="00612E2F"/>
    <w:rsid w:val="00612E44"/>
    <w:rsid w:val="00613959"/>
    <w:rsid w:val="00614BDD"/>
    <w:rsid w:val="00614D29"/>
    <w:rsid w:val="00615563"/>
    <w:rsid w:val="00615BAE"/>
    <w:rsid w:val="00615DB4"/>
    <w:rsid w:val="00615ED4"/>
    <w:rsid w:val="00615F62"/>
    <w:rsid w:val="00620035"/>
    <w:rsid w:val="00620BE6"/>
    <w:rsid w:val="00620D83"/>
    <w:rsid w:val="006212DC"/>
    <w:rsid w:val="00621E66"/>
    <w:rsid w:val="00622F71"/>
    <w:rsid w:val="0062348C"/>
    <w:rsid w:val="00623736"/>
    <w:rsid w:val="00623D21"/>
    <w:rsid w:val="006250FD"/>
    <w:rsid w:val="0062626C"/>
    <w:rsid w:val="00627C67"/>
    <w:rsid w:val="00630831"/>
    <w:rsid w:val="00631936"/>
    <w:rsid w:val="00634228"/>
    <w:rsid w:val="006346B2"/>
    <w:rsid w:val="00634B83"/>
    <w:rsid w:val="00635443"/>
    <w:rsid w:val="006356F7"/>
    <w:rsid w:val="006371D1"/>
    <w:rsid w:val="006372C3"/>
    <w:rsid w:val="006374DA"/>
    <w:rsid w:val="00637931"/>
    <w:rsid w:val="0064028C"/>
    <w:rsid w:val="00640D34"/>
    <w:rsid w:val="0064110C"/>
    <w:rsid w:val="006411A7"/>
    <w:rsid w:val="00641DEA"/>
    <w:rsid w:val="00642EB0"/>
    <w:rsid w:val="00642FAF"/>
    <w:rsid w:val="00643350"/>
    <w:rsid w:val="0064380B"/>
    <w:rsid w:val="006446D3"/>
    <w:rsid w:val="006450C2"/>
    <w:rsid w:val="00645482"/>
    <w:rsid w:val="006464B0"/>
    <w:rsid w:val="00646589"/>
    <w:rsid w:val="006479A5"/>
    <w:rsid w:val="00647DF8"/>
    <w:rsid w:val="00650B2A"/>
    <w:rsid w:val="006514AD"/>
    <w:rsid w:val="00651A1A"/>
    <w:rsid w:val="006529AC"/>
    <w:rsid w:val="00652D24"/>
    <w:rsid w:val="006531B4"/>
    <w:rsid w:val="00653341"/>
    <w:rsid w:val="00653A3F"/>
    <w:rsid w:val="00653B6D"/>
    <w:rsid w:val="00654C57"/>
    <w:rsid w:val="00654C75"/>
    <w:rsid w:val="0065637B"/>
    <w:rsid w:val="00657483"/>
    <w:rsid w:val="00657566"/>
    <w:rsid w:val="006609BA"/>
    <w:rsid w:val="00660B5A"/>
    <w:rsid w:val="00660BB8"/>
    <w:rsid w:val="0066206E"/>
    <w:rsid w:val="006639C3"/>
    <w:rsid w:val="00665D17"/>
    <w:rsid w:val="0066762D"/>
    <w:rsid w:val="006677F4"/>
    <w:rsid w:val="0067060D"/>
    <w:rsid w:val="00671E15"/>
    <w:rsid w:val="0067306A"/>
    <w:rsid w:val="00673377"/>
    <w:rsid w:val="006746EC"/>
    <w:rsid w:val="006747B6"/>
    <w:rsid w:val="006752EC"/>
    <w:rsid w:val="00675669"/>
    <w:rsid w:val="00675CCB"/>
    <w:rsid w:val="006764C5"/>
    <w:rsid w:val="00676C0A"/>
    <w:rsid w:val="006770F9"/>
    <w:rsid w:val="006772CA"/>
    <w:rsid w:val="00677A80"/>
    <w:rsid w:val="00677E70"/>
    <w:rsid w:val="00682024"/>
    <w:rsid w:val="00682378"/>
    <w:rsid w:val="006826F4"/>
    <w:rsid w:val="0068361F"/>
    <w:rsid w:val="0068366D"/>
    <w:rsid w:val="006849C4"/>
    <w:rsid w:val="00684B64"/>
    <w:rsid w:val="00684D9D"/>
    <w:rsid w:val="00686856"/>
    <w:rsid w:val="00687751"/>
    <w:rsid w:val="006902D1"/>
    <w:rsid w:val="00690A86"/>
    <w:rsid w:val="00690B95"/>
    <w:rsid w:val="00691339"/>
    <w:rsid w:val="00692DA4"/>
    <w:rsid w:val="00694264"/>
    <w:rsid w:val="00694899"/>
    <w:rsid w:val="00695284"/>
    <w:rsid w:val="0069528D"/>
    <w:rsid w:val="00695903"/>
    <w:rsid w:val="00697250"/>
    <w:rsid w:val="00697927"/>
    <w:rsid w:val="006A0BB3"/>
    <w:rsid w:val="006A2022"/>
    <w:rsid w:val="006A2452"/>
    <w:rsid w:val="006A285B"/>
    <w:rsid w:val="006A2996"/>
    <w:rsid w:val="006A3B50"/>
    <w:rsid w:val="006A3E37"/>
    <w:rsid w:val="006A4AE7"/>
    <w:rsid w:val="006A4BB9"/>
    <w:rsid w:val="006A5020"/>
    <w:rsid w:val="006A566F"/>
    <w:rsid w:val="006A5E7D"/>
    <w:rsid w:val="006A5F6D"/>
    <w:rsid w:val="006A6CB3"/>
    <w:rsid w:val="006B0DF3"/>
    <w:rsid w:val="006B2C0E"/>
    <w:rsid w:val="006B2C93"/>
    <w:rsid w:val="006B31E6"/>
    <w:rsid w:val="006B35F9"/>
    <w:rsid w:val="006B3750"/>
    <w:rsid w:val="006B3DAF"/>
    <w:rsid w:val="006B43CF"/>
    <w:rsid w:val="006B52CA"/>
    <w:rsid w:val="006B57F9"/>
    <w:rsid w:val="006B6A93"/>
    <w:rsid w:val="006B6B1A"/>
    <w:rsid w:val="006B717C"/>
    <w:rsid w:val="006B79C9"/>
    <w:rsid w:val="006C03D7"/>
    <w:rsid w:val="006C055D"/>
    <w:rsid w:val="006C0F90"/>
    <w:rsid w:val="006C2A89"/>
    <w:rsid w:val="006C2C41"/>
    <w:rsid w:val="006C37B5"/>
    <w:rsid w:val="006C3DFF"/>
    <w:rsid w:val="006C50BF"/>
    <w:rsid w:val="006C59F0"/>
    <w:rsid w:val="006C78AC"/>
    <w:rsid w:val="006D0305"/>
    <w:rsid w:val="006D1732"/>
    <w:rsid w:val="006D2165"/>
    <w:rsid w:val="006D3E43"/>
    <w:rsid w:val="006D430E"/>
    <w:rsid w:val="006D4CE3"/>
    <w:rsid w:val="006D681F"/>
    <w:rsid w:val="006D6E35"/>
    <w:rsid w:val="006D7B46"/>
    <w:rsid w:val="006E0546"/>
    <w:rsid w:val="006E0F44"/>
    <w:rsid w:val="006E5698"/>
    <w:rsid w:val="006E6B1B"/>
    <w:rsid w:val="006E6B6C"/>
    <w:rsid w:val="006E776E"/>
    <w:rsid w:val="006F00FA"/>
    <w:rsid w:val="006F0227"/>
    <w:rsid w:val="006F06C7"/>
    <w:rsid w:val="006F11EB"/>
    <w:rsid w:val="006F2F06"/>
    <w:rsid w:val="006F32FA"/>
    <w:rsid w:val="006F5696"/>
    <w:rsid w:val="006F587F"/>
    <w:rsid w:val="006F6807"/>
    <w:rsid w:val="006F730C"/>
    <w:rsid w:val="007040D9"/>
    <w:rsid w:val="00705B35"/>
    <w:rsid w:val="00706036"/>
    <w:rsid w:val="00706CB2"/>
    <w:rsid w:val="00707D06"/>
    <w:rsid w:val="007105B1"/>
    <w:rsid w:val="00711718"/>
    <w:rsid w:val="00713267"/>
    <w:rsid w:val="00713E40"/>
    <w:rsid w:val="00714120"/>
    <w:rsid w:val="00714637"/>
    <w:rsid w:val="007147ED"/>
    <w:rsid w:val="00715C48"/>
    <w:rsid w:val="00715FE7"/>
    <w:rsid w:val="00717204"/>
    <w:rsid w:val="00720132"/>
    <w:rsid w:val="00720C83"/>
    <w:rsid w:val="007218DE"/>
    <w:rsid w:val="007225EE"/>
    <w:rsid w:val="00722972"/>
    <w:rsid w:val="007251BD"/>
    <w:rsid w:val="0072521F"/>
    <w:rsid w:val="00726493"/>
    <w:rsid w:val="00726C7B"/>
    <w:rsid w:val="007272D4"/>
    <w:rsid w:val="007273B9"/>
    <w:rsid w:val="00730127"/>
    <w:rsid w:val="00730CAE"/>
    <w:rsid w:val="0073287C"/>
    <w:rsid w:val="00732A5D"/>
    <w:rsid w:val="0073327C"/>
    <w:rsid w:val="0073377B"/>
    <w:rsid w:val="0073382E"/>
    <w:rsid w:val="00734548"/>
    <w:rsid w:val="00734664"/>
    <w:rsid w:val="00736735"/>
    <w:rsid w:val="00737ED0"/>
    <w:rsid w:val="007402CA"/>
    <w:rsid w:val="00740743"/>
    <w:rsid w:val="00740F0D"/>
    <w:rsid w:val="00740FD6"/>
    <w:rsid w:val="00741CA3"/>
    <w:rsid w:val="0074212F"/>
    <w:rsid w:val="007442FA"/>
    <w:rsid w:val="007448A6"/>
    <w:rsid w:val="00747660"/>
    <w:rsid w:val="00747B17"/>
    <w:rsid w:val="00747D9D"/>
    <w:rsid w:val="007500D2"/>
    <w:rsid w:val="007502EA"/>
    <w:rsid w:val="007509C8"/>
    <w:rsid w:val="00750E6E"/>
    <w:rsid w:val="0075135A"/>
    <w:rsid w:val="007518D6"/>
    <w:rsid w:val="007522E5"/>
    <w:rsid w:val="0075259F"/>
    <w:rsid w:val="00753513"/>
    <w:rsid w:val="007547DA"/>
    <w:rsid w:val="00754CFA"/>
    <w:rsid w:val="007550EC"/>
    <w:rsid w:val="00756ED6"/>
    <w:rsid w:val="00757F21"/>
    <w:rsid w:val="0076135C"/>
    <w:rsid w:val="007617CE"/>
    <w:rsid w:val="00762299"/>
    <w:rsid w:val="0076574F"/>
    <w:rsid w:val="00765C1D"/>
    <w:rsid w:val="00765EB9"/>
    <w:rsid w:val="00766030"/>
    <w:rsid w:val="00766DB9"/>
    <w:rsid w:val="00770073"/>
    <w:rsid w:val="0077018F"/>
    <w:rsid w:val="00771E4F"/>
    <w:rsid w:val="0077298A"/>
    <w:rsid w:val="007737AA"/>
    <w:rsid w:val="00773A76"/>
    <w:rsid w:val="00775564"/>
    <w:rsid w:val="00776955"/>
    <w:rsid w:val="0077710E"/>
    <w:rsid w:val="00777607"/>
    <w:rsid w:val="0077767C"/>
    <w:rsid w:val="00777A64"/>
    <w:rsid w:val="00777D27"/>
    <w:rsid w:val="007806EA"/>
    <w:rsid w:val="00780D32"/>
    <w:rsid w:val="00781A7D"/>
    <w:rsid w:val="00781E09"/>
    <w:rsid w:val="00782843"/>
    <w:rsid w:val="0078373D"/>
    <w:rsid w:val="00787D73"/>
    <w:rsid w:val="007912B4"/>
    <w:rsid w:val="0079221D"/>
    <w:rsid w:val="00795793"/>
    <w:rsid w:val="00795D12"/>
    <w:rsid w:val="00796C73"/>
    <w:rsid w:val="007978DE"/>
    <w:rsid w:val="007A1490"/>
    <w:rsid w:val="007A209A"/>
    <w:rsid w:val="007A291E"/>
    <w:rsid w:val="007A54BA"/>
    <w:rsid w:val="007A583C"/>
    <w:rsid w:val="007A5939"/>
    <w:rsid w:val="007A5C7F"/>
    <w:rsid w:val="007A6167"/>
    <w:rsid w:val="007A66D8"/>
    <w:rsid w:val="007A6867"/>
    <w:rsid w:val="007A7B9F"/>
    <w:rsid w:val="007B006B"/>
    <w:rsid w:val="007B01E7"/>
    <w:rsid w:val="007B053B"/>
    <w:rsid w:val="007B0791"/>
    <w:rsid w:val="007B0A17"/>
    <w:rsid w:val="007B1F58"/>
    <w:rsid w:val="007B2F25"/>
    <w:rsid w:val="007B3B8D"/>
    <w:rsid w:val="007B43DF"/>
    <w:rsid w:val="007B4C1C"/>
    <w:rsid w:val="007B4F50"/>
    <w:rsid w:val="007B50BE"/>
    <w:rsid w:val="007B58B1"/>
    <w:rsid w:val="007B5CBD"/>
    <w:rsid w:val="007B6607"/>
    <w:rsid w:val="007B72B2"/>
    <w:rsid w:val="007B735E"/>
    <w:rsid w:val="007B7F5A"/>
    <w:rsid w:val="007C02AF"/>
    <w:rsid w:val="007C1332"/>
    <w:rsid w:val="007C18BF"/>
    <w:rsid w:val="007C2581"/>
    <w:rsid w:val="007C27EF"/>
    <w:rsid w:val="007C2931"/>
    <w:rsid w:val="007C2E4F"/>
    <w:rsid w:val="007C32C5"/>
    <w:rsid w:val="007C372B"/>
    <w:rsid w:val="007C52EA"/>
    <w:rsid w:val="007C5387"/>
    <w:rsid w:val="007C554C"/>
    <w:rsid w:val="007C67D6"/>
    <w:rsid w:val="007C6D7E"/>
    <w:rsid w:val="007C7A52"/>
    <w:rsid w:val="007C7C20"/>
    <w:rsid w:val="007D0F24"/>
    <w:rsid w:val="007D1402"/>
    <w:rsid w:val="007D2ED4"/>
    <w:rsid w:val="007D32EC"/>
    <w:rsid w:val="007D475A"/>
    <w:rsid w:val="007D4F15"/>
    <w:rsid w:val="007D5106"/>
    <w:rsid w:val="007D5625"/>
    <w:rsid w:val="007D6375"/>
    <w:rsid w:val="007D685F"/>
    <w:rsid w:val="007D7450"/>
    <w:rsid w:val="007D7570"/>
    <w:rsid w:val="007D7650"/>
    <w:rsid w:val="007E0531"/>
    <w:rsid w:val="007E14FB"/>
    <w:rsid w:val="007E1A4F"/>
    <w:rsid w:val="007E1E9F"/>
    <w:rsid w:val="007E1EE0"/>
    <w:rsid w:val="007E2FA7"/>
    <w:rsid w:val="007E3500"/>
    <w:rsid w:val="007E3579"/>
    <w:rsid w:val="007E363D"/>
    <w:rsid w:val="007E41CF"/>
    <w:rsid w:val="007E42E3"/>
    <w:rsid w:val="007E5DD0"/>
    <w:rsid w:val="007E60FA"/>
    <w:rsid w:val="007E6F39"/>
    <w:rsid w:val="007E79B7"/>
    <w:rsid w:val="007F0EA2"/>
    <w:rsid w:val="007F2167"/>
    <w:rsid w:val="007F25C3"/>
    <w:rsid w:val="007F459D"/>
    <w:rsid w:val="007F7AF3"/>
    <w:rsid w:val="007F7DAE"/>
    <w:rsid w:val="00800A00"/>
    <w:rsid w:val="0080386F"/>
    <w:rsid w:val="0080448E"/>
    <w:rsid w:val="008056A1"/>
    <w:rsid w:val="00806B1F"/>
    <w:rsid w:val="00811DCD"/>
    <w:rsid w:val="00811E9F"/>
    <w:rsid w:val="00812A19"/>
    <w:rsid w:val="00813310"/>
    <w:rsid w:val="00813410"/>
    <w:rsid w:val="008136E3"/>
    <w:rsid w:val="00814BBD"/>
    <w:rsid w:val="00815E00"/>
    <w:rsid w:val="00816081"/>
    <w:rsid w:val="0081622D"/>
    <w:rsid w:val="00816DF3"/>
    <w:rsid w:val="00816E4C"/>
    <w:rsid w:val="00817E79"/>
    <w:rsid w:val="00817F15"/>
    <w:rsid w:val="008204D8"/>
    <w:rsid w:val="00820DE7"/>
    <w:rsid w:val="008217CF"/>
    <w:rsid w:val="0082197C"/>
    <w:rsid w:val="00821A1D"/>
    <w:rsid w:val="00824E56"/>
    <w:rsid w:val="0082554C"/>
    <w:rsid w:val="00826550"/>
    <w:rsid w:val="0082750D"/>
    <w:rsid w:val="00827CC3"/>
    <w:rsid w:val="008304EC"/>
    <w:rsid w:val="00830BBE"/>
    <w:rsid w:val="00831200"/>
    <w:rsid w:val="008316D5"/>
    <w:rsid w:val="00831989"/>
    <w:rsid w:val="00831AFC"/>
    <w:rsid w:val="0083315B"/>
    <w:rsid w:val="00833CDB"/>
    <w:rsid w:val="00834B17"/>
    <w:rsid w:val="00835294"/>
    <w:rsid w:val="00836C04"/>
    <w:rsid w:val="00836FD4"/>
    <w:rsid w:val="008376B3"/>
    <w:rsid w:val="0083773A"/>
    <w:rsid w:val="00837D47"/>
    <w:rsid w:val="00837E30"/>
    <w:rsid w:val="00840D65"/>
    <w:rsid w:val="00841A33"/>
    <w:rsid w:val="00842902"/>
    <w:rsid w:val="00847245"/>
    <w:rsid w:val="00847777"/>
    <w:rsid w:val="008477BF"/>
    <w:rsid w:val="0085178D"/>
    <w:rsid w:val="00852362"/>
    <w:rsid w:val="008528B5"/>
    <w:rsid w:val="00852F62"/>
    <w:rsid w:val="00854774"/>
    <w:rsid w:val="008558A9"/>
    <w:rsid w:val="00855DD0"/>
    <w:rsid w:val="00856CD9"/>
    <w:rsid w:val="00857A1C"/>
    <w:rsid w:val="0086086A"/>
    <w:rsid w:val="00860BB0"/>
    <w:rsid w:val="00861EC4"/>
    <w:rsid w:val="0086293C"/>
    <w:rsid w:val="00862F07"/>
    <w:rsid w:val="0086339A"/>
    <w:rsid w:val="008641C4"/>
    <w:rsid w:val="00864D1B"/>
    <w:rsid w:val="00864DA5"/>
    <w:rsid w:val="008668BB"/>
    <w:rsid w:val="00867558"/>
    <w:rsid w:val="008705B0"/>
    <w:rsid w:val="008714AA"/>
    <w:rsid w:val="00871B96"/>
    <w:rsid w:val="00871DB4"/>
    <w:rsid w:val="008745B5"/>
    <w:rsid w:val="00875D41"/>
    <w:rsid w:val="00876AA6"/>
    <w:rsid w:val="00876FF4"/>
    <w:rsid w:val="0087713E"/>
    <w:rsid w:val="00882232"/>
    <w:rsid w:val="0088276F"/>
    <w:rsid w:val="008835A9"/>
    <w:rsid w:val="008846F1"/>
    <w:rsid w:val="0088537A"/>
    <w:rsid w:val="0088584C"/>
    <w:rsid w:val="00885A65"/>
    <w:rsid w:val="00886A5D"/>
    <w:rsid w:val="00886AD0"/>
    <w:rsid w:val="0089038E"/>
    <w:rsid w:val="008904AD"/>
    <w:rsid w:val="00891AF0"/>
    <w:rsid w:val="00892E7D"/>
    <w:rsid w:val="00892FAD"/>
    <w:rsid w:val="008933EF"/>
    <w:rsid w:val="00893AB5"/>
    <w:rsid w:val="00895BEF"/>
    <w:rsid w:val="00895DB7"/>
    <w:rsid w:val="00896A80"/>
    <w:rsid w:val="00897679"/>
    <w:rsid w:val="008A3113"/>
    <w:rsid w:val="008A3A6D"/>
    <w:rsid w:val="008A4C21"/>
    <w:rsid w:val="008A54E3"/>
    <w:rsid w:val="008A7497"/>
    <w:rsid w:val="008B0622"/>
    <w:rsid w:val="008B0809"/>
    <w:rsid w:val="008B1B74"/>
    <w:rsid w:val="008B20BD"/>
    <w:rsid w:val="008B3E9B"/>
    <w:rsid w:val="008B4C82"/>
    <w:rsid w:val="008B60BD"/>
    <w:rsid w:val="008B6B2A"/>
    <w:rsid w:val="008B7013"/>
    <w:rsid w:val="008B7895"/>
    <w:rsid w:val="008C186E"/>
    <w:rsid w:val="008C28B7"/>
    <w:rsid w:val="008C2C3F"/>
    <w:rsid w:val="008C3145"/>
    <w:rsid w:val="008C4646"/>
    <w:rsid w:val="008C4815"/>
    <w:rsid w:val="008C4CC6"/>
    <w:rsid w:val="008C4F81"/>
    <w:rsid w:val="008C522C"/>
    <w:rsid w:val="008C52EE"/>
    <w:rsid w:val="008C571E"/>
    <w:rsid w:val="008C70C7"/>
    <w:rsid w:val="008C772E"/>
    <w:rsid w:val="008C7C0B"/>
    <w:rsid w:val="008C7CE1"/>
    <w:rsid w:val="008D067B"/>
    <w:rsid w:val="008D1225"/>
    <w:rsid w:val="008D1D0E"/>
    <w:rsid w:val="008D1E7F"/>
    <w:rsid w:val="008D1F15"/>
    <w:rsid w:val="008D1F2B"/>
    <w:rsid w:val="008D3B96"/>
    <w:rsid w:val="008D5210"/>
    <w:rsid w:val="008D5FC4"/>
    <w:rsid w:val="008D6416"/>
    <w:rsid w:val="008D652C"/>
    <w:rsid w:val="008D7F6B"/>
    <w:rsid w:val="008E05E9"/>
    <w:rsid w:val="008E0D37"/>
    <w:rsid w:val="008E2D53"/>
    <w:rsid w:val="008E4467"/>
    <w:rsid w:val="008E4CD7"/>
    <w:rsid w:val="008E58FC"/>
    <w:rsid w:val="008E641D"/>
    <w:rsid w:val="008E64DA"/>
    <w:rsid w:val="008E660D"/>
    <w:rsid w:val="008E66E5"/>
    <w:rsid w:val="008E7DD4"/>
    <w:rsid w:val="008F056F"/>
    <w:rsid w:val="008F137D"/>
    <w:rsid w:val="008F21C1"/>
    <w:rsid w:val="008F305A"/>
    <w:rsid w:val="008F3154"/>
    <w:rsid w:val="008F3465"/>
    <w:rsid w:val="008F3512"/>
    <w:rsid w:val="008F371C"/>
    <w:rsid w:val="008F3D5F"/>
    <w:rsid w:val="008F438E"/>
    <w:rsid w:val="008F66BA"/>
    <w:rsid w:val="008F7D54"/>
    <w:rsid w:val="008F7DD2"/>
    <w:rsid w:val="009004F9"/>
    <w:rsid w:val="00901509"/>
    <w:rsid w:val="0090344A"/>
    <w:rsid w:val="0090383C"/>
    <w:rsid w:val="00904041"/>
    <w:rsid w:val="0090561B"/>
    <w:rsid w:val="009070E0"/>
    <w:rsid w:val="00910139"/>
    <w:rsid w:val="009112B1"/>
    <w:rsid w:val="00913261"/>
    <w:rsid w:val="00913B82"/>
    <w:rsid w:val="00914276"/>
    <w:rsid w:val="009158AA"/>
    <w:rsid w:val="00916549"/>
    <w:rsid w:val="00916DEB"/>
    <w:rsid w:val="00917022"/>
    <w:rsid w:val="00917485"/>
    <w:rsid w:val="00920C84"/>
    <w:rsid w:val="00920F02"/>
    <w:rsid w:val="00922591"/>
    <w:rsid w:val="00922A73"/>
    <w:rsid w:val="00922D02"/>
    <w:rsid w:val="00922E82"/>
    <w:rsid w:val="00926673"/>
    <w:rsid w:val="00926FCA"/>
    <w:rsid w:val="009271A2"/>
    <w:rsid w:val="0093027F"/>
    <w:rsid w:val="0093151B"/>
    <w:rsid w:val="00931738"/>
    <w:rsid w:val="009319FC"/>
    <w:rsid w:val="00931B31"/>
    <w:rsid w:val="009325AE"/>
    <w:rsid w:val="00932FDF"/>
    <w:rsid w:val="009346E0"/>
    <w:rsid w:val="009349B5"/>
    <w:rsid w:val="0093602A"/>
    <w:rsid w:val="00940224"/>
    <w:rsid w:val="009402E0"/>
    <w:rsid w:val="009425A7"/>
    <w:rsid w:val="0094265B"/>
    <w:rsid w:val="00942CF7"/>
    <w:rsid w:val="00942E4C"/>
    <w:rsid w:val="00944900"/>
    <w:rsid w:val="00944C91"/>
    <w:rsid w:val="00944EA3"/>
    <w:rsid w:val="0094583D"/>
    <w:rsid w:val="00945BCE"/>
    <w:rsid w:val="009466DD"/>
    <w:rsid w:val="009474C1"/>
    <w:rsid w:val="00950947"/>
    <w:rsid w:val="009509BD"/>
    <w:rsid w:val="00950C0B"/>
    <w:rsid w:val="00951984"/>
    <w:rsid w:val="00952732"/>
    <w:rsid w:val="0095439B"/>
    <w:rsid w:val="00954EC8"/>
    <w:rsid w:val="009553FC"/>
    <w:rsid w:val="009554DD"/>
    <w:rsid w:val="00956136"/>
    <w:rsid w:val="0095681C"/>
    <w:rsid w:val="00957E5D"/>
    <w:rsid w:val="0096009C"/>
    <w:rsid w:val="009624C2"/>
    <w:rsid w:val="0096374D"/>
    <w:rsid w:val="00966DA4"/>
    <w:rsid w:val="00970201"/>
    <w:rsid w:val="00971402"/>
    <w:rsid w:val="00971744"/>
    <w:rsid w:val="00971830"/>
    <w:rsid w:val="00971A5A"/>
    <w:rsid w:val="00972C2E"/>
    <w:rsid w:val="00972EB6"/>
    <w:rsid w:val="009735F2"/>
    <w:rsid w:val="0097707B"/>
    <w:rsid w:val="009774AE"/>
    <w:rsid w:val="00980A15"/>
    <w:rsid w:val="00980C9E"/>
    <w:rsid w:val="009846CF"/>
    <w:rsid w:val="00984BF8"/>
    <w:rsid w:val="009850BA"/>
    <w:rsid w:val="00985D75"/>
    <w:rsid w:val="00986146"/>
    <w:rsid w:val="00987534"/>
    <w:rsid w:val="00990E20"/>
    <w:rsid w:val="00990ED9"/>
    <w:rsid w:val="00992514"/>
    <w:rsid w:val="00992888"/>
    <w:rsid w:val="00992AA9"/>
    <w:rsid w:val="009947F1"/>
    <w:rsid w:val="009949CE"/>
    <w:rsid w:val="00994F03"/>
    <w:rsid w:val="009972B4"/>
    <w:rsid w:val="009A01F1"/>
    <w:rsid w:val="009A045C"/>
    <w:rsid w:val="009A081F"/>
    <w:rsid w:val="009A0EB3"/>
    <w:rsid w:val="009A0F19"/>
    <w:rsid w:val="009A1D3C"/>
    <w:rsid w:val="009A1E77"/>
    <w:rsid w:val="009A2123"/>
    <w:rsid w:val="009A43E6"/>
    <w:rsid w:val="009A47F0"/>
    <w:rsid w:val="009A5D78"/>
    <w:rsid w:val="009A6127"/>
    <w:rsid w:val="009A6C1F"/>
    <w:rsid w:val="009A77F3"/>
    <w:rsid w:val="009A7B25"/>
    <w:rsid w:val="009B05A6"/>
    <w:rsid w:val="009B0BA2"/>
    <w:rsid w:val="009B1322"/>
    <w:rsid w:val="009B2029"/>
    <w:rsid w:val="009B27DF"/>
    <w:rsid w:val="009B2ABB"/>
    <w:rsid w:val="009B3429"/>
    <w:rsid w:val="009B387F"/>
    <w:rsid w:val="009B5848"/>
    <w:rsid w:val="009B6103"/>
    <w:rsid w:val="009B6310"/>
    <w:rsid w:val="009B64AA"/>
    <w:rsid w:val="009B6859"/>
    <w:rsid w:val="009B6E90"/>
    <w:rsid w:val="009B7E61"/>
    <w:rsid w:val="009C0395"/>
    <w:rsid w:val="009C0670"/>
    <w:rsid w:val="009C0DB6"/>
    <w:rsid w:val="009C2D4D"/>
    <w:rsid w:val="009C3F50"/>
    <w:rsid w:val="009C4DDA"/>
    <w:rsid w:val="009C56B9"/>
    <w:rsid w:val="009C60FB"/>
    <w:rsid w:val="009C61D4"/>
    <w:rsid w:val="009C6A99"/>
    <w:rsid w:val="009C6D41"/>
    <w:rsid w:val="009C7432"/>
    <w:rsid w:val="009C750F"/>
    <w:rsid w:val="009C796D"/>
    <w:rsid w:val="009C7CB5"/>
    <w:rsid w:val="009D18C6"/>
    <w:rsid w:val="009D1DA9"/>
    <w:rsid w:val="009D3922"/>
    <w:rsid w:val="009D4471"/>
    <w:rsid w:val="009D4775"/>
    <w:rsid w:val="009D4AE0"/>
    <w:rsid w:val="009D56BB"/>
    <w:rsid w:val="009D5D54"/>
    <w:rsid w:val="009D6DFE"/>
    <w:rsid w:val="009D771F"/>
    <w:rsid w:val="009E191B"/>
    <w:rsid w:val="009E2771"/>
    <w:rsid w:val="009E322F"/>
    <w:rsid w:val="009E4300"/>
    <w:rsid w:val="009E4DF6"/>
    <w:rsid w:val="009E58C7"/>
    <w:rsid w:val="009E6334"/>
    <w:rsid w:val="009E6E52"/>
    <w:rsid w:val="009E705F"/>
    <w:rsid w:val="009E7251"/>
    <w:rsid w:val="009E7A57"/>
    <w:rsid w:val="009E7EE6"/>
    <w:rsid w:val="009F1542"/>
    <w:rsid w:val="009F1734"/>
    <w:rsid w:val="009F2E83"/>
    <w:rsid w:val="009F3B03"/>
    <w:rsid w:val="009F4E51"/>
    <w:rsid w:val="009F652E"/>
    <w:rsid w:val="009F669E"/>
    <w:rsid w:val="009F6C96"/>
    <w:rsid w:val="009F6ED1"/>
    <w:rsid w:val="009F7467"/>
    <w:rsid w:val="00A00155"/>
    <w:rsid w:val="00A01043"/>
    <w:rsid w:val="00A0126B"/>
    <w:rsid w:val="00A01720"/>
    <w:rsid w:val="00A02454"/>
    <w:rsid w:val="00A02548"/>
    <w:rsid w:val="00A02D52"/>
    <w:rsid w:val="00A03A7D"/>
    <w:rsid w:val="00A03B4A"/>
    <w:rsid w:val="00A048CA"/>
    <w:rsid w:val="00A04AA5"/>
    <w:rsid w:val="00A072C1"/>
    <w:rsid w:val="00A07B14"/>
    <w:rsid w:val="00A113B3"/>
    <w:rsid w:val="00A11694"/>
    <w:rsid w:val="00A12A17"/>
    <w:rsid w:val="00A12F12"/>
    <w:rsid w:val="00A134B2"/>
    <w:rsid w:val="00A139E6"/>
    <w:rsid w:val="00A13AE9"/>
    <w:rsid w:val="00A14C28"/>
    <w:rsid w:val="00A16061"/>
    <w:rsid w:val="00A16582"/>
    <w:rsid w:val="00A16772"/>
    <w:rsid w:val="00A16E83"/>
    <w:rsid w:val="00A17085"/>
    <w:rsid w:val="00A2036F"/>
    <w:rsid w:val="00A20B1A"/>
    <w:rsid w:val="00A21509"/>
    <w:rsid w:val="00A22BC9"/>
    <w:rsid w:val="00A24769"/>
    <w:rsid w:val="00A250DA"/>
    <w:rsid w:val="00A25620"/>
    <w:rsid w:val="00A2662F"/>
    <w:rsid w:val="00A26E55"/>
    <w:rsid w:val="00A27D3E"/>
    <w:rsid w:val="00A31EA1"/>
    <w:rsid w:val="00A31ED2"/>
    <w:rsid w:val="00A31F1F"/>
    <w:rsid w:val="00A32146"/>
    <w:rsid w:val="00A331B3"/>
    <w:rsid w:val="00A33C7F"/>
    <w:rsid w:val="00A33FE0"/>
    <w:rsid w:val="00A35768"/>
    <w:rsid w:val="00A36146"/>
    <w:rsid w:val="00A36D05"/>
    <w:rsid w:val="00A377EF"/>
    <w:rsid w:val="00A379E0"/>
    <w:rsid w:val="00A4117D"/>
    <w:rsid w:val="00A42017"/>
    <w:rsid w:val="00A425A6"/>
    <w:rsid w:val="00A4272C"/>
    <w:rsid w:val="00A428EA"/>
    <w:rsid w:val="00A429C0"/>
    <w:rsid w:val="00A43172"/>
    <w:rsid w:val="00A43A21"/>
    <w:rsid w:val="00A43B00"/>
    <w:rsid w:val="00A446B7"/>
    <w:rsid w:val="00A45306"/>
    <w:rsid w:val="00A45A73"/>
    <w:rsid w:val="00A46106"/>
    <w:rsid w:val="00A47E87"/>
    <w:rsid w:val="00A47ED7"/>
    <w:rsid w:val="00A47F97"/>
    <w:rsid w:val="00A5258C"/>
    <w:rsid w:val="00A526BF"/>
    <w:rsid w:val="00A538EB"/>
    <w:rsid w:val="00A541BE"/>
    <w:rsid w:val="00A57180"/>
    <w:rsid w:val="00A6060F"/>
    <w:rsid w:val="00A60BE4"/>
    <w:rsid w:val="00A6169A"/>
    <w:rsid w:val="00A628ED"/>
    <w:rsid w:val="00A64011"/>
    <w:rsid w:val="00A65364"/>
    <w:rsid w:val="00A654C1"/>
    <w:rsid w:val="00A65A24"/>
    <w:rsid w:val="00A66322"/>
    <w:rsid w:val="00A6632D"/>
    <w:rsid w:val="00A67605"/>
    <w:rsid w:val="00A67CA0"/>
    <w:rsid w:val="00A70308"/>
    <w:rsid w:val="00A7097C"/>
    <w:rsid w:val="00A712FA"/>
    <w:rsid w:val="00A71A85"/>
    <w:rsid w:val="00A72138"/>
    <w:rsid w:val="00A7271F"/>
    <w:rsid w:val="00A7430F"/>
    <w:rsid w:val="00A756FC"/>
    <w:rsid w:val="00A763B2"/>
    <w:rsid w:val="00A77112"/>
    <w:rsid w:val="00A77A56"/>
    <w:rsid w:val="00A80317"/>
    <w:rsid w:val="00A80438"/>
    <w:rsid w:val="00A818B5"/>
    <w:rsid w:val="00A81BA4"/>
    <w:rsid w:val="00A824FF"/>
    <w:rsid w:val="00A82EC3"/>
    <w:rsid w:val="00A82FDB"/>
    <w:rsid w:val="00A839BC"/>
    <w:rsid w:val="00A841EE"/>
    <w:rsid w:val="00A843ED"/>
    <w:rsid w:val="00A85A0C"/>
    <w:rsid w:val="00A866D6"/>
    <w:rsid w:val="00A867D8"/>
    <w:rsid w:val="00A90878"/>
    <w:rsid w:val="00A92684"/>
    <w:rsid w:val="00A93C69"/>
    <w:rsid w:val="00A93EE1"/>
    <w:rsid w:val="00A94509"/>
    <w:rsid w:val="00A947BE"/>
    <w:rsid w:val="00A948B1"/>
    <w:rsid w:val="00A95790"/>
    <w:rsid w:val="00A969DE"/>
    <w:rsid w:val="00A97396"/>
    <w:rsid w:val="00A97565"/>
    <w:rsid w:val="00AA0D88"/>
    <w:rsid w:val="00AA1E13"/>
    <w:rsid w:val="00AA1FEB"/>
    <w:rsid w:val="00AA24CB"/>
    <w:rsid w:val="00AA4832"/>
    <w:rsid w:val="00AA52B4"/>
    <w:rsid w:val="00AA5A2D"/>
    <w:rsid w:val="00AA7982"/>
    <w:rsid w:val="00AB14E0"/>
    <w:rsid w:val="00AB1985"/>
    <w:rsid w:val="00AB1FF4"/>
    <w:rsid w:val="00AB3527"/>
    <w:rsid w:val="00AB38CA"/>
    <w:rsid w:val="00AB511C"/>
    <w:rsid w:val="00AB60E2"/>
    <w:rsid w:val="00AB6456"/>
    <w:rsid w:val="00AB6AEF"/>
    <w:rsid w:val="00AB7107"/>
    <w:rsid w:val="00AB7139"/>
    <w:rsid w:val="00AB7C34"/>
    <w:rsid w:val="00AC14D1"/>
    <w:rsid w:val="00AC22A0"/>
    <w:rsid w:val="00AC244F"/>
    <w:rsid w:val="00AC392D"/>
    <w:rsid w:val="00AC3C2E"/>
    <w:rsid w:val="00AC488B"/>
    <w:rsid w:val="00AC4CC9"/>
    <w:rsid w:val="00AC5D60"/>
    <w:rsid w:val="00AC6957"/>
    <w:rsid w:val="00AC76F5"/>
    <w:rsid w:val="00AD0C19"/>
    <w:rsid w:val="00AD2869"/>
    <w:rsid w:val="00AD2B96"/>
    <w:rsid w:val="00AD478B"/>
    <w:rsid w:val="00AD5A34"/>
    <w:rsid w:val="00AD5F18"/>
    <w:rsid w:val="00AE0F11"/>
    <w:rsid w:val="00AE1C47"/>
    <w:rsid w:val="00AE1E2E"/>
    <w:rsid w:val="00AE2057"/>
    <w:rsid w:val="00AE2820"/>
    <w:rsid w:val="00AE2BAB"/>
    <w:rsid w:val="00AE33ED"/>
    <w:rsid w:val="00AE5BDE"/>
    <w:rsid w:val="00AE7510"/>
    <w:rsid w:val="00AF044A"/>
    <w:rsid w:val="00AF0FF7"/>
    <w:rsid w:val="00AF1F2F"/>
    <w:rsid w:val="00AF2E25"/>
    <w:rsid w:val="00AF42FD"/>
    <w:rsid w:val="00AF59E7"/>
    <w:rsid w:val="00AF6265"/>
    <w:rsid w:val="00AF6BB4"/>
    <w:rsid w:val="00AF6BDD"/>
    <w:rsid w:val="00AF7523"/>
    <w:rsid w:val="00B00383"/>
    <w:rsid w:val="00B0098D"/>
    <w:rsid w:val="00B018BC"/>
    <w:rsid w:val="00B0260E"/>
    <w:rsid w:val="00B02A35"/>
    <w:rsid w:val="00B04C55"/>
    <w:rsid w:val="00B05581"/>
    <w:rsid w:val="00B0682B"/>
    <w:rsid w:val="00B07CDD"/>
    <w:rsid w:val="00B07E11"/>
    <w:rsid w:val="00B10547"/>
    <w:rsid w:val="00B113CC"/>
    <w:rsid w:val="00B11456"/>
    <w:rsid w:val="00B114A3"/>
    <w:rsid w:val="00B1195C"/>
    <w:rsid w:val="00B11981"/>
    <w:rsid w:val="00B11A9E"/>
    <w:rsid w:val="00B12D4D"/>
    <w:rsid w:val="00B13220"/>
    <w:rsid w:val="00B1431D"/>
    <w:rsid w:val="00B1679C"/>
    <w:rsid w:val="00B16EAB"/>
    <w:rsid w:val="00B16F27"/>
    <w:rsid w:val="00B1771C"/>
    <w:rsid w:val="00B17B88"/>
    <w:rsid w:val="00B20597"/>
    <w:rsid w:val="00B20ADD"/>
    <w:rsid w:val="00B20B1F"/>
    <w:rsid w:val="00B21A44"/>
    <w:rsid w:val="00B21A9F"/>
    <w:rsid w:val="00B21BF0"/>
    <w:rsid w:val="00B21BF2"/>
    <w:rsid w:val="00B227CC"/>
    <w:rsid w:val="00B22BCD"/>
    <w:rsid w:val="00B239FA"/>
    <w:rsid w:val="00B23A59"/>
    <w:rsid w:val="00B23BDF"/>
    <w:rsid w:val="00B25705"/>
    <w:rsid w:val="00B25807"/>
    <w:rsid w:val="00B25DA6"/>
    <w:rsid w:val="00B25E64"/>
    <w:rsid w:val="00B26EA4"/>
    <w:rsid w:val="00B31643"/>
    <w:rsid w:val="00B35742"/>
    <w:rsid w:val="00B35D64"/>
    <w:rsid w:val="00B3628F"/>
    <w:rsid w:val="00B36379"/>
    <w:rsid w:val="00B363FB"/>
    <w:rsid w:val="00B364E8"/>
    <w:rsid w:val="00B372D9"/>
    <w:rsid w:val="00B37E5E"/>
    <w:rsid w:val="00B407F7"/>
    <w:rsid w:val="00B40CCB"/>
    <w:rsid w:val="00B41CF3"/>
    <w:rsid w:val="00B42A7F"/>
    <w:rsid w:val="00B42B1C"/>
    <w:rsid w:val="00B43812"/>
    <w:rsid w:val="00B43842"/>
    <w:rsid w:val="00B43F5D"/>
    <w:rsid w:val="00B44032"/>
    <w:rsid w:val="00B45E12"/>
    <w:rsid w:val="00B468AF"/>
    <w:rsid w:val="00B519C5"/>
    <w:rsid w:val="00B51B78"/>
    <w:rsid w:val="00B522A6"/>
    <w:rsid w:val="00B528CF"/>
    <w:rsid w:val="00B53C22"/>
    <w:rsid w:val="00B53F3F"/>
    <w:rsid w:val="00B540E7"/>
    <w:rsid w:val="00B541B9"/>
    <w:rsid w:val="00B54834"/>
    <w:rsid w:val="00B55791"/>
    <w:rsid w:val="00B55BBD"/>
    <w:rsid w:val="00B56AC9"/>
    <w:rsid w:val="00B600D9"/>
    <w:rsid w:val="00B61465"/>
    <w:rsid w:val="00B636BE"/>
    <w:rsid w:val="00B6397D"/>
    <w:rsid w:val="00B6405A"/>
    <w:rsid w:val="00B64466"/>
    <w:rsid w:val="00B6467C"/>
    <w:rsid w:val="00B653BC"/>
    <w:rsid w:val="00B65763"/>
    <w:rsid w:val="00B66AB4"/>
    <w:rsid w:val="00B67AC9"/>
    <w:rsid w:val="00B67CFF"/>
    <w:rsid w:val="00B7003F"/>
    <w:rsid w:val="00B7072F"/>
    <w:rsid w:val="00B726BD"/>
    <w:rsid w:val="00B72966"/>
    <w:rsid w:val="00B745B1"/>
    <w:rsid w:val="00B77A7D"/>
    <w:rsid w:val="00B77D1D"/>
    <w:rsid w:val="00B80104"/>
    <w:rsid w:val="00B805E4"/>
    <w:rsid w:val="00B80DAE"/>
    <w:rsid w:val="00B811D6"/>
    <w:rsid w:val="00B814E7"/>
    <w:rsid w:val="00B82039"/>
    <w:rsid w:val="00B82698"/>
    <w:rsid w:val="00B8272E"/>
    <w:rsid w:val="00B833BF"/>
    <w:rsid w:val="00B84302"/>
    <w:rsid w:val="00B84B85"/>
    <w:rsid w:val="00B84C76"/>
    <w:rsid w:val="00B84DDC"/>
    <w:rsid w:val="00B853DA"/>
    <w:rsid w:val="00B86576"/>
    <w:rsid w:val="00B86DCD"/>
    <w:rsid w:val="00B876A5"/>
    <w:rsid w:val="00B87BF6"/>
    <w:rsid w:val="00B87DCC"/>
    <w:rsid w:val="00B907DF"/>
    <w:rsid w:val="00B90804"/>
    <w:rsid w:val="00B92080"/>
    <w:rsid w:val="00B932C4"/>
    <w:rsid w:val="00B93856"/>
    <w:rsid w:val="00B94394"/>
    <w:rsid w:val="00B950AD"/>
    <w:rsid w:val="00B9607F"/>
    <w:rsid w:val="00B9731F"/>
    <w:rsid w:val="00BA0346"/>
    <w:rsid w:val="00BA0CCD"/>
    <w:rsid w:val="00BA18FE"/>
    <w:rsid w:val="00BA1DE7"/>
    <w:rsid w:val="00BA2435"/>
    <w:rsid w:val="00BA2473"/>
    <w:rsid w:val="00BA3742"/>
    <w:rsid w:val="00BA525E"/>
    <w:rsid w:val="00BA55C5"/>
    <w:rsid w:val="00BA6CC7"/>
    <w:rsid w:val="00BA6FDB"/>
    <w:rsid w:val="00BA7021"/>
    <w:rsid w:val="00BA7C2B"/>
    <w:rsid w:val="00BA7DA0"/>
    <w:rsid w:val="00BA7EC6"/>
    <w:rsid w:val="00BB0945"/>
    <w:rsid w:val="00BB43D3"/>
    <w:rsid w:val="00BB4A5F"/>
    <w:rsid w:val="00BB4D31"/>
    <w:rsid w:val="00BB662B"/>
    <w:rsid w:val="00BB7097"/>
    <w:rsid w:val="00BB7392"/>
    <w:rsid w:val="00BB7396"/>
    <w:rsid w:val="00BB7EF4"/>
    <w:rsid w:val="00BC079B"/>
    <w:rsid w:val="00BC1D50"/>
    <w:rsid w:val="00BC2298"/>
    <w:rsid w:val="00BC4B77"/>
    <w:rsid w:val="00BC4EB6"/>
    <w:rsid w:val="00BC4FB5"/>
    <w:rsid w:val="00BC7F8B"/>
    <w:rsid w:val="00BD0271"/>
    <w:rsid w:val="00BD13D6"/>
    <w:rsid w:val="00BD158F"/>
    <w:rsid w:val="00BD17AA"/>
    <w:rsid w:val="00BD1804"/>
    <w:rsid w:val="00BD21F3"/>
    <w:rsid w:val="00BD2401"/>
    <w:rsid w:val="00BD2932"/>
    <w:rsid w:val="00BD294F"/>
    <w:rsid w:val="00BD3A58"/>
    <w:rsid w:val="00BD3C74"/>
    <w:rsid w:val="00BD3EDC"/>
    <w:rsid w:val="00BD5205"/>
    <w:rsid w:val="00BD67C7"/>
    <w:rsid w:val="00BD739D"/>
    <w:rsid w:val="00BE0246"/>
    <w:rsid w:val="00BE10DD"/>
    <w:rsid w:val="00BE1824"/>
    <w:rsid w:val="00BE3B85"/>
    <w:rsid w:val="00BE423B"/>
    <w:rsid w:val="00BE465C"/>
    <w:rsid w:val="00BE4990"/>
    <w:rsid w:val="00BE7015"/>
    <w:rsid w:val="00BE7D0B"/>
    <w:rsid w:val="00BF30BE"/>
    <w:rsid w:val="00BF3810"/>
    <w:rsid w:val="00BF4273"/>
    <w:rsid w:val="00BF447E"/>
    <w:rsid w:val="00BF567D"/>
    <w:rsid w:val="00BF6DB1"/>
    <w:rsid w:val="00C01755"/>
    <w:rsid w:val="00C027BF"/>
    <w:rsid w:val="00C036D9"/>
    <w:rsid w:val="00C05723"/>
    <w:rsid w:val="00C06DC6"/>
    <w:rsid w:val="00C1009A"/>
    <w:rsid w:val="00C10135"/>
    <w:rsid w:val="00C103AF"/>
    <w:rsid w:val="00C10A3C"/>
    <w:rsid w:val="00C10AB7"/>
    <w:rsid w:val="00C1124D"/>
    <w:rsid w:val="00C118B3"/>
    <w:rsid w:val="00C122C6"/>
    <w:rsid w:val="00C133E4"/>
    <w:rsid w:val="00C133E7"/>
    <w:rsid w:val="00C13BE5"/>
    <w:rsid w:val="00C15A80"/>
    <w:rsid w:val="00C16962"/>
    <w:rsid w:val="00C16C27"/>
    <w:rsid w:val="00C1753B"/>
    <w:rsid w:val="00C20017"/>
    <w:rsid w:val="00C20615"/>
    <w:rsid w:val="00C21F0D"/>
    <w:rsid w:val="00C22B47"/>
    <w:rsid w:val="00C22F62"/>
    <w:rsid w:val="00C23589"/>
    <w:rsid w:val="00C24C68"/>
    <w:rsid w:val="00C24F14"/>
    <w:rsid w:val="00C251B7"/>
    <w:rsid w:val="00C256D7"/>
    <w:rsid w:val="00C26BF6"/>
    <w:rsid w:val="00C27038"/>
    <w:rsid w:val="00C30349"/>
    <w:rsid w:val="00C31BA5"/>
    <w:rsid w:val="00C3214A"/>
    <w:rsid w:val="00C32AA5"/>
    <w:rsid w:val="00C33426"/>
    <w:rsid w:val="00C34633"/>
    <w:rsid w:val="00C349E8"/>
    <w:rsid w:val="00C352EC"/>
    <w:rsid w:val="00C35459"/>
    <w:rsid w:val="00C36621"/>
    <w:rsid w:val="00C40F2B"/>
    <w:rsid w:val="00C42257"/>
    <w:rsid w:val="00C4247A"/>
    <w:rsid w:val="00C42505"/>
    <w:rsid w:val="00C42ADB"/>
    <w:rsid w:val="00C4396C"/>
    <w:rsid w:val="00C44691"/>
    <w:rsid w:val="00C4512E"/>
    <w:rsid w:val="00C46101"/>
    <w:rsid w:val="00C46231"/>
    <w:rsid w:val="00C46887"/>
    <w:rsid w:val="00C47F3D"/>
    <w:rsid w:val="00C5255D"/>
    <w:rsid w:val="00C5270F"/>
    <w:rsid w:val="00C538C1"/>
    <w:rsid w:val="00C53BC6"/>
    <w:rsid w:val="00C54416"/>
    <w:rsid w:val="00C54DA6"/>
    <w:rsid w:val="00C55787"/>
    <w:rsid w:val="00C57059"/>
    <w:rsid w:val="00C609A5"/>
    <w:rsid w:val="00C61F15"/>
    <w:rsid w:val="00C620F4"/>
    <w:rsid w:val="00C62769"/>
    <w:rsid w:val="00C632A2"/>
    <w:rsid w:val="00C6374C"/>
    <w:rsid w:val="00C63808"/>
    <w:rsid w:val="00C64A64"/>
    <w:rsid w:val="00C64FC7"/>
    <w:rsid w:val="00C654B8"/>
    <w:rsid w:val="00C655A8"/>
    <w:rsid w:val="00C660A0"/>
    <w:rsid w:val="00C66134"/>
    <w:rsid w:val="00C66464"/>
    <w:rsid w:val="00C702D6"/>
    <w:rsid w:val="00C70BDA"/>
    <w:rsid w:val="00C723F9"/>
    <w:rsid w:val="00C72BCD"/>
    <w:rsid w:val="00C73A0A"/>
    <w:rsid w:val="00C763D3"/>
    <w:rsid w:val="00C76904"/>
    <w:rsid w:val="00C7765B"/>
    <w:rsid w:val="00C77983"/>
    <w:rsid w:val="00C779E3"/>
    <w:rsid w:val="00C818B5"/>
    <w:rsid w:val="00C8243D"/>
    <w:rsid w:val="00C83326"/>
    <w:rsid w:val="00C839C7"/>
    <w:rsid w:val="00C83B36"/>
    <w:rsid w:val="00C852D4"/>
    <w:rsid w:val="00C8560B"/>
    <w:rsid w:val="00C87E2D"/>
    <w:rsid w:val="00C908AE"/>
    <w:rsid w:val="00C909C0"/>
    <w:rsid w:val="00C90DAF"/>
    <w:rsid w:val="00C90EA8"/>
    <w:rsid w:val="00C916B4"/>
    <w:rsid w:val="00C91BD8"/>
    <w:rsid w:val="00C92252"/>
    <w:rsid w:val="00C92613"/>
    <w:rsid w:val="00C9597C"/>
    <w:rsid w:val="00C9627B"/>
    <w:rsid w:val="00C962F1"/>
    <w:rsid w:val="00C9657E"/>
    <w:rsid w:val="00C9692E"/>
    <w:rsid w:val="00C9773F"/>
    <w:rsid w:val="00CA13DB"/>
    <w:rsid w:val="00CA1F7A"/>
    <w:rsid w:val="00CA2EAA"/>
    <w:rsid w:val="00CA3848"/>
    <w:rsid w:val="00CA3EDB"/>
    <w:rsid w:val="00CA4F9B"/>
    <w:rsid w:val="00CA58E8"/>
    <w:rsid w:val="00CA5F96"/>
    <w:rsid w:val="00CA637F"/>
    <w:rsid w:val="00CA6C44"/>
    <w:rsid w:val="00CA6DD5"/>
    <w:rsid w:val="00CA7170"/>
    <w:rsid w:val="00CA738A"/>
    <w:rsid w:val="00CA7753"/>
    <w:rsid w:val="00CA7E0E"/>
    <w:rsid w:val="00CB06AB"/>
    <w:rsid w:val="00CB0E75"/>
    <w:rsid w:val="00CB116D"/>
    <w:rsid w:val="00CB1504"/>
    <w:rsid w:val="00CB2742"/>
    <w:rsid w:val="00CB307D"/>
    <w:rsid w:val="00CB36B3"/>
    <w:rsid w:val="00CB387F"/>
    <w:rsid w:val="00CB5F69"/>
    <w:rsid w:val="00CB763B"/>
    <w:rsid w:val="00CC08EE"/>
    <w:rsid w:val="00CC08F1"/>
    <w:rsid w:val="00CC0C2F"/>
    <w:rsid w:val="00CC1B54"/>
    <w:rsid w:val="00CC320A"/>
    <w:rsid w:val="00CC56F4"/>
    <w:rsid w:val="00CC5B2C"/>
    <w:rsid w:val="00CC627C"/>
    <w:rsid w:val="00CC662B"/>
    <w:rsid w:val="00CC745B"/>
    <w:rsid w:val="00CD0317"/>
    <w:rsid w:val="00CD0A5D"/>
    <w:rsid w:val="00CD2680"/>
    <w:rsid w:val="00CD3000"/>
    <w:rsid w:val="00CD3559"/>
    <w:rsid w:val="00CD38BD"/>
    <w:rsid w:val="00CD4212"/>
    <w:rsid w:val="00CD49AE"/>
    <w:rsid w:val="00CD5296"/>
    <w:rsid w:val="00CD7058"/>
    <w:rsid w:val="00CE02B0"/>
    <w:rsid w:val="00CE03CA"/>
    <w:rsid w:val="00CE0764"/>
    <w:rsid w:val="00CE1721"/>
    <w:rsid w:val="00CE2E5E"/>
    <w:rsid w:val="00CE3670"/>
    <w:rsid w:val="00CE3921"/>
    <w:rsid w:val="00CE3F98"/>
    <w:rsid w:val="00CE4665"/>
    <w:rsid w:val="00CE4A4A"/>
    <w:rsid w:val="00CE4B31"/>
    <w:rsid w:val="00CE53DD"/>
    <w:rsid w:val="00CE57A6"/>
    <w:rsid w:val="00CE5886"/>
    <w:rsid w:val="00CE67FD"/>
    <w:rsid w:val="00CE701B"/>
    <w:rsid w:val="00CE7331"/>
    <w:rsid w:val="00CE7473"/>
    <w:rsid w:val="00CF0732"/>
    <w:rsid w:val="00CF1126"/>
    <w:rsid w:val="00CF24AD"/>
    <w:rsid w:val="00CF2FEF"/>
    <w:rsid w:val="00CF4273"/>
    <w:rsid w:val="00CF49C3"/>
    <w:rsid w:val="00CF5FBE"/>
    <w:rsid w:val="00CF6275"/>
    <w:rsid w:val="00CF7606"/>
    <w:rsid w:val="00CF77D6"/>
    <w:rsid w:val="00D00889"/>
    <w:rsid w:val="00D01238"/>
    <w:rsid w:val="00D01E89"/>
    <w:rsid w:val="00D0202D"/>
    <w:rsid w:val="00D028C3"/>
    <w:rsid w:val="00D0348E"/>
    <w:rsid w:val="00D03781"/>
    <w:rsid w:val="00D0385D"/>
    <w:rsid w:val="00D0450A"/>
    <w:rsid w:val="00D062B9"/>
    <w:rsid w:val="00D065DA"/>
    <w:rsid w:val="00D06E1E"/>
    <w:rsid w:val="00D1018B"/>
    <w:rsid w:val="00D10A04"/>
    <w:rsid w:val="00D128D7"/>
    <w:rsid w:val="00D131E9"/>
    <w:rsid w:val="00D1471A"/>
    <w:rsid w:val="00D152D9"/>
    <w:rsid w:val="00D15BC3"/>
    <w:rsid w:val="00D16328"/>
    <w:rsid w:val="00D1692E"/>
    <w:rsid w:val="00D16FF9"/>
    <w:rsid w:val="00D17D88"/>
    <w:rsid w:val="00D17DF9"/>
    <w:rsid w:val="00D2167C"/>
    <w:rsid w:val="00D2282C"/>
    <w:rsid w:val="00D22F0B"/>
    <w:rsid w:val="00D23D1F"/>
    <w:rsid w:val="00D23F20"/>
    <w:rsid w:val="00D24C21"/>
    <w:rsid w:val="00D26BBF"/>
    <w:rsid w:val="00D26E9C"/>
    <w:rsid w:val="00D27BC8"/>
    <w:rsid w:val="00D316FE"/>
    <w:rsid w:val="00D3262D"/>
    <w:rsid w:val="00D32A6A"/>
    <w:rsid w:val="00D33F7C"/>
    <w:rsid w:val="00D34976"/>
    <w:rsid w:val="00D35EDA"/>
    <w:rsid w:val="00D36D16"/>
    <w:rsid w:val="00D379DA"/>
    <w:rsid w:val="00D41955"/>
    <w:rsid w:val="00D41CEF"/>
    <w:rsid w:val="00D41F15"/>
    <w:rsid w:val="00D428DD"/>
    <w:rsid w:val="00D42A9B"/>
    <w:rsid w:val="00D436B0"/>
    <w:rsid w:val="00D43EC5"/>
    <w:rsid w:val="00D44378"/>
    <w:rsid w:val="00D44C7A"/>
    <w:rsid w:val="00D44E9F"/>
    <w:rsid w:val="00D46528"/>
    <w:rsid w:val="00D47ADA"/>
    <w:rsid w:val="00D47EDA"/>
    <w:rsid w:val="00D507E7"/>
    <w:rsid w:val="00D50FD9"/>
    <w:rsid w:val="00D516BE"/>
    <w:rsid w:val="00D521CB"/>
    <w:rsid w:val="00D522E9"/>
    <w:rsid w:val="00D52596"/>
    <w:rsid w:val="00D53811"/>
    <w:rsid w:val="00D53DAE"/>
    <w:rsid w:val="00D543C1"/>
    <w:rsid w:val="00D54667"/>
    <w:rsid w:val="00D54699"/>
    <w:rsid w:val="00D5516F"/>
    <w:rsid w:val="00D554B6"/>
    <w:rsid w:val="00D564A7"/>
    <w:rsid w:val="00D566D4"/>
    <w:rsid w:val="00D604C1"/>
    <w:rsid w:val="00D62698"/>
    <w:rsid w:val="00D62831"/>
    <w:rsid w:val="00D62DC1"/>
    <w:rsid w:val="00D641AA"/>
    <w:rsid w:val="00D64AD2"/>
    <w:rsid w:val="00D65F6E"/>
    <w:rsid w:val="00D702D2"/>
    <w:rsid w:val="00D7034F"/>
    <w:rsid w:val="00D70AD3"/>
    <w:rsid w:val="00D70DF4"/>
    <w:rsid w:val="00D71A09"/>
    <w:rsid w:val="00D71FD0"/>
    <w:rsid w:val="00D72D6A"/>
    <w:rsid w:val="00D73337"/>
    <w:rsid w:val="00D733A1"/>
    <w:rsid w:val="00D74300"/>
    <w:rsid w:val="00D75A3C"/>
    <w:rsid w:val="00D76680"/>
    <w:rsid w:val="00D802C2"/>
    <w:rsid w:val="00D80350"/>
    <w:rsid w:val="00D803BC"/>
    <w:rsid w:val="00D80A78"/>
    <w:rsid w:val="00D81D55"/>
    <w:rsid w:val="00D81F28"/>
    <w:rsid w:val="00D8253A"/>
    <w:rsid w:val="00D82FC4"/>
    <w:rsid w:val="00D83FF9"/>
    <w:rsid w:val="00D849C0"/>
    <w:rsid w:val="00D84CCA"/>
    <w:rsid w:val="00D84DBD"/>
    <w:rsid w:val="00D85988"/>
    <w:rsid w:val="00D860A8"/>
    <w:rsid w:val="00D86166"/>
    <w:rsid w:val="00D86C8B"/>
    <w:rsid w:val="00D8737F"/>
    <w:rsid w:val="00D87764"/>
    <w:rsid w:val="00D87E25"/>
    <w:rsid w:val="00D90E79"/>
    <w:rsid w:val="00D91B4B"/>
    <w:rsid w:val="00D92B64"/>
    <w:rsid w:val="00D934CE"/>
    <w:rsid w:val="00D93567"/>
    <w:rsid w:val="00D93E39"/>
    <w:rsid w:val="00D940CE"/>
    <w:rsid w:val="00D94C20"/>
    <w:rsid w:val="00D95A74"/>
    <w:rsid w:val="00D96803"/>
    <w:rsid w:val="00D96A40"/>
    <w:rsid w:val="00D96B14"/>
    <w:rsid w:val="00D96F38"/>
    <w:rsid w:val="00D97978"/>
    <w:rsid w:val="00D97F13"/>
    <w:rsid w:val="00DA0A08"/>
    <w:rsid w:val="00DA0CAA"/>
    <w:rsid w:val="00DA171F"/>
    <w:rsid w:val="00DA183F"/>
    <w:rsid w:val="00DA22E7"/>
    <w:rsid w:val="00DA2E0B"/>
    <w:rsid w:val="00DA347F"/>
    <w:rsid w:val="00DA445D"/>
    <w:rsid w:val="00DA701D"/>
    <w:rsid w:val="00DB0890"/>
    <w:rsid w:val="00DB0B04"/>
    <w:rsid w:val="00DB2049"/>
    <w:rsid w:val="00DB2710"/>
    <w:rsid w:val="00DB32C8"/>
    <w:rsid w:val="00DB348A"/>
    <w:rsid w:val="00DB3916"/>
    <w:rsid w:val="00DB3B2C"/>
    <w:rsid w:val="00DB4416"/>
    <w:rsid w:val="00DB5405"/>
    <w:rsid w:val="00DB548B"/>
    <w:rsid w:val="00DB59BA"/>
    <w:rsid w:val="00DB689E"/>
    <w:rsid w:val="00DB751D"/>
    <w:rsid w:val="00DC0491"/>
    <w:rsid w:val="00DC09E2"/>
    <w:rsid w:val="00DC22FE"/>
    <w:rsid w:val="00DC23E3"/>
    <w:rsid w:val="00DC34EF"/>
    <w:rsid w:val="00DC3596"/>
    <w:rsid w:val="00DC5559"/>
    <w:rsid w:val="00DC5BE7"/>
    <w:rsid w:val="00DC5EAF"/>
    <w:rsid w:val="00DD19FE"/>
    <w:rsid w:val="00DD203D"/>
    <w:rsid w:val="00DD216E"/>
    <w:rsid w:val="00DD2D22"/>
    <w:rsid w:val="00DD463B"/>
    <w:rsid w:val="00DD5E88"/>
    <w:rsid w:val="00DD6531"/>
    <w:rsid w:val="00DD68D0"/>
    <w:rsid w:val="00DD7BA3"/>
    <w:rsid w:val="00DE0003"/>
    <w:rsid w:val="00DE0119"/>
    <w:rsid w:val="00DE05C2"/>
    <w:rsid w:val="00DE0E79"/>
    <w:rsid w:val="00DE1CCB"/>
    <w:rsid w:val="00DE2AF3"/>
    <w:rsid w:val="00DE33BF"/>
    <w:rsid w:val="00DE3591"/>
    <w:rsid w:val="00DE4335"/>
    <w:rsid w:val="00DE4B3D"/>
    <w:rsid w:val="00DE7027"/>
    <w:rsid w:val="00DE7B3D"/>
    <w:rsid w:val="00DF252D"/>
    <w:rsid w:val="00DF2C51"/>
    <w:rsid w:val="00DF4282"/>
    <w:rsid w:val="00DF4DB1"/>
    <w:rsid w:val="00DF4F75"/>
    <w:rsid w:val="00DF61AF"/>
    <w:rsid w:val="00DF6F41"/>
    <w:rsid w:val="00DF79C0"/>
    <w:rsid w:val="00DF7E39"/>
    <w:rsid w:val="00E00787"/>
    <w:rsid w:val="00E00B96"/>
    <w:rsid w:val="00E010D2"/>
    <w:rsid w:val="00E021D8"/>
    <w:rsid w:val="00E0264D"/>
    <w:rsid w:val="00E03B3D"/>
    <w:rsid w:val="00E04240"/>
    <w:rsid w:val="00E05C6B"/>
    <w:rsid w:val="00E07645"/>
    <w:rsid w:val="00E10C48"/>
    <w:rsid w:val="00E10EB8"/>
    <w:rsid w:val="00E11027"/>
    <w:rsid w:val="00E118E0"/>
    <w:rsid w:val="00E12966"/>
    <w:rsid w:val="00E129DE"/>
    <w:rsid w:val="00E13C8B"/>
    <w:rsid w:val="00E14292"/>
    <w:rsid w:val="00E14BDC"/>
    <w:rsid w:val="00E14E4F"/>
    <w:rsid w:val="00E150CB"/>
    <w:rsid w:val="00E15476"/>
    <w:rsid w:val="00E15592"/>
    <w:rsid w:val="00E1563B"/>
    <w:rsid w:val="00E15721"/>
    <w:rsid w:val="00E15C7D"/>
    <w:rsid w:val="00E15ED5"/>
    <w:rsid w:val="00E16038"/>
    <w:rsid w:val="00E1633B"/>
    <w:rsid w:val="00E167E1"/>
    <w:rsid w:val="00E17832"/>
    <w:rsid w:val="00E213CE"/>
    <w:rsid w:val="00E21C48"/>
    <w:rsid w:val="00E23764"/>
    <w:rsid w:val="00E25497"/>
    <w:rsid w:val="00E25BD9"/>
    <w:rsid w:val="00E26147"/>
    <w:rsid w:val="00E263F0"/>
    <w:rsid w:val="00E2730C"/>
    <w:rsid w:val="00E3101C"/>
    <w:rsid w:val="00E31310"/>
    <w:rsid w:val="00E32479"/>
    <w:rsid w:val="00E324A0"/>
    <w:rsid w:val="00E32E2A"/>
    <w:rsid w:val="00E3342C"/>
    <w:rsid w:val="00E344DD"/>
    <w:rsid w:val="00E34D03"/>
    <w:rsid w:val="00E35D00"/>
    <w:rsid w:val="00E3666B"/>
    <w:rsid w:val="00E36952"/>
    <w:rsid w:val="00E36DE6"/>
    <w:rsid w:val="00E372B5"/>
    <w:rsid w:val="00E37C9E"/>
    <w:rsid w:val="00E40337"/>
    <w:rsid w:val="00E40635"/>
    <w:rsid w:val="00E4173E"/>
    <w:rsid w:val="00E41BE8"/>
    <w:rsid w:val="00E41D55"/>
    <w:rsid w:val="00E43350"/>
    <w:rsid w:val="00E43737"/>
    <w:rsid w:val="00E43C55"/>
    <w:rsid w:val="00E441FD"/>
    <w:rsid w:val="00E4439E"/>
    <w:rsid w:val="00E463F0"/>
    <w:rsid w:val="00E46542"/>
    <w:rsid w:val="00E508E3"/>
    <w:rsid w:val="00E5093C"/>
    <w:rsid w:val="00E50983"/>
    <w:rsid w:val="00E51198"/>
    <w:rsid w:val="00E51B1F"/>
    <w:rsid w:val="00E532C7"/>
    <w:rsid w:val="00E5493C"/>
    <w:rsid w:val="00E54E86"/>
    <w:rsid w:val="00E54F09"/>
    <w:rsid w:val="00E54F6F"/>
    <w:rsid w:val="00E5538C"/>
    <w:rsid w:val="00E55F04"/>
    <w:rsid w:val="00E56258"/>
    <w:rsid w:val="00E579B9"/>
    <w:rsid w:val="00E601E4"/>
    <w:rsid w:val="00E60723"/>
    <w:rsid w:val="00E61427"/>
    <w:rsid w:val="00E62521"/>
    <w:rsid w:val="00E637E6"/>
    <w:rsid w:val="00E63C9C"/>
    <w:rsid w:val="00E63DEB"/>
    <w:rsid w:val="00E6408C"/>
    <w:rsid w:val="00E64BDE"/>
    <w:rsid w:val="00E667F5"/>
    <w:rsid w:val="00E66862"/>
    <w:rsid w:val="00E675E5"/>
    <w:rsid w:val="00E67B51"/>
    <w:rsid w:val="00E70588"/>
    <w:rsid w:val="00E70C9E"/>
    <w:rsid w:val="00E71481"/>
    <w:rsid w:val="00E7279F"/>
    <w:rsid w:val="00E736B1"/>
    <w:rsid w:val="00E74803"/>
    <w:rsid w:val="00E74C42"/>
    <w:rsid w:val="00E74C7F"/>
    <w:rsid w:val="00E75332"/>
    <w:rsid w:val="00E7624D"/>
    <w:rsid w:val="00E77B3E"/>
    <w:rsid w:val="00E8001E"/>
    <w:rsid w:val="00E808D0"/>
    <w:rsid w:val="00E80A7D"/>
    <w:rsid w:val="00E8251D"/>
    <w:rsid w:val="00E8490D"/>
    <w:rsid w:val="00E85B1B"/>
    <w:rsid w:val="00E86EA2"/>
    <w:rsid w:val="00E87E37"/>
    <w:rsid w:val="00E90138"/>
    <w:rsid w:val="00E92CFD"/>
    <w:rsid w:val="00E933DC"/>
    <w:rsid w:val="00E940C3"/>
    <w:rsid w:val="00E94C05"/>
    <w:rsid w:val="00E94CA0"/>
    <w:rsid w:val="00E9668E"/>
    <w:rsid w:val="00E97268"/>
    <w:rsid w:val="00E9744A"/>
    <w:rsid w:val="00E974CF"/>
    <w:rsid w:val="00E97AE2"/>
    <w:rsid w:val="00EA169B"/>
    <w:rsid w:val="00EA2012"/>
    <w:rsid w:val="00EA26A1"/>
    <w:rsid w:val="00EA32C3"/>
    <w:rsid w:val="00EA4711"/>
    <w:rsid w:val="00EA538F"/>
    <w:rsid w:val="00EA5938"/>
    <w:rsid w:val="00EA5A39"/>
    <w:rsid w:val="00EA5B35"/>
    <w:rsid w:val="00EA5BCF"/>
    <w:rsid w:val="00EA5E9F"/>
    <w:rsid w:val="00EA65EF"/>
    <w:rsid w:val="00EA6A83"/>
    <w:rsid w:val="00EA7E15"/>
    <w:rsid w:val="00EB1612"/>
    <w:rsid w:val="00EB1B35"/>
    <w:rsid w:val="00EB249E"/>
    <w:rsid w:val="00EB492A"/>
    <w:rsid w:val="00EB52C5"/>
    <w:rsid w:val="00EB5843"/>
    <w:rsid w:val="00EB5DE7"/>
    <w:rsid w:val="00EB5E79"/>
    <w:rsid w:val="00EB6589"/>
    <w:rsid w:val="00EB761E"/>
    <w:rsid w:val="00EB7C1E"/>
    <w:rsid w:val="00EC1BCB"/>
    <w:rsid w:val="00EC1F33"/>
    <w:rsid w:val="00EC2021"/>
    <w:rsid w:val="00EC2701"/>
    <w:rsid w:val="00EC37D2"/>
    <w:rsid w:val="00EC47E2"/>
    <w:rsid w:val="00EC4D59"/>
    <w:rsid w:val="00EC53F2"/>
    <w:rsid w:val="00EC55C4"/>
    <w:rsid w:val="00EC5795"/>
    <w:rsid w:val="00EC700E"/>
    <w:rsid w:val="00ED0571"/>
    <w:rsid w:val="00ED094A"/>
    <w:rsid w:val="00ED205C"/>
    <w:rsid w:val="00ED2E0D"/>
    <w:rsid w:val="00ED7314"/>
    <w:rsid w:val="00ED7B8B"/>
    <w:rsid w:val="00EE0808"/>
    <w:rsid w:val="00EE3B17"/>
    <w:rsid w:val="00EE481C"/>
    <w:rsid w:val="00EE48F1"/>
    <w:rsid w:val="00EE4A2D"/>
    <w:rsid w:val="00EE544C"/>
    <w:rsid w:val="00EE66E6"/>
    <w:rsid w:val="00EE7A5F"/>
    <w:rsid w:val="00EF13E6"/>
    <w:rsid w:val="00EF14C9"/>
    <w:rsid w:val="00EF2ED7"/>
    <w:rsid w:val="00EF3888"/>
    <w:rsid w:val="00EF3DC1"/>
    <w:rsid w:val="00EF502A"/>
    <w:rsid w:val="00EF5055"/>
    <w:rsid w:val="00EF5967"/>
    <w:rsid w:val="00EF5A61"/>
    <w:rsid w:val="00EF72F8"/>
    <w:rsid w:val="00EF7C44"/>
    <w:rsid w:val="00EF7CD4"/>
    <w:rsid w:val="00F01695"/>
    <w:rsid w:val="00F025AD"/>
    <w:rsid w:val="00F040C8"/>
    <w:rsid w:val="00F058C4"/>
    <w:rsid w:val="00F059D2"/>
    <w:rsid w:val="00F05BA8"/>
    <w:rsid w:val="00F0693E"/>
    <w:rsid w:val="00F073AA"/>
    <w:rsid w:val="00F0747C"/>
    <w:rsid w:val="00F07A38"/>
    <w:rsid w:val="00F07BF2"/>
    <w:rsid w:val="00F11DCA"/>
    <w:rsid w:val="00F12D1C"/>
    <w:rsid w:val="00F1593A"/>
    <w:rsid w:val="00F170C8"/>
    <w:rsid w:val="00F17823"/>
    <w:rsid w:val="00F21D4A"/>
    <w:rsid w:val="00F2303C"/>
    <w:rsid w:val="00F23074"/>
    <w:rsid w:val="00F23FDB"/>
    <w:rsid w:val="00F252C0"/>
    <w:rsid w:val="00F25C19"/>
    <w:rsid w:val="00F2607A"/>
    <w:rsid w:val="00F261AF"/>
    <w:rsid w:val="00F31F13"/>
    <w:rsid w:val="00F33C2B"/>
    <w:rsid w:val="00F3519E"/>
    <w:rsid w:val="00F35792"/>
    <w:rsid w:val="00F359B1"/>
    <w:rsid w:val="00F368EA"/>
    <w:rsid w:val="00F378C2"/>
    <w:rsid w:val="00F37BB4"/>
    <w:rsid w:val="00F40C36"/>
    <w:rsid w:val="00F418DA"/>
    <w:rsid w:val="00F42930"/>
    <w:rsid w:val="00F42B5D"/>
    <w:rsid w:val="00F42F9E"/>
    <w:rsid w:val="00F437A5"/>
    <w:rsid w:val="00F43DB2"/>
    <w:rsid w:val="00F45282"/>
    <w:rsid w:val="00F45A36"/>
    <w:rsid w:val="00F461C7"/>
    <w:rsid w:val="00F4639C"/>
    <w:rsid w:val="00F470D1"/>
    <w:rsid w:val="00F47CE2"/>
    <w:rsid w:val="00F5223F"/>
    <w:rsid w:val="00F5250B"/>
    <w:rsid w:val="00F526F5"/>
    <w:rsid w:val="00F530DB"/>
    <w:rsid w:val="00F53ED3"/>
    <w:rsid w:val="00F5403B"/>
    <w:rsid w:val="00F54D42"/>
    <w:rsid w:val="00F56183"/>
    <w:rsid w:val="00F565E0"/>
    <w:rsid w:val="00F567DC"/>
    <w:rsid w:val="00F573F8"/>
    <w:rsid w:val="00F60173"/>
    <w:rsid w:val="00F609DC"/>
    <w:rsid w:val="00F62756"/>
    <w:rsid w:val="00F632C5"/>
    <w:rsid w:val="00F63616"/>
    <w:rsid w:val="00F636D1"/>
    <w:rsid w:val="00F643FD"/>
    <w:rsid w:val="00F64404"/>
    <w:rsid w:val="00F64F3C"/>
    <w:rsid w:val="00F656C4"/>
    <w:rsid w:val="00F657B2"/>
    <w:rsid w:val="00F65EF3"/>
    <w:rsid w:val="00F66C9B"/>
    <w:rsid w:val="00F67296"/>
    <w:rsid w:val="00F67B34"/>
    <w:rsid w:val="00F67EFB"/>
    <w:rsid w:val="00F70EDA"/>
    <w:rsid w:val="00F717DA"/>
    <w:rsid w:val="00F722D4"/>
    <w:rsid w:val="00F72439"/>
    <w:rsid w:val="00F732E4"/>
    <w:rsid w:val="00F73A36"/>
    <w:rsid w:val="00F74216"/>
    <w:rsid w:val="00F74453"/>
    <w:rsid w:val="00F76095"/>
    <w:rsid w:val="00F769E0"/>
    <w:rsid w:val="00F76DFB"/>
    <w:rsid w:val="00F7745F"/>
    <w:rsid w:val="00F777C1"/>
    <w:rsid w:val="00F77DE8"/>
    <w:rsid w:val="00F80E82"/>
    <w:rsid w:val="00F81232"/>
    <w:rsid w:val="00F8142A"/>
    <w:rsid w:val="00F81CC6"/>
    <w:rsid w:val="00F81E68"/>
    <w:rsid w:val="00F83348"/>
    <w:rsid w:val="00F83CBB"/>
    <w:rsid w:val="00F83F5F"/>
    <w:rsid w:val="00F841C3"/>
    <w:rsid w:val="00F847A8"/>
    <w:rsid w:val="00F874E5"/>
    <w:rsid w:val="00F9078F"/>
    <w:rsid w:val="00F90EC9"/>
    <w:rsid w:val="00F91152"/>
    <w:rsid w:val="00F93435"/>
    <w:rsid w:val="00F95B2D"/>
    <w:rsid w:val="00F960F6"/>
    <w:rsid w:val="00F96918"/>
    <w:rsid w:val="00F9747C"/>
    <w:rsid w:val="00F979CA"/>
    <w:rsid w:val="00FA0EBD"/>
    <w:rsid w:val="00FA13ED"/>
    <w:rsid w:val="00FA1A7B"/>
    <w:rsid w:val="00FA1DD2"/>
    <w:rsid w:val="00FA1E83"/>
    <w:rsid w:val="00FA2EC5"/>
    <w:rsid w:val="00FA4546"/>
    <w:rsid w:val="00FA4878"/>
    <w:rsid w:val="00FA504E"/>
    <w:rsid w:val="00FA5150"/>
    <w:rsid w:val="00FA6E64"/>
    <w:rsid w:val="00FA77C2"/>
    <w:rsid w:val="00FB2E1D"/>
    <w:rsid w:val="00FB365C"/>
    <w:rsid w:val="00FB4843"/>
    <w:rsid w:val="00FB5B4E"/>
    <w:rsid w:val="00FB5CFD"/>
    <w:rsid w:val="00FB5F3F"/>
    <w:rsid w:val="00FB6D7A"/>
    <w:rsid w:val="00FB7313"/>
    <w:rsid w:val="00FB7BCB"/>
    <w:rsid w:val="00FC0A85"/>
    <w:rsid w:val="00FC0F39"/>
    <w:rsid w:val="00FC1063"/>
    <w:rsid w:val="00FC1AD5"/>
    <w:rsid w:val="00FC1D6F"/>
    <w:rsid w:val="00FC2E6C"/>
    <w:rsid w:val="00FC2FA1"/>
    <w:rsid w:val="00FC2FF6"/>
    <w:rsid w:val="00FC3171"/>
    <w:rsid w:val="00FC57AE"/>
    <w:rsid w:val="00FC5D27"/>
    <w:rsid w:val="00FC5E32"/>
    <w:rsid w:val="00FC60B4"/>
    <w:rsid w:val="00FC721E"/>
    <w:rsid w:val="00FC7502"/>
    <w:rsid w:val="00FC7F9B"/>
    <w:rsid w:val="00FD152A"/>
    <w:rsid w:val="00FD1851"/>
    <w:rsid w:val="00FD1D35"/>
    <w:rsid w:val="00FD3615"/>
    <w:rsid w:val="00FD3F0E"/>
    <w:rsid w:val="00FD4EB6"/>
    <w:rsid w:val="00FD564D"/>
    <w:rsid w:val="00FD571E"/>
    <w:rsid w:val="00FD6AB7"/>
    <w:rsid w:val="00FD6C2B"/>
    <w:rsid w:val="00FD712F"/>
    <w:rsid w:val="00FD76B5"/>
    <w:rsid w:val="00FD7D6D"/>
    <w:rsid w:val="00FE0656"/>
    <w:rsid w:val="00FE16B3"/>
    <w:rsid w:val="00FE369E"/>
    <w:rsid w:val="00FE3EE5"/>
    <w:rsid w:val="00FE3FAE"/>
    <w:rsid w:val="00FE4404"/>
    <w:rsid w:val="00FE4C68"/>
    <w:rsid w:val="00FE5BEC"/>
    <w:rsid w:val="00FE6B74"/>
    <w:rsid w:val="00FE6BD4"/>
    <w:rsid w:val="00FE74AD"/>
    <w:rsid w:val="00FE772F"/>
    <w:rsid w:val="00FE77E0"/>
    <w:rsid w:val="00FE79FA"/>
    <w:rsid w:val="00FE7EFC"/>
    <w:rsid w:val="00FF15D2"/>
    <w:rsid w:val="00FF19D9"/>
    <w:rsid w:val="00FF2990"/>
    <w:rsid w:val="00FF33E7"/>
    <w:rsid w:val="00FF3883"/>
    <w:rsid w:val="00FF48F5"/>
    <w:rsid w:val="00FF539D"/>
    <w:rsid w:val="00FF5443"/>
    <w:rsid w:val="00FF5CF5"/>
    <w:rsid w:val="00FF6563"/>
    <w:rsid w:val="00FF7A1B"/>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8D1DEC4-57A7-410B-B903-259657681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w:eastAsiaTheme="minorHAnsi" w:hAnsi="Helvetica"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qFormat="1"/>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qFormat="1"/>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6C96"/>
  </w:style>
  <w:style w:type="paragraph" w:styleId="Heading1">
    <w:name w:val="heading 1"/>
    <w:aliases w:val="Garamond"/>
    <w:basedOn w:val="Normal"/>
    <w:next w:val="Normal"/>
    <w:link w:val="Heading1Char"/>
    <w:uiPriority w:val="9"/>
    <w:qFormat/>
    <w:rsid w:val="00C9597C"/>
    <w:pPr>
      <w:keepNext/>
      <w:keepLines/>
      <w:spacing w:line="276" w:lineRule="auto"/>
      <w:jc w:val="both"/>
      <w:outlineLvl w:val="0"/>
    </w:pPr>
    <w:rPr>
      <w:rFonts w:ascii="Garamond" w:eastAsia="Times New Roman" w:hAnsi="Garamond"/>
      <w:bCs/>
      <w:szCs w:val="28"/>
    </w:rPr>
  </w:style>
  <w:style w:type="paragraph" w:styleId="Heading2">
    <w:name w:val="heading 2"/>
    <w:basedOn w:val="Normal"/>
    <w:next w:val="Normal"/>
    <w:link w:val="Heading2Char"/>
    <w:uiPriority w:val="9"/>
    <w:unhideWhenUsed/>
    <w:qFormat/>
    <w:rsid w:val="00C9597C"/>
    <w:pPr>
      <w:keepNext/>
      <w:keepLines/>
      <w:spacing w:before="200" w:line="276" w:lineRule="auto"/>
      <w:outlineLvl w:val="1"/>
    </w:pPr>
    <w:rPr>
      <w:rFonts w:ascii="Cambria" w:eastAsia="Times New Roman" w:hAnsi="Cambria"/>
      <w:b/>
      <w:bCs/>
      <w:color w:val="4F81BD"/>
      <w:sz w:val="26"/>
      <w:szCs w:val="26"/>
      <w:lang w:val="en-US"/>
    </w:rPr>
  </w:style>
  <w:style w:type="paragraph" w:styleId="Heading3">
    <w:name w:val="heading 3"/>
    <w:basedOn w:val="Normal"/>
    <w:next w:val="Normal"/>
    <w:link w:val="Heading3Char"/>
    <w:uiPriority w:val="9"/>
    <w:unhideWhenUsed/>
    <w:qFormat/>
    <w:rsid w:val="00C9597C"/>
    <w:pPr>
      <w:keepNext/>
      <w:keepLines/>
      <w:spacing w:before="200"/>
      <w:jc w:val="both"/>
      <w:outlineLvl w:val="2"/>
    </w:pPr>
    <w:rPr>
      <w:rFonts w:ascii="Cambria" w:eastAsia="Times New Roman" w:hAnsi="Cambria"/>
      <w:b/>
      <w:bCs/>
      <w:color w:val="4F81BD"/>
    </w:rPr>
  </w:style>
  <w:style w:type="paragraph" w:styleId="Heading4">
    <w:name w:val="heading 4"/>
    <w:basedOn w:val="Normal"/>
    <w:next w:val="Normal"/>
    <w:link w:val="Heading4Char"/>
    <w:uiPriority w:val="9"/>
    <w:qFormat/>
    <w:rsid w:val="00C9597C"/>
    <w:pPr>
      <w:keepNext/>
      <w:keepLines/>
      <w:spacing w:before="240" w:after="40"/>
      <w:contextualSpacing/>
      <w:jc w:val="both"/>
      <w:outlineLvl w:val="3"/>
    </w:pPr>
    <w:rPr>
      <w:rFonts w:ascii="Times New Roman" w:eastAsia="Times New Roman" w:hAnsi="Times New Roman"/>
      <w:b/>
      <w:color w:val="000000"/>
      <w:lang w:val="en-IN" w:eastAsia="en-IN"/>
    </w:rPr>
  </w:style>
  <w:style w:type="paragraph" w:styleId="Heading5">
    <w:name w:val="heading 5"/>
    <w:basedOn w:val="Normal"/>
    <w:next w:val="Normal"/>
    <w:link w:val="Heading5Char"/>
    <w:uiPriority w:val="9"/>
    <w:qFormat/>
    <w:rsid w:val="00C9597C"/>
    <w:pPr>
      <w:spacing w:before="240" w:after="60"/>
      <w:outlineLvl w:val="4"/>
    </w:pPr>
    <w:rPr>
      <w:rFonts w:ascii="Times New Roman" w:eastAsia="Times New Roman" w:hAnsi="Times New Roman"/>
      <w:b/>
      <w:bCs/>
      <w:i/>
      <w:iCs/>
      <w:sz w:val="26"/>
      <w:szCs w:val="26"/>
      <w:lang w:val="en-US"/>
    </w:rPr>
  </w:style>
  <w:style w:type="paragraph" w:styleId="Heading6">
    <w:name w:val="heading 6"/>
    <w:basedOn w:val="Normal"/>
    <w:next w:val="Normal"/>
    <w:link w:val="Heading6Char"/>
    <w:uiPriority w:val="9"/>
    <w:qFormat/>
    <w:rsid w:val="00C9597C"/>
    <w:pPr>
      <w:keepNext/>
      <w:keepLines/>
      <w:spacing w:before="200" w:after="40"/>
      <w:contextualSpacing/>
      <w:jc w:val="both"/>
      <w:outlineLvl w:val="5"/>
    </w:pPr>
    <w:rPr>
      <w:rFonts w:ascii="Times New Roman" w:eastAsia="Times New Roman" w:hAnsi="Times New Roman"/>
      <w:b/>
      <w:color w:val="000000"/>
      <w:sz w:val="20"/>
      <w:szCs w:val="20"/>
      <w:lang w:val="en-IN" w:eastAsia="en-IN"/>
    </w:rPr>
  </w:style>
  <w:style w:type="paragraph" w:styleId="Heading7">
    <w:name w:val="heading 7"/>
    <w:basedOn w:val="Normal"/>
    <w:next w:val="Normal"/>
    <w:link w:val="Heading7Char"/>
    <w:uiPriority w:val="9"/>
    <w:qFormat/>
    <w:rsid w:val="00C9597C"/>
    <w:pPr>
      <w:spacing w:before="240" w:after="60"/>
      <w:outlineLvl w:val="6"/>
    </w:pPr>
    <w:rPr>
      <w:rFonts w:ascii="Times New Roman" w:eastAsia="Times New Roman" w:hAnsi="Times New Roman"/>
      <w:lang w:val="en-US"/>
    </w:rPr>
  </w:style>
  <w:style w:type="paragraph" w:styleId="Heading8">
    <w:name w:val="heading 8"/>
    <w:basedOn w:val="Normal"/>
    <w:next w:val="Normal"/>
    <w:uiPriority w:val="9"/>
    <w:unhideWhenUsed/>
    <w:qFormat/>
    <w:rsid w:val="003F3A95"/>
    <w:pPr>
      <w:tabs>
        <w:tab w:val="left" w:pos="5760"/>
      </w:tabs>
      <w:spacing w:before="240" w:after="60" w:line="259" w:lineRule="auto"/>
      <w:ind w:left="5760" w:hanging="720"/>
      <w:outlineLvl w:val="7"/>
    </w:pPr>
    <w:rPr>
      <w:rFonts w:asciiTheme="minorHAnsi" w:eastAsiaTheme="minorEastAsia" w:hAnsiTheme="minorHAnsi" w:cstheme="minorBidi"/>
      <w:i/>
      <w:iCs/>
      <w:lang w:val="en-US"/>
    </w:rPr>
  </w:style>
  <w:style w:type="paragraph" w:styleId="Heading9">
    <w:name w:val="heading 9"/>
    <w:basedOn w:val="Normal"/>
    <w:next w:val="Normal"/>
    <w:uiPriority w:val="9"/>
    <w:unhideWhenUsed/>
    <w:qFormat/>
    <w:rsid w:val="003F3A95"/>
    <w:pPr>
      <w:tabs>
        <w:tab w:val="left" w:pos="6480"/>
      </w:tabs>
      <w:spacing w:before="240" w:after="60" w:line="259" w:lineRule="auto"/>
      <w:ind w:left="6480" w:hanging="720"/>
      <w:outlineLvl w:val="8"/>
    </w:pPr>
    <w:rPr>
      <w:rFonts w:asciiTheme="majorHAnsi" w:eastAsiaTheme="majorEastAsia" w:hAnsiTheme="majorHAnsi" w:cstheme="maj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aramond Char"/>
    <w:basedOn w:val="DefaultParagraphFont"/>
    <w:link w:val="Heading1"/>
    <w:uiPriority w:val="9"/>
    <w:qFormat/>
    <w:rsid w:val="00C9597C"/>
    <w:rPr>
      <w:rFonts w:ascii="Garamond" w:eastAsia="Times New Roman" w:hAnsi="Garamond"/>
      <w:bCs/>
      <w:szCs w:val="28"/>
    </w:rPr>
  </w:style>
  <w:style w:type="character" w:customStyle="1" w:styleId="Heading2Char">
    <w:name w:val="Heading 2 Char"/>
    <w:basedOn w:val="DefaultParagraphFont"/>
    <w:link w:val="Heading2"/>
    <w:uiPriority w:val="9"/>
    <w:rsid w:val="00C9597C"/>
    <w:rPr>
      <w:rFonts w:ascii="Cambria" w:eastAsia="Times New Roman" w:hAnsi="Cambria"/>
      <w:b/>
      <w:bCs/>
      <w:color w:val="4F81BD"/>
      <w:sz w:val="26"/>
      <w:szCs w:val="26"/>
      <w:lang w:val="en-US"/>
    </w:rPr>
  </w:style>
  <w:style w:type="character" w:customStyle="1" w:styleId="Heading3Char">
    <w:name w:val="Heading 3 Char"/>
    <w:basedOn w:val="DefaultParagraphFont"/>
    <w:link w:val="Heading3"/>
    <w:uiPriority w:val="9"/>
    <w:qFormat/>
    <w:rsid w:val="00C9597C"/>
    <w:rPr>
      <w:rFonts w:ascii="Cambria" w:eastAsia="Times New Roman" w:hAnsi="Cambria"/>
      <w:b/>
      <w:bCs/>
      <w:color w:val="4F81BD"/>
    </w:rPr>
  </w:style>
  <w:style w:type="character" w:customStyle="1" w:styleId="Heading4Char">
    <w:name w:val="Heading 4 Char"/>
    <w:basedOn w:val="DefaultParagraphFont"/>
    <w:link w:val="Heading4"/>
    <w:uiPriority w:val="9"/>
    <w:rsid w:val="00C9597C"/>
    <w:rPr>
      <w:rFonts w:ascii="Times New Roman" w:eastAsia="Times New Roman" w:hAnsi="Times New Roman"/>
      <w:b/>
      <w:color w:val="000000"/>
      <w:lang w:val="en-IN" w:eastAsia="en-IN"/>
    </w:rPr>
  </w:style>
  <w:style w:type="character" w:customStyle="1" w:styleId="Heading5Char">
    <w:name w:val="Heading 5 Char"/>
    <w:basedOn w:val="DefaultParagraphFont"/>
    <w:link w:val="Heading5"/>
    <w:uiPriority w:val="9"/>
    <w:rsid w:val="00C9597C"/>
    <w:rPr>
      <w:rFonts w:ascii="Times New Roman" w:eastAsia="Times New Roman" w:hAnsi="Times New Roman"/>
      <w:b/>
      <w:bCs/>
      <w:i/>
      <w:iCs/>
      <w:sz w:val="26"/>
      <w:szCs w:val="26"/>
      <w:lang w:val="en-US"/>
    </w:rPr>
  </w:style>
  <w:style w:type="character" w:customStyle="1" w:styleId="Heading6Char">
    <w:name w:val="Heading 6 Char"/>
    <w:basedOn w:val="DefaultParagraphFont"/>
    <w:link w:val="Heading6"/>
    <w:uiPriority w:val="9"/>
    <w:rsid w:val="00C9597C"/>
    <w:rPr>
      <w:rFonts w:ascii="Times New Roman" w:eastAsia="Times New Roman" w:hAnsi="Times New Roman"/>
      <w:b/>
      <w:color w:val="000000"/>
      <w:sz w:val="20"/>
      <w:szCs w:val="20"/>
      <w:lang w:val="en-IN" w:eastAsia="en-IN"/>
    </w:rPr>
  </w:style>
  <w:style w:type="character" w:customStyle="1" w:styleId="Heading7Char">
    <w:name w:val="Heading 7 Char"/>
    <w:basedOn w:val="DefaultParagraphFont"/>
    <w:link w:val="Heading7"/>
    <w:uiPriority w:val="9"/>
    <w:qFormat/>
    <w:rsid w:val="00C9597C"/>
    <w:rPr>
      <w:rFonts w:ascii="Times New Roman" w:eastAsia="Times New Roman" w:hAnsi="Times New Roman"/>
      <w:lang w:val="en-US"/>
    </w:rPr>
  </w:style>
  <w:style w:type="paragraph" w:styleId="ListParagraph">
    <w:name w:val="List Paragraph"/>
    <w:aliases w:val="lp1,elenco,Equipment,Figure_name,List Paragraph Char Char,List Paragraph1,List Paragraph11,List Paragraph2,List_TIS,Normal Sentence,Number_1,Numbered Indented Text,Ref,SGLText List Paragraph,TOC style,new,Amex_bullet,ListPar1,d_bodyb,L"/>
    <w:basedOn w:val="Normal"/>
    <w:link w:val="ListParagraphChar"/>
    <w:uiPriority w:val="34"/>
    <w:qFormat/>
    <w:rsid w:val="00C9597C"/>
    <w:pPr>
      <w:spacing w:after="200" w:line="276" w:lineRule="auto"/>
      <w:ind w:left="720"/>
      <w:contextualSpacing/>
    </w:pPr>
    <w:rPr>
      <w:rFonts w:ascii="Calibri" w:eastAsia="Calibri" w:hAnsi="Calibri"/>
      <w:sz w:val="20"/>
      <w:szCs w:val="20"/>
      <w:lang w:val="en-US"/>
    </w:rPr>
  </w:style>
  <w:style w:type="paragraph" w:customStyle="1" w:styleId="Default">
    <w:name w:val="Default"/>
    <w:rsid w:val="00C9597C"/>
    <w:pPr>
      <w:autoSpaceDE w:val="0"/>
      <w:autoSpaceDN w:val="0"/>
      <w:adjustRightInd w:val="0"/>
    </w:pPr>
    <w:rPr>
      <w:rFonts w:ascii="Arial" w:eastAsia="Calibri" w:hAnsi="Arial" w:cs="Arial"/>
      <w:color w:val="000000"/>
      <w:lang w:val="en-US"/>
    </w:rPr>
  </w:style>
  <w:style w:type="paragraph" w:styleId="BalloonText">
    <w:name w:val="Balloon Text"/>
    <w:basedOn w:val="Normal"/>
    <w:link w:val="BalloonTextChar"/>
    <w:uiPriority w:val="99"/>
    <w:unhideWhenUsed/>
    <w:qFormat/>
    <w:rsid w:val="00C9597C"/>
    <w:rPr>
      <w:rFonts w:ascii="Tahoma" w:eastAsia="Calibri" w:hAnsi="Tahoma"/>
      <w:sz w:val="16"/>
      <w:szCs w:val="16"/>
      <w:lang w:val="en-US"/>
    </w:rPr>
  </w:style>
  <w:style w:type="character" w:customStyle="1" w:styleId="BalloonTextChar">
    <w:name w:val="Balloon Text Char"/>
    <w:basedOn w:val="DefaultParagraphFont"/>
    <w:link w:val="BalloonText"/>
    <w:uiPriority w:val="99"/>
    <w:rsid w:val="00C9597C"/>
    <w:rPr>
      <w:rFonts w:ascii="Tahoma" w:eastAsia="Calibri" w:hAnsi="Tahoma"/>
      <w:sz w:val="16"/>
      <w:szCs w:val="16"/>
      <w:lang w:val="en-US"/>
    </w:rPr>
  </w:style>
  <w:style w:type="paragraph" w:styleId="Title">
    <w:name w:val="Title"/>
    <w:basedOn w:val="Normal"/>
    <w:link w:val="TitleChar"/>
    <w:qFormat/>
    <w:rsid w:val="00C9597C"/>
    <w:pPr>
      <w:jc w:val="center"/>
    </w:pPr>
    <w:rPr>
      <w:rFonts w:ascii="Times New Roman" w:eastAsia="Times New Roman" w:hAnsi="Times New Roman"/>
      <w:b/>
      <w:u w:val="single"/>
      <w:lang w:val="en-US"/>
    </w:rPr>
  </w:style>
  <w:style w:type="character" w:customStyle="1" w:styleId="TitleChar">
    <w:name w:val="Title Char"/>
    <w:basedOn w:val="DefaultParagraphFont"/>
    <w:link w:val="Title"/>
    <w:rsid w:val="00C9597C"/>
    <w:rPr>
      <w:rFonts w:ascii="Times New Roman" w:eastAsia="Times New Roman" w:hAnsi="Times New Roman"/>
      <w:b/>
      <w:u w:val="single"/>
      <w:lang w:val="en-US"/>
    </w:rPr>
  </w:style>
  <w:style w:type="paragraph" w:styleId="Header">
    <w:name w:val="header"/>
    <w:basedOn w:val="Normal"/>
    <w:link w:val="HeaderChar"/>
    <w:uiPriority w:val="99"/>
    <w:qFormat/>
    <w:rsid w:val="00C9597C"/>
    <w:pPr>
      <w:tabs>
        <w:tab w:val="center" w:pos="4320"/>
        <w:tab w:val="right" w:pos="8640"/>
      </w:tabs>
    </w:pPr>
    <w:rPr>
      <w:rFonts w:ascii="Times New Roman" w:eastAsia="Times New Roman" w:hAnsi="Times New Roman"/>
      <w:szCs w:val="20"/>
      <w:lang w:val="en-US"/>
    </w:rPr>
  </w:style>
  <w:style w:type="character" w:customStyle="1" w:styleId="HeaderChar">
    <w:name w:val="Header Char"/>
    <w:basedOn w:val="DefaultParagraphFont"/>
    <w:link w:val="Header"/>
    <w:uiPriority w:val="99"/>
    <w:rsid w:val="00C9597C"/>
    <w:rPr>
      <w:rFonts w:ascii="Times New Roman" w:eastAsia="Times New Roman" w:hAnsi="Times New Roman"/>
      <w:szCs w:val="20"/>
      <w:lang w:val="en-US"/>
    </w:rPr>
  </w:style>
  <w:style w:type="paragraph" w:styleId="NoSpacing">
    <w:name w:val="No Spacing"/>
    <w:link w:val="NoSpacingChar"/>
    <w:uiPriority w:val="1"/>
    <w:qFormat/>
    <w:rsid w:val="00C9597C"/>
    <w:rPr>
      <w:rFonts w:ascii="Calibri" w:eastAsia="Calibri" w:hAnsi="Calibri"/>
      <w:sz w:val="22"/>
      <w:szCs w:val="22"/>
      <w:lang w:val="en-US"/>
    </w:rPr>
  </w:style>
  <w:style w:type="character" w:customStyle="1" w:styleId="NoSpacingChar">
    <w:name w:val="No Spacing Char"/>
    <w:link w:val="NoSpacing"/>
    <w:uiPriority w:val="1"/>
    <w:rsid w:val="00C9597C"/>
    <w:rPr>
      <w:rFonts w:ascii="Calibri" w:eastAsia="Calibri" w:hAnsi="Calibri"/>
      <w:sz w:val="22"/>
      <w:szCs w:val="22"/>
      <w:lang w:val="en-US"/>
    </w:rPr>
  </w:style>
  <w:style w:type="character" w:customStyle="1" w:styleId="apple-style-span">
    <w:name w:val="apple-style-span"/>
    <w:basedOn w:val="DefaultParagraphFont"/>
    <w:rsid w:val="00C9597C"/>
  </w:style>
  <w:style w:type="character" w:customStyle="1" w:styleId="apple-converted-space">
    <w:name w:val="apple-converted-space"/>
    <w:basedOn w:val="DefaultParagraphFont"/>
    <w:rsid w:val="00C9597C"/>
  </w:style>
  <w:style w:type="character" w:styleId="Strong">
    <w:name w:val="Strong"/>
    <w:uiPriority w:val="22"/>
    <w:qFormat/>
    <w:rsid w:val="00C9597C"/>
    <w:rPr>
      <w:b/>
      <w:bCs/>
    </w:rPr>
  </w:style>
  <w:style w:type="paragraph" w:styleId="Caption">
    <w:name w:val="caption"/>
    <w:basedOn w:val="Normal"/>
    <w:next w:val="Normal"/>
    <w:uiPriority w:val="35"/>
    <w:unhideWhenUsed/>
    <w:qFormat/>
    <w:rsid w:val="00C9597C"/>
    <w:pPr>
      <w:spacing w:after="200"/>
    </w:pPr>
    <w:rPr>
      <w:rFonts w:ascii="Calibri" w:eastAsia="Calibri" w:hAnsi="Calibri"/>
      <w:b/>
      <w:bCs/>
      <w:color w:val="4F81BD"/>
      <w:sz w:val="18"/>
      <w:szCs w:val="18"/>
      <w:lang w:val="en-US"/>
    </w:rPr>
  </w:style>
  <w:style w:type="paragraph" w:customStyle="1" w:styleId="CM10">
    <w:name w:val="CM10"/>
    <w:basedOn w:val="Default"/>
    <w:next w:val="Default"/>
    <w:uiPriority w:val="99"/>
    <w:rsid w:val="00C9597C"/>
    <w:pPr>
      <w:widowControl w:val="0"/>
      <w:spacing w:after="268"/>
    </w:pPr>
    <w:rPr>
      <w:rFonts w:ascii="AWCDV-Prakash" w:eastAsia="Times New Roman" w:hAnsi="AWCDV-Prakash" w:cs="Times New Roman"/>
      <w:color w:val="auto"/>
    </w:rPr>
  </w:style>
  <w:style w:type="paragraph" w:customStyle="1" w:styleId="CM4">
    <w:name w:val="CM4"/>
    <w:basedOn w:val="Default"/>
    <w:next w:val="Default"/>
    <w:uiPriority w:val="99"/>
    <w:rsid w:val="00C9597C"/>
    <w:pPr>
      <w:widowControl w:val="0"/>
      <w:spacing w:line="391" w:lineRule="atLeast"/>
    </w:pPr>
    <w:rPr>
      <w:rFonts w:ascii="AWCDV-Prakash" w:eastAsia="Times New Roman" w:hAnsi="AWCDV-Prakash" w:cs="Times New Roman"/>
      <w:color w:val="auto"/>
    </w:rPr>
  </w:style>
  <w:style w:type="paragraph" w:customStyle="1" w:styleId="CM14">
    <w:name w:val="CM14"/>
    <w:basedOn w:val="Default"/>
    <w:next w:val="Default"/>
    <w:uiPriority w:val="99"/>
    <w:rsid w:val="00C9597C"/>
    <w:pPr>
      <w:widowControl w:val="0"/>
      <w:spacing w:after="128"/>
    </w:pPr>
    <w:rPr>
      <w:rFonts w:ascii="AWCDV-Prakash" w:eastAsia="Times New Roman" w:hAnsi="AWCDV-Prakash" w:cs="Times New Roman"/>
      <w:color w:val="auto"/>
    </w:rPr>
  </w:style>
  <w:style w:type="paragraph" w:customStyle="1" w:styleId="CM6">
    <w:name w:val="CM6"/>
    <w:basedOn w:val="Default"/>
    <w:next w:val="Default"/>
    <w:uiPriority w:val="99"/>
    <w:rsid w:val="00C9597C"/>
    <w:pPr>
      <w:widowControl w:val="0"/>
      <w:spacing w:line="391" w:lineRule="atLeast"/>
    </w:pPr>
    <w:rPr>
      <w:rFonts w:ascii="AWCDV-Prakash" w:eastAsia="Times New Roman" w:hAnsi="AWCDV-Prakash" w:cs="Times New Roman"/>
      <w:color w:val="auto"/>
    </w:rPr>
  </w:style>
  <w:style w:type="paragraph" w:customStyle="1" w:styleId="CM8">
    <w:name w:val="CM8"/>
    <w:basedOn w:val="Default"/>
    <w:next w:val="Default"/>
    <w:uiPriority w:val="99"/>
    <w:rsid w:val="00C9597C"/>
    <w:pPr>
      <w:widowControl w:val="0"/>
      <w:spacing w:line="391" w:lineRule="atLeast"/>
    </w:pPr>
    <w:rPr>
      <w:rFonts w:ascii="AWCDV-Prakash" w:eastAsia="Times New Roman" w:hAnsi="AWCDV-Prakash" w:cs="Times New Roman"/>
      <w:color w:val="auto"/>
    </w:rPr>
  </w:style>
  <w:style w:type="paragraph" w:styleId="NormalWeb">
    <w:name w:val="Normal (Web)"/>
    <w:basedOn w:val="Normal"/>
    <w:uiPriority w:val="99"/>
    <w:qFormat/>
    <w:rsid w:val="00C9597C"/>
    <w:pPr>
      <w:spacing w:before="100" w:beforeAutospacing="1" w:after="100" w:afterAutospacing="1"/>
    </w:pPr>
    <w:rPr>
      <w:rFonts w:ascii="Times New Roman" w:eastAsia="Times New Roman" w:hAnsi="Times New Roman"/>
      <w:lang w:val="en-US"/>
    </w:rPr>
  </w:style>
  <w:style w:type="character" w:styleId="Emphasis">
    <w:name w:val="Emphasis"/>
    <w:uiPriority w:val="20"/>
    <w:qFormat/>
    <w:rsid w:val="00C9597C"/>
    <w:rPr>
      <w:i/>
      <w:iCs/>
    </w:rPr>
  </w:style>
  <w:style w:type="character" w:styleId="Hyperlink">
    <w:name w:val="Hyperlink"/>
    <w:uiPriority w:val="99"/>
    <w:unhideWhenUsed/>
    <w:rsid w:val="00C9597C"/>
    <w:rPr>
      <w:color w:val="0000FF"/>
      <w:u w:val="single"/>
    </w:rPr>
  </w:style>
  <w:style w:type="paragraph" w:styleId="Footer">
    <w:name w:val="footer"/>
    <w:basedOn w:val="Normal"/>
    <w:link w:val="FooterChar"/>
    <w:uiPriority w:val="99"/>
    <w:unhideWhenUsed/>
    <w:qFormat/>
    <w:rsid w:val="00C9597C"/>
    <w:pPr>
      <w:tabs>
        <w:tab w:val="center" w:pos="4680"/>
        <w:tab w:val="right" w:pos="9360"/>
      </w:tabs>
    </w:pPr>
    <w:rPr>
      <w:rFonts w:ascii="Calibri" w:eastAsia="Calibri" w:hAnsi="Calibri"/>
      <w:sz w:val="20"/>
      <w:szCs w:val="20"/>
      <w:lang w:val="en-US"/>
    </w:rPr>
  </w:style>
  <w:style w:type="character" w:customStyle="1" w:styleId="FooterChar">
    <w:name w:val="Footer Char"/>
    <w:basedOn w:val="DefaultParagraphFont"/>
    <w:link w:val="Footer"/>
    <w:uiPriority w:val="99"/>
    <w:rsid w:val="00C9597C"/>
    <w:rPr>
      <w:rFonts w:ascii="Calibri" w:eastAsia="Calibri" w:hAnsi="Calibri"/>
      <w:sz w:val="20"/>
      <w:szCs w:val="20"/>
      <w:lang w:val="en-US"/>
    </w:rPr>
  </w:style>
  <w:style w:type="table" w:styleId="TableGrid">
    <w:name w:val="Table Grid"/>
    <w:basedOn w:val="TableNormal"/>
    <w:uiPriority w:val="5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uiPriority w:val="99"/>
    <w:unhideWhenUsed/>
    <w:qFormat/>
    <w:rsid w:val="00C9597C"/>
    <w:rPr>
      <w:rFonts w:ascii="Calibri" w:eastAsia="Calibri" w:hAnsi="Calibri"/>
      <w:sz w:val="20"/>
      <w:szCs w:val="20"/>
      <w:lang w:val="en-US"/>
    </w:rPr>
  </w:style>
  <w:style w:type="character" w:customStyle="1" w:styleId="EndnoteTextChar">
    <w:name w:val="Endnote Text Char"/>
    <w:basedOn w:val="DefaultParagraphFont"/>
    <w:link w:val="EndnoteText"/>
    <w:uiPriority w:val="99"/>
    <w:rsid w:val="00C9597C"/>
    <w:rPr>
      <w:rFonts w:ascii="Calibri" w:eastAsia="Calibri" w:hAnsi="Calibri"/>
      <w:sz w:val="20"/>
      <w:szCs w:val="20"/>
      <w:lang w:val="en-US"/>
    </w:rPr>
  </w:style>
  <w:style w:type="character" w:styleId="EndnoteReference">
    <w:name w:val="endnote reference"/>
    <w:uiPriority w:val="99"/>
    <w:unhideWhenUsed/>
    <w:qFormat/>
    <w:rsid w:val="00C9597C"/>
    <w:rPr>
      <w:vertAlign w:val="superscript"/>
    </w:rPr>
  </w:style>
  <w:style w:type="paragraph" w:styleId="FootnoteText">
    <w:name w:val="footnote text"/>
    <w:basedOn w:val="Normal"/>
    <w:link w:val="FootnoteTextChar"/>
    <w:uiPriority w:val="99"/>
    <w:unhideWhenUsed/>
    <w:qFormat/>
    <w:rsid w:val="00C9597C"/>
    <w:rPr>
      <w:rFonts w:ascii="Calibri" w:eastAsia="Calibri" w:hAnsi="Calibri"/>
      <w:sz w:val="20"/>
      <w:szCs w:val="20"/>
      <w:lang w:val="en-US"/>
    </w:rPr>
  </w:style>
  <w:style w:type="character" w:customStyle="1" w:styleId="FootnoteTextChar">
    <w:name w:val="Footnote Text Char"/>
    <w:basedOn w:val="DefaultParagraphFont"/>
    <w:link w:val="FootnoteText"/>
    <w:uiPriority w:val="99"/>
    <w:rsid w:val="00C9597C"/>
    <w:rPr>
      <w:rFonts w:ascii="Calibri" w:eastAsia="Calibri" w:hAnsi="Calibri"/>
      <w:sz w:val="20"/>
      <w:szCs w:val="20"/>
      <w:lang w:val="en-US"/>
    </w:rPr>
  </w:style>
  <w:style w:type="character" w:styleId="FootnoteReference">
    <w:name w:val="footnote reference"/>
    <w:uiPriority w:val="99"/>
    <w:unhideWhenUsed/>
    <w:rsid w:val="00C9597C"/>
    <w:rPr>
      <w:vertAlign w:val="superscript"/>
    </w:rPr>
  </w:style>
  <w:style w:type="character" w:customStyle="1" w:styleId="spelle">
    <w:name w:val="spelle"/>
    <w:basedOn w:val="DefaultParagraphFont"/>
    <w:rsid w:val="00C9597C"/>
  </w:style>
  <w:style w:type="character" w:customStyle="1" w:styleId="grame">
    <w:name w:val="grame"/>
    <w:basedOn w:val="DefaultParagraphFont"/>
    <w:rsid w:val="00C9597C"/>
  </w:style>
  <w:style w:type="paragraph" w:styleId="BodyTextIndent">
    <w:name w:val="Body Text Indent"/>
    <w:basedOn w:val="Normal"/>
    <w:link w:val="BodyTextIndentChar"/>
    <w:uiPriority w:val="99"/>
    <w:unhideWhenUsed/>
    <w:qFormat/>
    <w:rsid w:val="00C9597C"/>
    <w:pPr>
      <w:spacing w:before="100" w:beforeAutospacing="1" w:after="100" w:afterAutospacing="1"/>
    </w:pPr>
    <w:rPr>
      <w:rFonts w:ascii="Times New Roman" w:eastAsia="Times New Roman" w:hAnsi="Times New Roman"/>
      <w:lang w:val="en-US"/>
    </w:rPr>
  </w:style>
  <w:style w:type="character" w:customStyle="1" w:styleId="BodyTextIndentChar">
    <w:name w:val="Body Text Indent Char"/>
    <w:basedOn w:val="DefaultParagraphFont"/>
    <w:link w:val="BodyTextIndent"/>
    <w:uiPriority w:val="99"/>
    <w:rsid w:val="00C9597C"/>
    <w:rPr>
      <w:rFonts w:ascii="Times New Roman" w:eastAsia="Times New Roman" w:hAnsi="Times New Roman"/>
      <w:lang w:val="en-US"/>
    </w:rPr>
  </w:style>
  <w:style w:type="paragraph" w:customStyle="1" w:styleId="listparagraph0">
    <w:name w:val="listparagraph"/>
    <w:basedOn w:val="Normal"/>
    <w:rsid w:val="00C9597C"/>
    <w:pPr>
      <w:spacing w:before="100" w:beforeAutospacing="1" w:after="100" w:afterAutospacing="1"/>
    </w:pPr>
    <w:rPr>
      <w:rFonts w:ascii="Times New Roman" w:eastAsia="Times New Roman" w:hAnsi="Times New Roman"/>
      <w:lang w:val="en-US"/>
    </w:rPr>
  </w:style>
  <w:style w:type="paragraph" w:customStyle="1" w:styleId="listparagraphcxspmiddle">
    <w:name w:val="listparagraphcxspmiddle"/>
    <w:basedOn w:val="Normal"/>
    <w:rsid w:val="00C9597C"/>
    <w:pPr>
      <w:spacing w:before="100" w:beforeAutospacing="1" w:after="100" w:afterAutospacing="1"/>
    </w:pPr>
    <w:rPr>
      <w:rFonts w:ascii="Times New Roman" w:eastAsia="Times New Roman" w:hAnsi="Times New Roman"/>
      <w:lang w:val="en-US"/>
    </w:rPr>
  </w:style>
  <w:style w:type="paragraph" w:customStyle="1" w:styleId="listparagraphcxsplast">
    <w:name w:val="listparagraphcxsplast"/>
    <w:basedOn w:val="Normal"/>
    <w:rsid w:val="00C9597C"/>
    <w:pPr>
      <w:spacing w:before="100" w:beforeAutospacing="1" w:after="100" w:afterAutospacing="1"/>
    </w:pPr>
    <w:rPr>
      <w:rFonts w:ascii="Times New Roman" w:eastAsia="Times New Roman" w:hAnsi="Times New Roman"/>
      <w:lang w:val="en-US"/>
    </w:rPr>
  </w:style>
  <w:style w:type="paragraph" w:customStyle="1" w:styleId="style3">
    <w:name w:val="style3"/>
    <w:basedOn w:val="Normal"/>
    <w:rsid w:val="00C9597C"/>
    <w:pPr>
      <w:spacing w:before="100" w:beforeAutospacing="1" w:after="100" w:afterAutospacing="1"/>
    </w:pPr>
    <w:rPr>
      <w:rFonts w:ascii="Arial" w:eastAsia="Times New Roman" w:hAnsi="Arial" w:cs="Arial"/>
      <w:sz w:val="21"/>
      <w:szCs w:val="21"/>
      <w:lang w:val="en-US"/>
    </w:rPr>
  </w:style>
  <w:style w:type="paragraph" w:customStyle="1" w:styleId="style15">
    <w:name w:val="style15"/>
    <w:basedOn w:val="Normal"/>
    <w:rsid w:val="00C9597C"/>
    <w:pPr>
      <w:spacing w:before="100" w:beforeAutospacing="1" w:after="100" w:afterAutospacing="1"/>
    </w:pPr>
    <w:rPr>
      <w:rFonts w:ascii="Arial" w:eastAsia="Times New Roman" w:hAnsi="Arial" w:cs="Arial"/>
      <w:sz w:val="23"/>
      <w:szCs w:val="23"/>
      <w:lang w:val="en-US"/>
    </w:rPr>
  </w:style>
  <w:style w:type="character" w:styleId="FollowedHyperlink">
    <w:name w:val="FollowedHyperlink"/>
    <w:uiPriority w:val="99"/>
    <w:unhideWhenUsed/>
    <w:rsid w:val="00C9597C"/>
    <w:rPr>
      <w:color w:val="800080"/>
      <w:u w:val="single"/>
    </w:rPr>
  </w:style>
  <w:style w:type="character" w:customStyle="1" w:styleId="style151">
    <w:name w:val="style151"/>
    <w:rsid w:val="00C9597C"/>
    <w:rPr>
      <w:rFonts w:ascii="Arial" w:hAnsi="Arial" w:cs="Arial" w:hint="default"/>
      <w:sz w:val="23"/>
      <w:szCs w:val="23"/>
    </w:rPr>
  </w:style>
  <w:style w:type="paragraph" w:customStyle="1" w:styleId="style17">
    <w:name w:val="style17"/>
    <w:basedOn w:val="Normal"/>
    <w:rsid w:val="00C9597C"/>
    <w:pPr>
      <w:spacing w:before="100" w:beforeAutospacing="1" w:after="100" w:afterAutospacing="1"/>
    </w:pPr>
    <w:rPr>
      <w:rFonts w:ascii="Arial" w:eastAsia="Times New Roman" w:hAnsi="Arial" w:cs="Arial"/>
      <w:sz w:val="27"/>
      <w:szCs w:val="27"/>
      <w:lang w:val="en-US"/>
    </w:rPr>
  </w:style>
  <w:style w:type="character" w:customStyle="1" w:styleId="style171">
    <w:name w:val="style171"/>
    <w:rsid w:val="00C9597C"/>
    <w:rPr>
      <w:rFonts w:ascii="Arial" w:hAnsi="Arial" w:cs="Arial" w:hint="default"/>
      <w:sz w:val="27"/>
      <w:szCs w:val="27"/>
    </w:rPr>
  </w:style>
  <w:style w:type="character" w:customStyle="1" w:styleId="style141">
    <w:name w:val="style141"/>
    <w:rsid w:val="00C9597C"/>
    <w:rPr>
      <w:rFonts w:ascii="Arial" w:hAnsi="Arial" w:cs="Arial" w:hint="default"/>
      <w:sz w:val="27"/>
      <w:szCs w:val="27"/>
    </w:rPr>
  </w:style>
  <w:style w:type="character" w:customStyle="1" w:styleId="style161">
    <w:name w:val="style161"/>
    <w:rsid w:val="00C9597C"/>
    <w:rPr>
      <w:color w:val="000000"/>
    </w:rPr>
  </w:style>
  <w:style w:type="paragraph" w:customStyle="1" w:styleId="style22">
    <w:name w:val="style22"/>
    <w:basedOn w:val="Normal"/>
    <w:rsid w:val="00C9597C"/>
    <w:pPr>
      <w:spacing w:before="100" w:beforeAutospacing="1" w:after="100" w:afterAutospacing="1"/>
    </w:pPr>
    <w:rPr>
      <w:rFonts w:ascii="Arial" w:eastAsia="Times New Roman" w:hAnsi="Arial" w:cs="Arial"/>
      <w:sz w:val="22"/>
      <w:szCs w:val="22"/>
      <w:lang w:val="en-US"/>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C9597C"/>
    <w:pPr>
      <w:spacing w:after="160" w:line="240" w:lineRule="exact"/>
    </w:pPr>
    <w:rPr>
      <w:rFonts w:ascii="Verdana" w:eastAsia="Times New Roman" w:hAnsi="Verdana"/>
      <w:sz w:val="20"/>
      <w:szCs w:val="20"/>
      <w:lang w:val="en-US"/>
    </w:rPr>
  </w:style>
  <w:style w:type="character" w:customStyle="1" w:styleId="style221">
    <w:name w:val="style221"/>
    <w:rsid w:val="00C9597C"/>
    <w:rPr>
      <w:rFonts w:ascii="Arial" w:hAnsi="Arial" w:cs="Arial" w:hint="default"/>
      <w:sz w:val="22"/>
      <w:szCs w:val="22"/>
    </w:rPr>
  </w:style>
  <w:style w:type="paragraph" w:customStyle="1" w:styleId="style32">
    <w:name w:val="style32"/>
    <w:basedOn w:val="Normal"/>
    <w:rsid w:val="00C9597C"/>
    <w:pPr>
      <w:spacing w:before="100" w:beforeAutospacing="1" w:after="100" w:afterAutospacing="1"/>
    </w:pPr>
    <w:rPr>
      <w:rFonts w:ascii="Arial" w:eastAsia="Times New Roman" w:hAnsi="Arial" w:cs="Arial"/>
      <w:lang w:val="en-US"/>
    </w:rPr>
  </w:style>
  <w:style w:type="character" w:customStyle="1" w:styleId="style311">
    <w:name w:val="style311"/>
    <w:qFormat/>
    <w:rsid w:val="00C9597C"/>
    <w:rPr>
      <w:sz w:val="24"/>
      <w:szCs w:val="24"/>
    </w:rPr>
  </w:style>
  <w:style w:type="character" w:customStyle="1" w:styleId="style331">
    <w:name w:val="style331"/>
    <w:rsid w:val="00C9597C"/>
    <w:rPr>
      <w:rFonts w:ascii="Calibri" w:hAnsi="Calibri" w:cs="Calibri" w:hint="default"/>
      <w:sz w:val="27"/>
      <w:szCs w:val="27"/>
    </w:rPr>
  </w:style>
  <w:style w:type="character" w:customStyle="1" w:styleId="style31">
    <w:name w:val="style31"/>
    <w:basedOn w:val="DefaultParagraphFont"/>
    <w:rsid w:val="00C9597C"/>
  </w:style>
  <w:style w:type="character" w:customStyle="1" w:styleId="style37">
    <w:name w:val="style37"/>
    <w:basedOn w:val="DefaultParagraphFont"/>
    <w:rsid w:val="00C9597C"/>
  </w:style>
  <w:style w:type="table" w:styleId="MediumGrid3-Accent1">
    <w:name w:val="Medium Grid 3 Accent 1"/>
    <w:basedOn w:val="TableNormal"/>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body">
    <w:name w:val="body"/>
    <w:basedOn w:val="Normal"/>
    <w:rsid w:val="00C9597C"/>
    <w:pPr>
      <w:spacing w:before="100" w:beforeAutospacing="1" w:after="100" w:afterAutospacing="1"/>
      <w:jc w:val="both"/>
    </w:pPr>
    <w:rPr>
      <w:rFonts w:ascii="Times New Roman" w:eastAsia="Times New Roman" w:hAnsi="Times New Roman"/>
      <w:lang w:eastAsia="en-GB"/>
    </w:rPr>
  </w:style>
  <w:style w:type="paragraph" w:customStyle="1" w:styleId="default0">
    <w:name w:val="default"/>
    <w:basedOn w:val="Normal"/>
    <w:rsid w:val="00C9597C"/>
    <w:pPr>
      <w:spacing w:before="100" w:beforeAutospacing="1" w:after="100" w:afterAutospacing="1"/>
    </w:pPr>
    <w:rPr>
      <w:rFonts w:ascii="Times New Roman" w:eastAsia="Times New Roman" w:hAnsi="Times New Roman"/>
      <w:lang w:val="en-US"/>
    </w:rPr>
  </w:style>
  <w:style w:type="paragraph" w:customStyle="1" w:styleId="style34">
    <w:name w:val="style34"/>
    <w:basedOn w:val="Normal"/>
    <w:uiPriority w:val="99"/>
    <w:rsid w:val="00C9597C"/>
    <w:pPr>
      <w:spacing w:before="100" w:beforeAutospacing="1" w:after="100" w:afterAutospacing="1"/>
    </w:pPr>
    <w:rPr>
      <w:rFonts w:ascii="Times New Roman" w:eastAsia="Calibri" w:hAnsi="Times New Roman"/>
      <w:lang w:val="en-US"/>
    </w:rPr>
  </w:style>
  <w:style w:type="paragraph" w:customStyle="1" w:styleId="style361">
    <w:name w:val="style361"/>
    <w:basedOn w:val="Normal"/>
    <w:uiPriority w:val="99"/>
    <w:rsid w:val="00C9597C"/>
    <w:pPr>
      <w:spacing w:before="100" w:beforeAutospacing="1" w:after="100" w:afterAutospacing="1"/>
    </w:pPr>
    <w:rPr>
      <w:rFonts w:ascii="Times New Roman" w:eastAsia="Calibri" w:hAnsi="Times New Roman"/>
      <w:lang w:val="en-US"/>
    </w:rPr>
  </w:style>
  <w:style w:type="character" w:customStyle="1" w:styleId="style36">
    <w:name w:val="style36"/>
    <w:basedOn w:val="DefaultParagraphFont"/>
    <w:rsid w:val="00C9597C"/>
  </w:style>
  <w:style w:type="character" w:styleId="CommentReference">
    <w:name w:val="annotation reference"/>
    <w:uiPriority w:val="99"/>
    <w:unhideWhenUsed/>
    <w:qFormat/>
    <w:rsid w:val="00C9597C"/>
    <w:rPr>
      <w:sz w:val="16"/>
      <w:szCs w:val="16"/>
    </w:rPr>
  </w:style>
  <w:style w:type="paragraph" w:styleId="CommentText">
    <w:name w:val="annotation text"/>
    <w:basedOn w:val="Normal"/>
    <w:link w:val="CommentTextChar"/>
    <w:uiPriority w:val="99"/>
    <w:unhideWhenUsed/>
    <w:qFormat/>
    <w:rsid w:val="00C9597C"/>
    <w:pPr>
      <w:spacing w:after="200"/>
    </w:pPr>
    <w:rPr>
      <w:rFonts w:ascii="Calibri" w:eastAsia="Calibri" w:hAnsi="Calibri"/>
      <w:sz w:val="20"/>
      <w:szCs w:val="20"/>
      <w:lang w:val="en-US"/>
    </w:rPr>
  </w:style>
  <w:style w:type="character" w:customStyle="1" w:styleId="CommentTextChar">
    <w:name w:val="Comment Text Char"/>
    <w:basedOn w:val="DefaultParagraphFont"/>
    <w:link w:val="CommentText"/>
    <w:uiPriority w:val="99"/>
    <w:rsid w:val="00C9597C"/>
    <w:rPr>
      <w:rFonts w:ascii="Calibri" w:eastAsia="Calibri" w:hAnsi="Calibri"/>
      <w:sz w:val="20"/>
      <w:szCs w:val="20"/>
      <w:lang w:val="en-US"/>
    </w:rPr>
  </w:style>
  <w:style w:type="paragraph" w:styleId="CommentSubject">
    <w:name w:val="annotation subject"/>
    <w:basedOn w:val="CommentText"/>
    <w:next w:val="CommentText"/>
    <w:link w:val="CommentSubjectChar"/>
    <w:uiPriority w:val="99"/>
    <w:unhideWhenUsed/>
    <w:qFormat/>
    <w:rsid w:val="00C9597C"/>
    <w:rPr>
      <w:b/>
      <w:bCs/>
    </w:rPr>
  </w:style>
  <w:style w:type="character" w:customStyle="1" w:styleId="CommentSubjectChar">
    <w:name w:val="Comment Subject Char"/>
    <w:basedOn w:val="CommentTextChar"/>
    <w:link w:val="CommentSubject"/>
    <w:uiPriority w:val="99"/>
    <w:rsid w:val="00C9597C"/>
    <w:rPr>
      <w:rFonts w:ascii="Calibri" w:eastAsia="Calibri" w:hAnsi="Calibri"/>
      <w:b/>
      <w:bCs/>
      <w:sz w:val="20"/>
      <w:szCs w:val="20"/>
      <w:lang w:val="en-US"/>
    </w:rPr>
  </w:style>
  <w:style w:type="character" w:customStyle="1" w:styleId="BalloonTextChar1">
    <w:name w:val="Balloon Text Char1"/>
    <w:uiPriority w:val="99"/>
    <w:rsid w:val="00C9597C"/>
    <w:rPr>
      <w:rFonts w:ascii="Tahoma" w:hAnsi="Tahoma" w:cs="Tahoma"/>
      <w:sz w:val="16"/>
      <w:szCs w:val="16"/>
      <w:lang w:val="en-GB"/>
    </w:rPr>
  </w:style>
  <w:style w:type="character" w:customStyle="1" w:styleId="CommentTextChar1">
    <w:name w:val="Comment Text Char1"/>
    <w:uiPriority w:val="99"/>
    <w:rsid w:val="00C9597C"/>
    <w:rPr>
      <w:sz w:val="20"/>
      <w:szCs w:val="20"/>
      <w:lang w:val="en-GB"/>
    </w:rPr>
  </w:style>
  <w:style w:type="character" w:customStyle="1" w:styleId="CommentSubjectChar1">
    <w:name w:val="Comment Subject Char1"/>
    <w:uiPriority w:val="99"/>
    <w:rsid w:val="00C9597C"/>
    <w:rPr>
      <w:b/>
      <w:bCs/>
      <w:sz w:val="20"/>
      <w:szCs w:val="20"/>
      <w:lang w:val="en-GB"/>
    </w:rPr>
  </w:style>
  <w:style w:type="paragraph" w:customStyle="1" w:styleId="style119">
    <w:name w:val="style119"/>
    <w:basedOn w:val="Normal"/>
    <w:rsid w:val="00C9597C"/>
    <w:pPr>
      <w:spacing w:before="100" w:beforeAutospacing="1" w:after="100" w:afterAutospacing="1"/>
    </w:pPr>
    <w:rPr>
      <w:rFonts w:ascii="Arial" w:eastAsia="Calibri" w:hAnsi="Arial" w:cs="Arial"/>
      <w:sz w:val="20"/>
      <w:szCs w:val="20"/>
      <w:lang w:val="en-US" w:bidi="hi-IN"/>
    </w:rPr>
  </w:style>
  <w:style w:type="paragraph" w:customStyle="1" w:styleId="style120">
    <w:name w:val="style120"/>
    <w:basedOn w:val="Normal"/>
    <w:rsid w:val="00C9597C"/>
    <w:pPr>
      <w:spacing w:before="100" w:beforeAutospacing="1" w:after="100" w:afterAutospacing="1"/>
    </w:pPr>
    <w:rPr>
      <w:rFonts w:ascii="Times New Roman" w:eastAsia="Calibri" w:hAnsi="Times New Roman"/>
      <w:sz w:val="20"/>
      <w:szCs w:val="20"/>
      <w:lang w:val="en-US" w:bidi="hi-IN"/>
    </w:rPr>
  </w:style>
  <w:style w:type="character" w:customStyle="1" w:styleId="style1201">
    <w:name w:val="style1201"/>
    <w:rsid w:val="00C9597C"/>
    <w:rPr>
      <w:sz w:val="20"/>
      <w:szCs w:val="20"/>
    </w:rPr>
  </w:style>
  <w:style w:type="character" w:customStyle="1" w:styleId="style1191">
    <w:name w:val="style1191"/>
    <w:rsid w:val="00C9597C"/>
    <w:rPr>
      <w:rFonts w:ascii="Arial" w:hAnsi="Arial" w:cs="Arial" w:hint="default"/>
      <w:sz w:val="20"/>
      <w:szCs w:val="20"/>
    </w:rPr>
  </w:style>
  <w:style w:type="character" w:customStyle="1" w:styleId="Heading1Char1">
    <w:name w:val="Heading 1 Char1"/>
    <w:aliases w:val="Garamond Char1"/>
    <w:uiPriority w:val="9"/>
    <w:rsid w:val="00C9597C"/>
    <w:rPr>
      <w:rFonts w:ascii="Cambria" w:eastAsia="Times New Roman" w:hAnsi="Cambria" w:cs="Times New Roman"/>
      <w:b/>
      <w:bCs/>
      <w:color w:val="365F91"/>
      <w:sz w:val="28"/>
      <w:szCs w:val="28"/>
      <w:lang w:val="en-GB"/>
    </w:rPr>
  </w:style>
  <w:style w:type="table" w:styleId="MediumGrid1-Accent1">
    <w:name w:val="Medium Grid 1 Accent 1"/>
    <w:basedOn w:val="TableNormal"/>
    <w:uiPriority w:val="67"/>
    <w:qFormat/>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
    <w:name w:val="Light Grid - Accent 1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5">
    <w:name w:val="Light Grid Accent 5"/>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
    <w:name w:val="Light Grid - Accent 12"/>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5">
    <w:name w:val="Light List Accent 5"/>
    <w:basedOn w:val="TableNormal"/>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tyle14">
    <w:name w:val="style14"/>
    <w:basedOn w:val="Normal"/>
    <w:uiPriority w:val="99"/>
    <w:rsid w:val="00C9597C"/>
    <w:pPr>
      <w:spacing w:before="100" w:beforeAutospacing="1" w:after="100" w:afterAutospacing="1"/>
    </w:pPr>
    <w:rPr>
      <w:rFonts w:ascii="Arial" w:eastAsia="Calibri" w:hAnsi="Arial" w:cs="Arial"/>
      <w:sz w:val="20"/>
      <w:szCs w:val="20"/>
      <w:lang w:val="en-US" w:bidi="hi-IN"/>
    </w:rPr>
  </w:style>
  <w:style w:type="paragraph" w:customStyle="1" w:styleId="style1">
    <w:name w:val="style1"/>
    <w:basedOn w:val="Normal"/>
    <w:uiPriority w:val="99"/>
    <w:rsid w:val="00C9597C"/>
    <w:pPr>
      <w:spacing w:before="100" w:beforeAutospacing="1" w:after="100" w:afterAutospacing="1"/>
    </w:pPr>
    <w:rPr>
      <w:rFonts w:ascii="Arial" w:eastAsia="Calibri" w:hAnsi="Arial" w:cs="Arial"/>
      <w:sz w:val="20"/>
      <w:szCs w:val="20"/>
      <w:lang w:val="en-US"/>
    </w:rPr>
  </w:style>
  <w:style w:type="paragraph" w:customStyle="1" w:styleId="paraattribute2">
    <w:name w:val="paraattribute2"/>
    <w:basedOn w:val="Normal"/>
    <w:rsid w:val="00C9597C"/>
    <w:pPr>
      <w:spacing w:before="100" w:beforeAutospacing="1" w:after="100" w:afterAutospacing="1"/>
    </w:pPr>
    <w:rPr>
      <w:rFonts w:ascii="Times New Roman" w:eastAsia="Times New Roman" w:hAnsi="Times New Roman"/>
      <w:lang w:val="en-US" w:bidi="hi-IN"/>
    </w:rPr>
  </w:style>
  <w:style w:type="paragraph" w:customStyle="1" w:styleId="bodytext20">
    <w:name w:val="bodytext20"/>
    <w:basedOn w:val="Normal"/>
    <w:rsid w:val="00C9597C"/>
    <w:pPr>
      <w:spacing w:before="100" w:beforeAutospacing="1" w:after="100" w:afterAutospacing="1"/>
    </w:pPr>
    <w:rPr>
      <w:rFonts w:ascii="Times New Roman" w:eastAsia="Times New Roman" w:hAnsi="Times New Roman"/>
      <w:lang w:val="en-US" w:bidi="hi-IN"/>
    </w:rPr>
  </w:style>
  <w:style w:type="paragraph" w:customStyle="1" w:styleId="bodytext0">
    <w:name w:val="bodytext0"/>
    <w:basedOn w:val="Normal"/>
    <w:rsid w:val="00C9597C"/>
    <w:pPr>
      <w:spacing w:before="100" w:beforeAutospacing="1" w:after="100" w:afterAutospacing="1"/>
    </w:pPr>
    <w:rPr>
      <w:rFonts w:ascii="Times New Roman" w:eastAsia="Times New Roman" w:hAnsi="Times New Roman"/>
      <w:lang w:val="en-US"/>
    </w:rPr>
  </w:style>
  <w:style w:type="character" w:customStyle="1" w:styleId="style38">
    <w:name w:val="style38"/>
    <w:basedOn w:val="DefaultParagraphFont"/>
    <w:rsid w:val="00C9597C"/>
  </w:style>
  <w:style w:type="paragraph" w:customStyle="1" w:styleId="style49">
    <w:name w:val="style49"/>
    <w:basedOn w:val="Normal"/>
    <w:uiPriority w:val="99"/>
    <w:rsid w:val="00C9597C"/>
    <w:pPr>
      <w:spacing w:before="100" w:beforeAutospacing="1" w:after="100" w:afterAutospacing="1"/>
    </w:pPr>
    <w:rPr>
      <w:rFonts w:ascii="Times New Roman" w:eastAsia="Calibri" w:hAnsi="Times New Roman"/>
      <w:sz w:val="20"/>
      <w:szCs w:val="20"/>
      <w:lang w:val="en-US" w:bidi="hi-IN"/>
    </w:rPr>
  </w:style>
  <w:style w:type="character" w:customStyle="1" w:styleId="style1361">
    <w:name w:val="style1361"/>
    <w:rsid w:val="00C9597C"/>
    <w:rPr>
      <w:b/>
      <w:bCs/>
    </w:rPr>
  </w:style>
  <w:style w:type="character" w:customStyle="1" w:styleId="style1351">
    <w:name w:val="style1351"/>
    <w:rsid w:val="00C9597C"/>
    <w:rPr>
      <w:b/>
      <w:bCs/>
    </w:rPr>
  </w:style>
  <w:style w:type="character" w:customStyle="1" w:styleId="style1341">
    <w:name w:val="style1341"/>
    <w:rsid w:val="00C9597C"/>
    <w:rPr>
      <w:b/>
      <w:bCs/>
    </w:rPr>
  </w:style>
  <w:style w:type="character" w:customStyle="1" w:styleId="style1331">
    <w:name w:val="style1331"/>
    <w:rsid w:val="00C9597C"/>
    <w:rPr>
      <w:b/>
      <w:bCs/>
    </w:rPr>
  </w:style>
  <w:style w:type="character" w:customStyle="1" w:styleId="style1321">
    <w:name w:val="style1321"/>
    <w:qFormat/>
    <w:rsid w:val="00C9597C"/>
    <w:rPr>
      <w:b/>
      <w:bCs/>
    </w:rPr>
  </w:style>
  <w:style w:type="character" w:customStyle="1" w:styleId="style1311">
    <w:name w:val="style1311"/>
    <w:rsid w:val="00C9597C"/>
    <w:rPr>
      <w:b/>
      <w:bCs/>
    </w:rPr>
  </w:style>
  <w:style w:type="character" w:customStyle="1" w:styleId="style201">
    <w:name w:val="style201"/>
    <w:rsid w:val="00C9597C"/>
    <w:rPr>
      <w:b/>
      <w:bCs/>
    </w:rPr>
  </w:style>
  <w:style w:type="character" w:customStyle="1" w:styleId="style191">
    <w:name w:val="style191"/>
    <w:rsid w:val="00C9597C"/>
    <w:rPr>
      <w:b/>
      <w:bCs/>
    </w:rPr>
  </w:style>
  <w:style w:type="character" w:customStyle="1" w:styleId="style181">
    <w:name w:val="style181"/>
    <w:rsid w:val="00C9597C"/>
    <w:rPr>
      <w:b/>
      <w:bCs/>
    </w:rPr>
  </w:style>
  <w:style w:type="table" w:customStyle="1" w:styleId="LightGrid-Accent13">
    <w:name w:val="Light Grid - Accent 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style291">
    <w:name w:val="style291"/>
    <w:rsid w:val="00C9597C"/>
    <w:rPr>
      <w:rFonts w:ascii="Arial" w:hAnsi="Arial" w:cs="Arial" w:hint="default"/>
    </w:rPr>
  </w:style>
  <w:style w:type="paragraph" w:customStyle="1" w:styleId="style2">
    <w:name w:val="style2"/>
    <w:basedOn w:val="Normal"/>
    <w:uiPriority w:val="99"/>
    <w:rsid w:val="00C9597C"/>
    <w:pPr>
      <w:spacing w:before="100" w:beforeAutospacing="1" w:after="100" w:afterAutospacing="1"/>
    </w:pPr>
    <w:rPr>
      <w:rFonts w:ascii="Times New Roman" w:eastAsia="Calibri" w:hAnsi="Times New Roman"/>
      <w:b/>
      <w:bCs/>
      <w:sz w:val="20"/>
      <w:szCs w:val="20"/>
      <w:lang w:val="en-US"/>
    </w:rPr>
  </w:style>
  <w:style w:type="character" w:customStyle="1" w:styleId="ListParagraphChar">
    <w:name w:val="List Paragraph Char"/>
    <w:aliases w:val="lp1 Char,elenco Char,Equipment Char,Figure_name Char,List Paragraph Char Char Char,List Paragraph1 Char,List Paragraph11 Char,List Paragraph2 Char,List_TIS Char,Normal Sentence Char,Number_1 Char,Numbered Indented Text Char,Ref Char"/>
    <w:link w:val="ListParagraph"/>
    <w:uiPriority w:val="34"/>
    <w:qFormat/>
    <w:locked/>
    <w:rsid w:val="00C9597C"/>
    <w:rPr>
      <w:rFonts w:ascii="Calibri" w:eastAsia="Calibri" w:hAnsi="Calibri"/>
      <w:sz w:val="20"/>
      <w:szCs w:val="20"/>
      <w:lang w:val="en-US"/>
    </w:rPr>
  </w:style>
  <w:style w:type="table" w:styleId="MediumGrid1-Accent3">
    <w:name w:val="Medium Grid 1 Accent 3"/>
    <w:basedOn w:val="TableNormal"/>
    <w:uiPriority w:val="67"/>
    <w:qFormat/>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paragraph">
    <w:name w:val="paragraph"/>
    <w:basedOn w:val="Normal"/>
    <w:rsid w:val="00C9597C"/>
    <w:pPr>
      <w:spacing w:before="100" w:beforeAutospacing="1" w:after="100" w:afterAutospacing="1"/>
    </w:pPr>
    <w:rPr>
      <w:rFonts w:ascii="Times New Roman" w:eastAsia="Times New Roman" w:hAnsi="Times New Roman"/>
      <w:lang w:val="en-US"/>
    </w:rPr>
  </w:style>
  <w:style w:type="character" w:customStyle="1" w:styleId="ilad">
    <w:name w:val="il_ad"/>
    <w:basedOn w:val="DefaultParagraphFont"/>
    <w:rsid w:val="00C9597C"/>
  </w:style>
  <w:style w:type="paragraph" w:customStyle="1" w:styleId="s8">
    <w:name w:val="s8"/>
    <w:basedOn w:val="Normal"/>
    <w:rsid w:val="00C9597C"/>
    <w:pPr>
      <w:spacing w:before="100" w:beforeAutospacing="1" w:after="100" w:afterAutospacing="1"/>
    </w:pPr>
    <w:rPr>
      <w:rFonts w:ascii="Times New Roman" w:eastAsia="Times New Roman" w:hAnsi="Times New Roman"/>
      <w:lang w:val="en-US"/>
    </w:rPr>
  </w:style>
  <w:style w:type="character" w:customStyle="1" w:styleId="s7">
    <w:name w:val="s7"/>
    <w:basedOn w:val="DefaultParagraphFont"/>
    <w:rsid w:val="00C9597C"/>
  </w:style>
  <w:style w:type="paragraph" w:customStyle="1" w:styleId="s10">
    <w:name w:val="s10"/>
    <w:basedOn w:val="Normal"/>
    <w:rsid w:val="00C9597C"/>
    <w:pPr>
      <w:spacing w:before="100" w:beforeAutospacing="1" w:after="100" w:afterAutospacing="1"/>
    </w:pPr>
    <w:rPr>
      <w:rFonts w:ascii="Times New Roman" w:eastAsia="Times New Roman" w:hAnsi="Times New Roman"/>
      <w:lang w:val="en-US"/>
    </w:rPr>
  </w:style>
  <w:style w:type="numbering" w:customStyle="1" w:styleId="NoList1">
    <w:name w:val="No List1"/>
    <w:next w:val="NoList"/>
    <w:uiPriority w:val="99"/>
    <w:unhideWhenUsed/>
    <w:rsid w:val="00C9597C"/>
  </w:style>
  <w:style w:type="table" w:customStyle="1" w:styleId="MediumGrid1-Accent11">
    <w:name w:val="Medium Grid 1 - Accent 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
    <w:name w:val="Light Grid - Accent 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
    <w:name w:val="Light Grid - Accent 5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
    <w:name w:val="Light Grid - Accent 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
    <w:name w:val="Light List - Accent 5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
    <w:name w:val="Light Grid - Accent 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
    <w:name w:val="Medium Grid 1 - Accent 31"/>
    <w:basedOn w:val="TableNormal"/>
    <w:next w:val="MediumGrid1-Accent3"/>
    <w:uiPriority w:val="67"/>
    <w:qFormat/>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
    <w:name w:val="Grid Table 4 - Accent 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Revision">
    <w:name w:val="Revision"/>
    <w:hidden/>
    <w:uiPriority w:val="99"/>
    <w:rsid w:val="00C9597C"/>
    <w:rPr>
      <w:rFonts w:ascii="Calibri" w:eastAsia="Calibri" w:hAnsi="Calibri"/>
      <w:sz w:val="22"/>
      <w:szCs w:val="22"/>
      <w:lang w:val="en-US"/>
    </w:rPr>
  </w:style>
  <w:style w:type="numbering" w:customStyle="1" w:styleId="NoList2">
    <w:name w:val="No List2"/>
    <w:next w:val="NoList"/>
    <w:uiPriority w:val="99"/>
    <w:unhideWhenUsed/>
    <w:rsid w:val="00C9597C"/>
  </w:style>
  <w:style w:type="table" w:customStyle="1" w:styleId="MediumGrid1-Accent12">
    <w:name w:val="Medium Grid 1 - Accent 12"/>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2">
    <w:name w:val="Light Grid - Accent 112"/>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2">
    <w:name w:val="Light Grid - Accent 52"/>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2">
    <w:name w:val="Light Grid - Accent 12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2">
    <w:name w:val="Light List - Accent 52"/>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2">
    <w:name w:val="Light List - Accent 112"/>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2">
    <w:name w:val="Light Grid - Accent 13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2">
    <w:name w:val="Medium Grid 1 - Accent 32"/>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1">
    <w:name w:val="Grid Table 4 Accent 31"/>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3">
    <w:name w:val="No List3"/>
    <w:next w:val="NoList"/>
    <w:uiPriority w:val="99"/>
    <w:unhideWhenUsed/>
    <w:rsid w:val="00C9597C"/>
  </w:style>
  <w:style w:type="table" w:customStyle="1" w:styleId="MediumGrid1-Accent13">
    <w:name w:val="Medium Grid 1 - Accent 13"/>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3">
    <w:name w:val="Light Grid - Accent 113"/>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3">
    <w:name w:val="Light Grid - Accent 53"/>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3">
    <w:name w:val="Light Grid - Accent 123"/>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3">
    <w:name w:val="Light List - Accent 53"/>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3">
    <w:name w:val="Light List - Accent 113"/>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3">
    <w:name w:val="Light Grid - Accent 133"/>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3">
    <w:name w:val="Medium Grid 1 - Accent 33"/>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2">
    <w:name w:val="Grid Table 4 Accent 32"/>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TMLPreformatted">
    <w:name w:val="HTML Preformatted"/>
    <w:basedOn w:val="Normal"/>
    <w:link w:val="HTMLPreformattedChar"/>
    <w:uiPriority w:val="99"/>
    <w:unhideWhenUsed/>
    <w:qFormat/>
    <w:rsid w:val="00C95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9597C"/>
    <w:rPr>
      <w:rFonts w:ascii="Courier New" w:eastAsia="Times New Roman" w:hAnsi="Courier New" w:cs="Courier New"/>
      <w:sz w:val="20"/>
      <w:szCs w:val="20"/>
      <w:lang w:val="en-US"/>
    </w:rPr>
  </w:style>
  <w:style w:type="character" w:customStyle="1" w:styleId="unicode">
    <w:name w:val="unicode"/>
    <w:basedOn w:val="DefaultParagraphFont"/>
    <w:rsid w:val="00C9597C"/>
  </w:style>
  <w:style w:type="character" w:customStyle="1" w:styleId="fn">
    <w:name w:val="fn"/>
    <w:basedOn w:val="DefaultParagraphFont"/>
    <w:rsid w:val="00C9597C"/>
  </w:style>
  <w:style w:type="table" w:customStyle="1" w:styleId="TableGrid1">
    <w:name w:val="Table Grid1"/>
    <w:basedOn w:val="TableNormal"/>
    <w:next w:val="TableGrid"/>
    <w:uiPriority w:val="39"/>
    <w:rsid w:val="00C9597C"/>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C9597C"/>
  </w:style>
  <w:style w:type="character" w:customStyle="1" w:styleId="aqj">
    <w:name w:val="aqj"/>
    <w:basedOn w:val="DefaultParagraphFont"/>
    <w:rsid w:val="00C9597C"/>
  </w:style>
  <w:style w:type="character" w:customStyle="1" w:styleId="slc367992977963056178">
    <w:name w:val="sl_c_36799297_79_63056178"/>
    <w:basedOn w:val="DefaultParagraphFont"/>
    <w:rsid w:val="00C9597C"/>
  </w:style>
  <w:style w:type="character" w:customStyle="1" w:styleId="slc3679929710863056178">
    <w:name w:val="sl_c_36799297_108_63056178"/>
    <w:basedOn w:val="DefaultParagraphFont"/>
    <w:rsid w:val="00C9597C"/>
  </w:style>
  <w:style w:type="paragraph" w:styleId="Subtitle">
    <w:name w:val="Subtitle"/>
    <w:basedOn w:val="Normal"/>
    <w:next w:val="Normal"/>
    <w:link w:val="SubtitleChar"/>
    <w:qFormat/>
    <w:rsid w:val="00C9597C"/>
    <w:pPr>
      <w:keepNext/>
      <w:keepLines/>
      <w:spacing w:before="360" w:after="80"/>
      <w:contextualSpacing/>
      <w:jc w:val="both"/>
    </w:pPr>
    <w:rPr>
      <w:rFonts w:ascii="Georgia" w:eastAsia="Georgia" w:hAnsi="Georgia" w:cs="Georgia"/>
      <w:i/>
      <w:color w:val="666666"/>
      <w:sz w:val="48"/>
      <w:szCs w:val="48"/>
      <w:lang w:val="en-IN" w:eastAsia="en-IN"/>
    </w:rPr>
  </w:style>
  <w:style w:type="character" w:customStyle="1" w:styleId="SubtitleChar">
    <w:name w:val="Subtitle Char"/>
    <w:basedOn w:val="DefaultParagraphFont"/>
    <w:link w:val="Subtitle"/>
    <w:rsid w:val="00C9597C"/>
    <w:rPr>
      <w:rFonts w:ascii="Georgia" w:eastAsia="Georgia" w:hAnsi="Georgia" w:cs="Georgia"/>
      <w:i/>
      <w:color w:val="666666"/>
      <w:sz w:val="48"/>
      <w:szCs w:val="48"/>
      <w:lang w:val="en-IN" w:eastAsia="en-IN"/>
    </w:rPr>
  </w:style>
  <w:style w:type="character" w:customStyle="1" w:styleId="lede-headlinehighlighted">
    <w:name w:val="lede-headline__highlighted"/>
    <w:basedOn w:val="DefaultParagraphFont"/>
    <w:rsid w:val="00C9597C"/>
  </w:style>
  <w:style w:type="character" w:customStyle="1" w:styleId="mfirst-letter">
    <w:name w:val="m_first-letter"/>
    <w:basedOn w:val="DefaultParagraphFont"/>
    <w:rsid w:val="00C9597C"/>
  </w:style>
  <w:style w:type="character" w:customStyle="1" w:styleId="dictionary">
    <w:name w:val="dictionary"/>
    <w:basedOn w:val="DefaultParagraphFont"/>
    <w:rsid w:val="00C9597C"/>
  </w:style>
  <w:style w:type="table" w:customStyle="1" w:styleId="TableGrid2">
    <w:name w:val="Table Grid2"/>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unhideWhenUsed/>
    <w:rsid w:val="00C9597C"/>
  </w:style>
  <w:style w:type="table" w:customStyle="1" w:styleId="MediumGrid1-Accent14">
    <w:name w:val="Medium Grid 1 - Accent 14"/>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4">
    <w:name w:val="Light Grid - Accent 114"/>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4">
    <w:name w:val="Light Grid - Accent 54"/>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4">
    <w:name w:val="Light Grid - Accent 124"/>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4">
    <w:name w:val="Light List - Accent 54"/>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4">
    <w:name w:val="Light List - Accent 114"/>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4">
    <w:name w:val="Light Grid - Accent 134"/>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4">
    <w:name w:val="Medium Grid 1 - Accent 34"/>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TableGrid3">
    <w:name w:val="Table Grid3"/>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
    <w:name w:val="Medium Grid 3 - Accent 1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
    <w:name w:val="No List11"/>
    <w:next w:val="NoList"/>
    <w:uiPriority w:val="99"/>
    <w:unhideWhenUsed/>
    <w:rsid w:val="00C9597C"/>
  </w:style>
  <w:style w:type="table" w:customStyle="1" w:styleId="MediumGrid1-Accent111">
    <w:name w:val="Medium Grid 1 - Accent 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
    <w:name w:val="Light Grid - Accent 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
    <w:name w:val="Light Grid - Accent 51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
    <w:name w:val="Light Grid - Accent 12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
    <w:name w:val="Light List - Accent 51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
    <w:name w:val="Light List - Accent 1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
    <w:name w:val="Light Grid - Accent 13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
    <w:name w:val="Medium Grid 1 - Accent 3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
    <w:name w:val="Grid Table 4 - Accent 3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
    <w:name w:val="No List21"/>
    <w:next w:val="NoList"/>
    <w:uiPriority w:val="99"/>
    <w:unhideWhenUsed/>
    <w:rsid w:val="00C9597C"/>
  </w:style>
  <w:style w:type="table" w:customStyle="1" w:styleId="MediumGrid1-Accent121">
    <w:name w:val="Medium Grid 1 - Accent 121"/>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21">
    <w:name w:val="Light Grid - Accent 1121"/>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21">
    <w:name w:val="Light Grid - Accent 521"/>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21">
    <w:name w:val="Light Grid - Accent 1221"/>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21">
    <w:name w:val="Light List - Accent 521"/>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21">
    <w:name w:val="Light List - Accent 1121"/>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21">
    <w:name w:val="Light Grid - Accent 1321"/>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21">
    <w:name w:val="Medium Grid 1 - Accent 321"/>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11">
    <w:name w:val="Grid Table 4 Accent 311"/>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31">
    <w:name w:val="No List31"/>
    <w:next w:val="NoList"/>
    <w:uiPriority w:val="99"/>
    <w:unhideWhenUsed/>
    <w:rsid w:val="00C9597C"/>
  </w:style>
  <w:style w:type="table" w:customStyle="1" w:styleId="MediumGrid1-Accent131">
    <w:name w:val="Medium Grid 1 - Accent 131"/>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31">
    <w:name w:val="Light Grid - Accent 1131"/>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31">
    <w:name w:val="Light Grid - Accent 531"/>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31">
    <w:name w:val="Light Grid - Accent 1231"/>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31">
    <w:name w:val="Light List - Accent 531"/>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31">
    <w:name w:val="Light List - Accent 1131"/>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31">
    <w:name w:val="Light Grid - Accent 1331"/>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31">
    <w:name w:val="Medium Grid 1 - Accent 331"/>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21">
    <w:name w:val="Grid Table 4 Accent 321"/>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1">
    <w:name w:val="Table Grid11"/>
    <w:basedOn w:val="TableNormal"/>
    <w:next w:val="TableGrid"/>
    <w:uiPriority w:val="39"/>
    <w:rsid w:val="00C9597C"/>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unhideWhenUsed/>
    <w:rsid w:val="00C9597C"/>
  </w:style>
  <w:style w:type="table" w:customStyle="1" w:styleId="TableGrid4">
    <w:name w:val="Table Grid4"/>
    <w:basedOn w:val="TableNormal"/>
    <w:next w:val="TableGrid"/>
    <w:uiPriority w:val="5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
    <w:name w:val="Medium Grid 3 - Accent 12"/>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
    <w:name w:val="Medium Grid 1 - Accent 15"/>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
    <w:name w:val="Light Grid - Accent 115"/>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
    <w:name w:val="Light Grid - Accent 55"/>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
    <w:name w:val="Light Grid - Accent 125"/>
    <w:basedOn w:val="TableNormal"/>
    <w:uiPriority w:val="62"/>
    <w:qFormat/>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
    <w:name w:val="Light List - Accent 55"/>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
    <w:name w:val="Light List - Accent 115"/>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
    <w:name w:val="Light Grid - Accent 13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
    <w:name w:val="Medium Grid 1 - Accent 3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
    <w:name w:val="No List12"/>
    <w:next w:val="NoList"/>
    <w:uiPriority w:val="99"/>
    <w:unhideWhenUsed/>
    <w:rsid w:val="00C9597C"/>
  </w:style>
  <w:style w:type="table" w:customStyle="1" w:styleId="MediumGrid1-Accent112">
    <w:name w:val="Medium Grid 1 - Accent 11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
    <w:name w:val="Light Grid - Accent 11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
    <w:name w:val="Light Grid - Accent 512"/>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
    <w:name w:val="Light Grid - Accent 12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
    <w:name w:val="Light List - Accent 512"/>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
    <w:name w:val="Light List - Accent 111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
    <w:name w:val="Light Grid - Accent 13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
    <w:name w:val="Medium Grid 1 - Accent 31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
    <w:name w:val="Grid Table 4 - Accent 312"/>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
    <w:name w:val="No List22"/>
    <w:next w:val="NoList"/>
    <w:uiPriority w:val="99"/>
    <w:unhideWhenUsed/>
    <w:rsid w:val="00C9597C"/>
  </w:style>
  <w:style w:type="table" w:customStyle="1" w:styleId="MediumGrid1-Accent122">
    <w:name w:val="Medium Grid 1 - Accent 122"/>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22">
    <w:name w:val="Light Grid - Accent 1122"/>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22">
    <w:name w:val="Light Grid - Accent 522"/>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22">
    <w:name w:val="Light Grid - Accent 122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22">
    <w:name w:val="Light List - Accent 522"/>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22">
    <w:name w:val="Light List - Accent 1122"/>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22">
    <w:name w:val="Light Grid - Accent 132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22">
    <w:name w:val="Medium Grid 1 - Accent 322"/>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12">
    <w:name w:val="Grid Table 4 Accent 312"/>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32">
    <w:name w:val="No List32"/>
    <w:next w:val="NoList"/>
    <w:uiPriority w:val="99"/>
    <w:unhideWhenUsed/>
    <w:rsid w:val="00C9597C"/>
  </w:style>
  <w:style w:type="table" w:customStyle="1" w:styleId="MediumGrid1-Accent132">
    <w:name w:val="Medium Grid 1 - Accent 132"/>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32">
    <w:name w:val="Light Grid - Accent 1132"/>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32">
    <w:name w:val="Light Grid - Accent 532"/>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32">
    <w:name w:val="Light Grid - Accent 123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32">
    <w:name w:val="Light List - Accent 532"/>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32">
    <w:name w:val="Light List - Accent 1132"/>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32">
    <w:name w:val="Light Grid - Accent 133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32">
    <w:name w:val="Medium Grid 1 - Accent 332"/>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22">
    <w:name w:val="Grid Table 4 Accent 322"/>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2">
    <w:name w:val="Table Grid12"/>
    <w:basedOn w:val="TableNormal"/>
    <w:next w:val="TableGrid"/>
    <w:uiPriority w:val="39"/>
    <w:rsid w:val="00C9597C"/>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unhideWhenUsed/>
    <w:rsid w:val="00C9597C"/>
  </w:style>
  <w:style w:type="table" w:customStyle="1" w:styleId="MediumGrid1-Accent16">
    <w:name w:val="Medium Grid 1 - Accent 16"/>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6">
    <w:name w:val="Light Grid - Accent 116"/>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6">
    <w:name w:val="Light Grid - Accent 56"/>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6">
    <w:name w:val="Light Grid - Accent 126"/>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6">
    <w:name w:val="Light List - Accent 56"/>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6">
    <w:name w:val="Light List - Accent 116"/>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6">
    <w:name w:val="Light Grid - Accent 136"/>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6">
    <w:name w:val="Medium Grid 1 - Accent 36"/>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numbering" w:customStyle="1" w:styleId="NoList13">
    <w:name w:val="No List13"/>
    <w:next w:val="NoList"/>
    <w:uiPriority w:val="99"/>
    <w:unhideWhenUsed/>
    <w:rsid w:val="00C9597C"/>
  </w:style>
  <w:style w:type="numbering" w:customStyle="1" w:styleId="NoList23">
    <w:name w:val="No List23"/>
    <w:next w:val="NoList"/>
    <w:uiPriority w:val="99"/>
    <w:unhideWhenUsed/>
    <w:rsid w:val="00C9597C"/>
  </w:style>
  <w:style w:type="numbering" w:customStyle="1" w:styleId="NoList33">
    <w:name w:val="No List33"/>
    <w:next w:val="NoList"/>
    <w:uiPriority w:val="99"/>
    <w:unhideWhenUsed/>
    <w:rsid w:val="00C9597C"/>
  </w:style>
  <w:style w:type="numbering" w:customStyle="1" w:styleId="NoList7">
    <w:name w:val="No List7"/>
    <w:next w:val="NoList"/>
    <w:uiPriority w:val="99"/>
    <w:unhideWhenUsed/>
    <w:rsid w:val="00C9597C"/>
  </w:style>
  <w:style w:type="table" w:customStyle="1" w:styleId="TableGrid5">
    <w:name w:val="Table Grid5"/>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
    <w:name w:val="Medium Grid 3 - Accent 13"/>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
    <w:name w:val="Medium Grid 1 - Accent 17"/>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
    <w:name w:val="Light Grid - Accent 117"/>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
    <w:name w:val="Light Grid - Accent 57"/>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
    <w:name w:val="Light Grid - Accent 127"/>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
    <w:name w:val="Light List - Accent 57"/>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
    <w:name w:val="Light List - Accent 117"/>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
    <w:name w:val="Light Grid - Accent 13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
    <w:name w:val="Medium Grid 1 - Accent 37"/>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
    <w:name w:val="No List14"/>
    <w:next w:val="NoList"/>
    <w:uiPriority w:val="99"/>
    <w:unhideWhenUsed/>
    <w:rsid w:val="00C9597C"/>
  </w:style>
  <w:style w:type="table" w:customStyle="1" w:styleId="MediumGrid1-Accent113">
    <w:name w:val="Medium Grid 1 - Accent 11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
    <w:name w:val="Light Grid - Accent 11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
    <w:name w:val="Light Grid - Accent 513"/>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
    <w:name w:val="Light Grid - Accent 12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
    <w:name w:val="Light List - Accent 513"/>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
    <w:name w:val="Light List - Accent 111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
    <w:name w:val="Light Grid - Accent 13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
    <w:name w:val="Medium Grid 1 - Accent 31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
    <w:name w:val="Grid Table 4 - Accent 3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
    <w:name w:val="No List24"/>
    <w:next w:val="NoList"/>
    <w:uiPriority w:val="99"/>
    <w:unhideWhenUsed/>
    <w:rsid w:val="00C9597C"/>
  </w:style>
  <w:style w:type="table" w:customStyle="1" w:styleId="MediumGrid1-Accent123">
    <w:name w:val="Medium Grid 1 - Accent 12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
    <w:name w:val="Light Grid - Accent 112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
    <w:name w:val="Light Grid - Accent 52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
    <w:name w:val="Light Grid - Accent 122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
    <w:name w:val="Light List - Accent 52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
    <w:name w:val="Light List - Accent 112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
    <w:name w:val="Light Grid - Accent 132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
    <w:name w:val="Medium Grid 1 - Accent 32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
    <w:name w:val="Grid Table 4 Accent 3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
    <w:name w:val="No List34"/>
    <w:next w:val="NoList"/>
    <w:uiPriority w:val="99"/>
    <w:unhideWhenUsed/>
    <w:rsid w:val="00C9597C"/>
  </w:style>
  <w:style w:type="table" w:customStyle="1" w:styleId="MediumGrid1-Accent133">
    <w:name w:val="Medium Grid 1 - Accent 13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
    <w:name w:val="Light Grid - Accent 113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
    <w:name w:val="Light Grid - Accent 53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
    <w:name w:val="Light Grid - Accent 123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
    <w:name w:val="Light List - Accent 53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
    <w:name w:val="Light List - Accent 113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
    <w:name w:val="Light Grid - Accent 133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
    <w:name w:val="Medium Grid 1 - Accent 33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
    <w:name w:val="Grid Table 4 Accent 32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
    <w:name w:val="Table Grid13"/>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unhideWhenUsed/>
    <w:rsid w:val="00C9597C"/>
  </w:style>
  <w:style w:type="table" w:customStyle="1" w:styleId="MediumGrid1-Accent141">
    <w:name w:val="Medium Grid 1 - Accent 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
    <w:name w:val="Light Grid - Accent 11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
    <w:name w:val="Light Grid - Accent 5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
    <w:name w:val="Light Grid - Accent 12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
    <w:name w:val="Light List - Accent 5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
    <w:name w:val="Light List - Accent 1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
    <w:name w:val="Light Grid - Accent 13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
    <w:name w:val="Medium Grid 1 - Accent 3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
    <w:name w:val="Table Grid21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
    <w:name w:val="Medium Grid 3 - Accent 11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
    <w:name w:val="No List111"/>
    <w:next w:val="NoList"/>
    <w:uiPriority w:val="99"/>
    <w:unhideWhenUsed/>
    <w:rsid w:val="00C9597C"/>
  </w:style>
  <w:style w:type="table" w:customStyle="1" w:styleId="MediumGrid1-Accent1111">
    <w:name w:val="Medium Grid 1 - Accent 1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
    <w:name w:val="Light Grid - Accent 1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
    <w:name w:val="Light Grid - Accent 511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
    <w:name w:val="Light Grid - Accent 12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
    <w:name w:val="Light List - Accent 511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
    <w:name w:val="Light List - Accent 11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
    <w:name w:val="Light Grid - Accent 13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
    <w:name w:val="Medium Grid 1 - Accent 31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
    <w:name w:val="Grid Table 4 - Accent 3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
    <w:name w:val="No List211"/>
    <w:next w:val="NoList"/>
    <w:uiPriority w:val="99"/>
    <w:unhideWhenUsed/>
    <w:rsid w:val="00C9597C"/>
  </w:style>
  <w:style w:type="table" w:customStyle="1" w:styleId="MediumGrid1-Accent1211">
    <w:name w:val="Medium Grid 1 - Accent 12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
    <w:name w:val="Light Grid - Accent 112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
    <w:name w:val="Light Grid - Accent 52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
    <w:name w:val="Light Grid - Accent 122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
    <w:name w:val="Light List - Accent 52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
    <w:name w:val="Light List - Accent 112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
    <w:name w:val="Light Grid - Accent 132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
    <w:name w:val="Medium Grid 1 - Accent 32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
    <w:name w:val="Grid Table 4 Accent 3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
    <w:name w:val="No List311"/>
    <w:next w:val="NoList"/>
    <w:uiPriority w:val="99"/>
    <w:unhideWhenUsed/>
    <w:rsid w:val="00C9597C"/>
  </w:style>
  <w:style w:type="table" w:customStyle="1" w:styleId="MediumGrid1-Accent1311">
    <w:name w:val="Medium Grid 1 - Accent 13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
    <w:name w:val="Light Grid - Accent 113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
    <w:name w:val="Light Grid - Accent 53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
    <w:name w:val="Light Grid - Accent 123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
    <w:name w:val="Light List - Accent 53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
    <w:name w:val="Light List - Accent 113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
    <w:name w:val="Light Grid - Accent 133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
    <w:name w:val="Medium Grid 1 - Accent 33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
    <w:name w:val="Grid Table 4 Accent 32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
    <w:name w:val="Table Grid11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unhideWhenUsed/>
    <w:rsid w:val="00C9597C"/>
  </w:style>
  <w:style w:type="table" w:customStyle="1" w:styleId="MediumGrid1-Accent151">
    <w:name w:val="Medium Grid 1 - Accent 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
    <w:name w:val="Light Grid - Accent 11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
    <w:name w:val="Light Grid - Accent 5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
    <w:name w:val="Light Grid - Accent 12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
    <w:name w:val="Light List - Accent 5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
    <w:name w:val="Light List - Accent 1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
    <w:name w:val="Light Grid - Accent 13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
    <w:name w:val="Medium Grid 1 - Accent 3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
    <w:name w:val="No List121"/>
    <w:next w:val="NoList"/>
    <w:uiPriority w:val="99"/>
    <w:unhideWhenUsed/>
    <w:rsid w:val="00C9597C"/>
  </w:style>
  <w:style w:type="numbering" w:customStyle="1" w:styleId="NoList221">
    <w:name w:val="No List221"/>
    <w:next w:val="NoList"/>
    <w:uiPriority w:val="99"/>
    <w:unhideWhenUsed/>
    <w:rsid w:val="00C9597C"/>
  </w:style>
  <w:style w:type="numbering" w:customStyle="1" w:styleId="NoList321">
    <w:name w:val="No List321"/>
    <w:next w:val="NoList"/>
    <w:uiPriority w:val="99"/>
    <w:unhideWhenUsed/>
    <w:rsid w:val="00C9597C"/>
  </w:style>
  <w:style w:type="numbering" w:customStyle="1" w:styleId="NoList61">
    <w:name w:val="No List61"/>
    <w:next w:val="NoList"/>
    <w:uiPriority w:val="99"/>
    <w:unhideWhenUsed/>
    <w:rsid w:val="00C9597C"/>
  </w:style>
  <w:style w:type="table" w:customStyle="1" w:styleId="MediumGrid1-Accent161">
    <w:name w:val="Medium Grid 1 - Accent 16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
    <w:name w:val="Light Grid - Accent 116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
    <w:name w:val="Light Grid - Accent 56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
    <w:name w:val="Light Grid - Accent 12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
    <w:name w:val="Light List - Accent 56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
    <w:name w:val="Light List - Accent 116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
    <w:name w:val="Light Grid - Accent 13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
    <w:name w:val="Medium Grid 1 - Accent 36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
    <w:name w:val="No List131"/>
    <w:next w:val="NoList"/>
    <w:uiPriority w:val="99"/>
    <w:unhideWhenUsed/>
    <w:rsid w:val="00C9597C"/>
  </w:style>
  <w:style w:type="numbering" w:customStyle="1" w:styleId="NoList231">
    <w:name w:val="No List231"/>
    <w:next w:val="NoList"/>
    <w:uiPriority w:val="99"/>
    <w:unhideWhenUsed/>
    <w:rsid w:val="00C9597C"/>
  </w:style>
  <w:style w:type="numbering" w:customStyle="1" w:styleId="NoList331">
    <w:name w:val="No List331"/>
    <w:next w:val="NoList"/>
    <w:uiPriority w:val="99"/>
    <w:unhideWhenUsed/>
    <w:rsid w:val="00C9597C"/>
  </w:style>
  <w:style w:type="numbering" w:customStyle="1" w:styleId="NoList8">
    <w:name w:val="No List8"/>
    <w:next w:val="NoList"/>
    <w:uiPriority w:val="99"/>
    <w:unhideWhenUsed/>
    <w:rsid w:val="00C9597C"/>
  </w:style>
  <w:style w:type="table" w:customStyle="1" w:styleId="TableGrid6">
    <w:name w:val="Table Grid6"/>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
    <w:name w:val="Medium Grid 3 - Accent 14"/>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
    <w:name w:val="Medium Grid 1 - Accent 18"/>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
    <w:name w:val="Light Grid - Accent 118"/>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
    <w:name w:val="Light Grid - Accent 58"/>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
    <w:name w:val="Light Grid - Accent 128"/>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
    <w:name w:val="Light List - Accent 58"/>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
    <w:name w:val="Light List - Accent 118"/>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
    <w:name w:val="Light Grid - Accent 13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
    <w:name w:val="Medium Grid 1 - Accent 38"/>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
    <w:name w:val="No List15"/>
    <w:next w:val="NoList"/>
    <w:uiPriority w:val="99"/>
    <w:unhideWhenUsed/>
    <w:rsid w:val="00C9597C"/>
  </w:style>
  <w:style w:type="table" w:customStyle="1" w:styleId="MediumGrid1-Accent114">
    <w:name w:val="Medium Grid 1 - Accent 11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
    <w:name w:val="Light Grid - Accent 11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
    <w:name w:val="Light Grid - Accent 514"/>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
    <w:name w:val="Light Grid - Accent 12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
    <w:name w:val="Light List - Accent 514"/>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
    <w:name w:val="Light List - Accent 111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
    <w:name w:val="Light Grid - Accent 13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
    <w:name w:val="Medium Grid 1 - Accent 31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
    <w:name w:val="Grid Table 4 - Accent 3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
    <w:name w:val="No List25"/>
    <w:next w:val="NoList"/>
    <w:uiPriority w:val="99"/>
    <w:unhideWhenUsed/>
    <w:rsid w:val="00C9597C"/>
  </w:style>
  <w:style w:type="table" w:customStyle="1" w:styleId="MediumGrid1-Accent124">
    <w:name w:val="Medium Grid 1 - Accent 12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
    <w:name w:val="Light Grid - Accent 112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
    <w:name w:val="Light Grid - Accent 52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
    <w:name w:val="Light Grid - Accent 122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
    <w:name w:val="Light List - Accent 52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
    <w:name w:val="Light List - Accent 112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
    <w:name w:val="Light Grid - Accent 132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
    <w:name w:val="Medium Grid 1 - Accent 32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
    <w:name w:val="Grid Table 4 Accent 3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
    <w:name w:val="No List35"/>
    <w:next w:val="NoList"/>
    <w:uiPriority w:val="99"/>
    <w:unhideWhenUsed/>
    <w:rsid w:val="00C9597C"/>
  </w:style>
  <w:style w:type="table" w:customStyle="1" w:styleId="MediumGrid1-Accent134">
    <w:name w:val="Medium Grid 1 - Accent 13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
    <w:name w:val="Light Grid - Accent 113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
    <w:name w:val="Light Grid - Accent 53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
    <w:name w:val="Light Grid - Accent 123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
    <w:name w:val="Light List - Accent 53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
    <w:name w:val="Light List - Accent 113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
    <w:name w:val="Light Grid - Accent 133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
    <w:name w:val="Medium Grid 1 - Accent 33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
    <w:name w:val="Grid Table 4 Accent 32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
    <w:name w:val="Table Grid14"/>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unhideWhenUsed/>
    <w:rsid w:val="00C9597C"/>
  </w:style>
  <w:style w:type="table" w:customStyle="1" w:styleId="MediumGrid1-Accent142">
    <w:name w:val="Medium Grid 1 - Accent 14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
    <w:name w:val="Light Grid - Accent 114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
    <w:name w:val="Light Grid - Accent 54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
    <w:name w:val="Light Grid - Accent 124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
    <w:name w:val="Light List - Accent 54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
    <w:name w:val="Light List - Accent 114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
    <w:name w:val="Light Grid - Accent 134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
    <w:name w:val="Medium Grid 1 - Accent 34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
    <w:name w:val="Table Grid212"/>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
    <w:name w:val="Medium Grid 3 - Accent 112"/>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
    <w:name w:val="No List112"/>
    <w:next w:val="NoList"/>
    <w:uiPriority w:val="99"/>
    <w:unhideWhenUsed/>
    <w:rsid w:val="00C9597C"/>
  </w:style>
  <w:style w:type="table" w:customStyle="1" w:styleId="MediumGrid1-Accent1112">
    <w:name w:val="Medium Grid 1 - Accent 111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
    <w:name w:val="Light Grid - Accent 111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
    <w:name w:val="Light Grid - Accent 5112"/>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
    <w:name w:val="Light Grid - Accent 121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
    <w:name w:val="Light List - Accent 5112"/>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
    <w:name w:val="Light List - Accent 1111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
    <w:name w:val="Light Grid - Accent 131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
    <w:name w:val="Medium Grid 1 - Accent 311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
    <w:name w:val="Grid Table 4 - Accent 3112"/>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
    <w:name w:val="No List212"/>
    <w:next w:val="NoList"/>
    <w:uiPriority w:val="99"/>
    <w:unhideWhenUsed/>
    <w:rsid w:val="00C9597C"/>
  </w:style>
  <w:style w:type="table" w:customStyle="1" w:styleId="MediumGrid1-Accent1212">
    <w:name w:val="Medium Grid 1 - Accent 121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
    <w:name w:val="Light Grid - Accent 1121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
    <w:name w:val="Light Grid - Accent 521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
    <w:name w:val="Light Grid - Accent 122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
    <w:name w:val="Light List - Accent 521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
    <w:name w:val="Light List - Accent 1121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
    <w:name w:val="Light Grid - Accent 132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
    <w:name w:val="Medium Grid 1 - Accent 321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
    <w:name w:val="Grid Table 4 Accent 3112"/>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
    <w:name w:val="No List312"/>
    <w:next w:val="NoList"/>
    <w:uiPriority w:val="99"/>
    <w:unhideWhenUsed/>
    <w:rsid w:val="00C9597C"/>
  </w:style>
  <w:style w:type="table" w:customStyle="1" w:styleId="MediumGrid1-Accent1312">
    <w:name w:val="Medium Grid 1 - Accent 131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
    <w:name w:val="Light Grid - Accent 1131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
    <w:name w:val="Light Grid - Accent 531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
    <w:name w:val="Light Grid - Accent 123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
    <w:name w:val="Light List - Accent 531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
    <w:name w:val="Light List - Accent 1131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
    <w:name w:val="Light Grid - Accent 133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
    <w:name w:val="Medium Grid 1 - Accent 331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
    <w:name w:val="Grid Table 4 Accent 3212"/>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
    <w:name w:val="Table Grid112"/>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unhideWhenUsed/>
    <w:rsid w:val="00C9597C"/>
  </w:style>
  <w:style w:type="table" w:customStyle="1" w:styleId="MediumGrid1-Accent152">
    <w:name w:val="Medium Grid 1 - Accent 15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
    <w:name w:val="Light Grid - Accent 115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
    <w:name w:val="Light Grid - Accent 55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
    <w:name w:val="Light Grid - Accent 125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
    <w:name w:val="Light List - Accent 55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
    <w:name w:val="Light List - Accent 115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
    <w:name w:val="Light Grid - Accent 135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
    <w:name w:val="Medium Grid 1 - Accent 35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
    <w:name w:val="No List122"/>
    <w:next w:val="NoList"/>
    <w:uiPriority w:val="99"/>
    <w:unhideWhenUsed/>
    <w:rsid w:val="00C9597C"/>
  </w:style>
  <w:style w:type="numbering" w:customStyle="1" w:styleId="NoList222">
    <w:name w:val="No List222"/>
    <w:next w:val="NoList"/>
    <w:uiPriority w:val="99"/>
    <w:unhideWhenUsed/>
    <w:rsid w:val="00C9597C"/>
  </w:style>
  <w:style w:type="numbering" w:customStyle="1" w:styleId="NoList322">
    <w:name w:val="No List322"/>
    <w:next w:val="NoList"/>
    <w:uiPriority w:val="99"/>
    <w:unhideWhenUsed/>
    <w:rsid w:val="00C9597C"/>
  </w:style>
  <w:style w:type="numbering" w:customStyle="1" w:styleId="NoList62">
    <w:name w:val="No List62"/>
    <w:next w:val="NoList"/>
    <w:uiPriority w:val="99"/>
    <w:unhideWhenUsed/>
    <w:rsid w:val="00C9597C"/>
  </w:style>
  <w:style w:type="table" w:customStyle="1" w:styleId="MediumGrid1-Accent162">
    <w:name w:val="Medium Grid 1 - Accent 16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
    <w:name w:val="Light Grid - Accent 116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
    <w:name w:val="Light Grid - Accent 56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
    <w:name w:val="Light Grid - Accent 126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
    <w:name w:val="Light List - Accent 56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
    <w:name w:val="Light List - Accent 116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
    <w:name w:val="Light Grid - Accent 136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
    <w:name w:val="Medium Grid 1 - Accent 36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
    <w:name w:val="No List132"/>
    <w:next w:val="NoList"/>
    <w:uiPriority w:val="99"/>
    <w:unhideWhenUsed/>
    <w:rsid w:val="00C9597C"/>
  </w:style>
  <w:style w:type="numbering" w:customStyle="1" w:styleId="NoList232">
    <w:name w:val="No List232"/>
    <w:next w:val="NoList"/>
    <w:uiPriority w:val="99"/>
    <w:unhideWhenUsed/>
    <w:rsid w:val="00C9597C"/>
  </w:style>
  <w:style w:type="numbering" w:customStyle="1" w:styleId="NoList332">
    <w:name w:val="No List332"/>
    <w:next w:val="NoList"/>
    <w:uiPriority w:val="99"/>
    <w:unhideWhenUsed/>
    <w:rsid w:val="00C9597C"/>
  </w:style>
  <w:style w:type="numbering" w:customStyle="1" w:styleId="NoList9">
    <w:name w:val="No List9"/>
    <w:next w:val="NoList"/>
    <w:uiPriority w:val="99"/>
    <w:unhideWhenUsed/>
    <w:rsid w:val="00C9597C"/>
  </w:style>
  <w:style w:type="table" w:customStyle="1" w:styleId="TableGrid7">
    <w:name w:val="Table Grid7"/>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
    <w:name w:val="Medium Grid 3 - Accent 15"/>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
    <w:name w:val="Medium Grid 1 - Accent 19"/>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
    <w:name w:val="Light Grid - Accent 119"/>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
    <w:name w:val="Light Grid - Accent 59"/>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
    <w:name w:val="Light Grid - Accent 129"/>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
    <w:name w:val="Light List - Accent 59"/>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
    <w:name w:val="Light List - Accent 119"/>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
    <w:name w:val="Light Grid - Accent 139"/>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
    <w:name w:val="Medium Grid 1 - Accent 39"/>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
    <w:name w:val="No List16"/>
    <w:next w:val="NoList"/>
    <w:uiPriority w:val="99"/>
    <w:unhideWhenUsed/>
    <w:rsid w:val="00C9597C"/>
  </w:style>
  <w:style w:type="table" w:customStyle="1" w:styleId="MediumGrid1-Accent115">
    <w:name w:val="Medium Grid 1 - Accent 11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
    <w:name w:val="Light Grid - Accent 11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
    <w:name w:val="Light Grid - Accent 515"/>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
    <w:name w:val="Light Grid - Accent 12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
    <w:name w:val="Light List - Accent 515"/>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
    <w:name w:val="Light List - Accent 111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
    <w:name w:val="Light Grid - Accent 13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
    <w:name w:val="Medium Grid 1 - Accent 31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
    <w:name w:val="Grid Table 4 - Accent 3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
    <w:name w:val="No List26"/>
    <w:next w:val="NoList"/>
    <w:uiPriority w:val="99"/>
    <w:unhideWhenUsed/>
    <w:rsid w:val="00C9597C"/>
  </w:style>
  <w:style w:type="table" w:customStyle="1" w:styleId="MediumGrid1-Accent125">
    <w:name w:val="Medium Grid 1 - Accent 12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
    <w:name w:val="Light Grid - Accent 112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
    <w:name w:val="Light Grid - Accent 52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
    <w:name w:val="Light Grid - Accent 122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
    <w:name w:val="Light List - Accent 52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
    <w:name w:val="Light List - Accent 112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
    <w:name w:val="Light Grid - Accent 132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
    <w:name w:val="Medium Grid 1 - Accent 32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
    <w:name w:val="Grid Table 4 Accent 3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
    <w:name w:val="No List36"/>
    <w:next w:val="NoList"/>
    <w:uiPriority w:val="99"/>
    <w:unhideWhenUsed/>
    <w:rsid w:val="00C9597C"/>
  </w:style>
  <w:style w:type="table" w:customStyle="1" w:styleId="MediumGrid1-Accent135">
    <w:name w:val="Medium Grid 1 - Accent 13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
    <w:name w:val="Light Grid - Accent 113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
    <w:name w:val="Light Grid - Accent 53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
    <w:name w:val="Light Grid - Accent 123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
    <w:name w:val="Light List - Accent 53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
    <w:name w:val="Light List - Accent 113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
    <w:name w:val="Light Grid - Accent 133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
    <w:name w:val="Medium Grid 1 - Accent 33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
    <w:name w:val="Grid Table 4 Accent 32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
    <w:name w:val="Table Grid15"/>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unhideWhenUsed/>
    <w:rsid w:val="00C9597C"/>
  </w:style>
  <w:style w:type="table" w:customStyle="1" w:styleId="MediumGrid1-Accent143">
    <w:name w:val="Medium Grid 1 - Accent 14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
    <w:name w:val="Light Grid - Accent 114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
    <w:name w:val="Light Grid - Accent 54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
    <w:name w:val="Light Grid - Accent 124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
    <w:name w:val="Light List - Accent 54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
    <w:name w:val="Light List - Accent 114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
    <w:name w:val="Light Grid - Accent 134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
    <w:name w:val="Medium Grid 1 - Accent 34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
    <w:name w:val="Table Grid213"/>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
    <w:name w:val="Medium Grid 3 - Accent 113"/>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
    <w:name w:val="No List113"/>
    <w:next w:val="NoList"/>
    <w:uiPriority w:val="99"/>
    <w:unhideWhenUsed/>
    <w:rsid w:val="00C9597C"/>
  </w:style>
  <w:style w:type="table" w:customStyle="1" w:styleId="MediumGrid1-Accent1113">
    <w:name w:val="Medium Grid 1 - Accent 111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
    <w:name w:val="Light Grid - Accent 111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
    <w:name w:val="Light Grid - Accent 5113"/>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
    <w:name w:val="Light Grid - Accent 121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
    <w:name w:val="Light List - Accent 5113"/>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
    <w:name w:val="Light List - Accent 1111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
    <w:name w:val="Light Grid - Accent 131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
    <w:name w:val="Medium Grid 1 - Accent 311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
    <w:name w:val="Grid Table 4 - Accent 31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
    <w:name w:val="No List213"/>
    <w:next w:val="NoList"/>
    <w:uiPriority w:val="99"/>
    <w:unhideWhenUsed/>
    <w:rsid w:val="00C9597C"/>
  </w:style>
  <w:style w:type="table" w:customStyle="1" w:styleId="MediumGrid1-Accent1213">
    <w:name w:val="Medium Grid 1 - Accent 121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
    <w:name w:val="Light Grid - Accent 1121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
    <w:name w:val="Light Grid - Accent 521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
    <w:name w:val="Light Grid - Accent 122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
    <w:name w:val="Light List - Accent 521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
    <w:name w:val="Light List - Accent 1121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
    <w:name w:val="Light Grid - Accent 132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
    <w:name w:val="Medium Grid 1 - Accent 321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
    <w:name w:val="Grid Table 4 Accent 31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
    <w:name w:val="No List313"/>
    <w:next w:val="NoList"/>
    <w:uiPriority w:val="99"/>
    <w:unhideWhenUsed/>
    <w:rsid w:val="00C9597C"/>
  </w:style>
  <w:style w:type="table" w:customStyle="1" w:styleId="MediumGrid1-Accent1313">
    <w:name w:val="Medium Grid 1 - Accent 131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
    <w:name w:val="Light Grid - Accent 1131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
    <w:name w:val="Light Grid - Accent 531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
    <w:name w:val="Light Grid - Accent 123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
    <w:name w:val="Light List - Accent 531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
    <w:name w:val="Light List - Accent 1131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
    <w:name w:val="Light Grid - Accent 133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
    <w:name w:val="Medium Grid 1 - Accent 331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
    <w:name w:val="Grid Table 4 Accent 32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
    <w:name w:val="Table Grid113"/>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unhideWhenUsed/>
    <w:rsid w:val="00C9597C"/>
  </w:style>
  <w:style w:type="table" w:customStyle="1" w:styleId="MediumGrid1-Accent153">
    <w:name w:val="Medium Grid 1 - Accent 15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
    <w:name w:val="Light Grid - Accent 115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
    <w:name w:val="Light Grid - Accent 55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
    <w:name w:val="Light Grid - Accent 125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
    <w:name w:val="Light List - Accent 55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
    <w:name w:val="Light List - Accent 115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
    <w:name w:val="Light Grid - Accent 135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
    <w:name w:val="Medium Grid 1 - Accent 35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
    <w:name w:val="No List123"/>
    <w:next w:val="NoList"/>
    <w:uiPriority w:val="99"/>
    <w:unhideWhenUsed/>
    <w:rsid w:val="00C9597C"/>
  </w:style>
  <w:style w:type="numbering" w:customStyle="1" w:styleId="NoList223">
    <w:name w:val="No List223"/>
    <w:next w:val="NoList"/>
    <w:uiPriority w:val="99"/>
    <w:unhideWhenUsed/>
    <w:rsid w:val="00C9597C"/>
  </w:style>
  <w:style w:type="numbering" w:customStyle="1" w:styleId="NoList323">
    <w:name w:val="No List323"/>
    <w:next w:val="NoList"/>
    <w:uiPriority w:val="99"/>
    <w:unhideWhenUsed/>
    <w:rsid w:val="00C9597C"/>
  </w:style>
  <w:style w:type="numbering" w:customStyle="1" w:styleId="NoList63">
    <w:name w:val="No List63"/>
    <w:next w:val="NoList"/>
    <w:uiPriority w:val="99"/>
    <w:unhideWhenUsed/>
    <w:rsid w:val="00C9597C"/>
  </w:style>
  <w:style w:type="table" w:customStyle="1" w:styleId="MediumGrid1-Accent163">
    <w:name w:val="Medium Grid 1 - Accent 16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
    <w:name w:val="Light Grid - Accent 116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
    <w:name w:val="Light Grid - Accent 56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
    <w:name w:val="Light Grid - Accent 126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
    <w:name w:val="Light List - Accent 56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
    <w:name w:val="Light List - Accent 116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
    <w:name w:val="Light Grid - Accent 136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
    <w:name w:val="Medium Grid 1 - Accent 36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
    <w:name w:val="No List133"/>
    <w:next w:val="NoList"/>
    <w:uiPriority w:val="99"/>
    <w:unhideWhenUsed/>
    <w:rsid w:val="00C9597C"/>
  </w:style>
  <w:style w:type="numbering" w:customStyle="1" w:styleId="NoList233">
    <w:name w:val="No List233"/>
    <w:next w:val="NoList"/>
    <w:uiPriority w:val="99"/>
    <w:unhideWhenUsed/>
    <w:rsid w:val="00C9597C"/>
  </w:style>
  <w:style w:type="numbering" w:customStyle="1" w:styleId="NoList333">
    <w:name w:val="No List333"/>
    <w:next w:val="NoList"/>
    <w:uiPriority w:val="99"/>
    <w:unhideWhenUsed/>
    <w:rsid w:val="00C9597C"/>
  </w:style>
  <w:style w:type="numbering" w:customStyle="1" w:styleId="NoList10">
    <w:name w:val="No List10"/>
    <w:next w:val="NoList"/>
    <w:uiPriority w:val="99"/>
    <w:unhideWhenUsed/>
    <w:rsid w:val="00C9597C"/>
  </w:style>
  <w:style w:type="table" w:customStyle="1" w:styleId="TableGrid8">
    <w:name w:val="Table Grid8"/>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
    <w:name w:val="Medium Grid 3 - Accent 16"/>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
    <w:name w:val="Medium Grid 1 - Accent 110"/>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
    <w:name w:val="Light Grid - Accent 1110"/>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
    <w:name w:val="Light Grid - Accent 510"/>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
    <w:name w:val="Light Grid - Accent 1210"/>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
    <w:name w:val="Light List - Accent 510"/>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
    <w:name w:val="Light List - Accent 1110"/>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
    <w:name w:val="Light Grid - Accent 1310"/>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
    <w:name w:val="Medium Grid 1 - Accent 310"/>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
    <w:name w:val="No List17"/>
    <w:next w:val="NoList"/>
    <w:uiPriority w:val="99"/>
    <w:unhideWhenUsed/>
    <w:rsid w:val="00C9597C"/>
  </w:style>
  <w:style w:type="table" w:customStyle="1" w:styleId="MediumGrid1-Accent116">
    <w:name w:val="Medium Grid 1 - Accent 11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
    <w:name w:val="Light Grid - Accent 11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
    <w:name w:val="Light Grid - Accent 516"/>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
    <w:name w:val="Light Grid - Accent 12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
    <w:name w:val="Light List - Accent 516"/>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
    <w:name w:val="Light List - Accent 111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
    <w:name w:val="Light Grid - Accent 13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
    <w:name w:val="Medium Grid 1 - Accent 31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
    <w:name w:val="Grid Table 4 - Accent 3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
    <w:name w:val="No List27"/>
    <w:next w:val="NoList"/>
    <w:uiPriority w:val="99"/>
    <w:unhideWhenUsed/>
    <w:rsid w:val="00C9597C"/>
  </w:style>
  <w:style w:type="table" w:customStyle="1" w:styleId="MediumGrid1-Accent126">
    <w:name w:val="Medium Grid 1 - Accent 12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
    <w:name w:val="Light Grid - Accent 112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
    <w:name w:val="Light Grid - Accent 52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
    <w:name w:val="Light Grid - Accent 122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
    <w:name w:val="Light List - Accent 52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
    <w:name w:val="Light List - Accent 112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
    <w:name w:val="Light Grid - Accent 132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
    <w:name w:val="Medium Grid 1 - Accent 32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
    <w:name w:val="Grid Table 4 Accent 3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
    <w:name w:val="No List37"/>
    <w:next w:val="NoList"/>
    <w:uiPriority w:val="99"/>
    <w:unhideWhenUsed/>
    <w:rsid w:val="00C9597C"/>
  </w:style>
  <w:style w:type="table" w:customStyle="1" w:styleId="MediumGrid1-Accent136">
    <w:name w:val="Medium Grid 1 - Accent 13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
    <w:name w:val="Light Grid - Accent 113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
    <w:name w:val="Light Grid - Accent 53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
    <w:name w:val="Light Grid - Accent 123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
    <w:name w:val="Light List - Accent 53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
    <w:name w:val="Light List - Accent 113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
    <w:name w:val="Light Grid - Accent 133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
    <w:name w:val="Medium Grid 1 - Accent 33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
    <w:name w:val="Grid Table 4 Accent 32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
    <w:name w:val="Table Grid16"/>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unhideWhenUsed/>
    <w:rsid w:val="00C9597C"/>
  </w:style>
  <w:style w:type="table" w:customStyle="1" w:styleId="MediumGrid1-Accent144">
    <w:name w:val="Medium Grid 1 - Accent 14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
    <w:name w:val="Light Grid - Accent 114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
    <w:name w:val="Light Grid - Accent 54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
    <w:name w:val="Light Grid - Accent 124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
    <w:name w:val="Light List - Accent 54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
    <w:name w:val="Light List - Accent 114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
    <w:name w:val="Light Grid - Accent 134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
    <w:name w:val="Medium Grid 1 - Accent 34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
    <w:name w:val="Table Grid214"/>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
    <w:name w:val="Medium Grid 3 - Accent 114"/>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
    <w:name w:val="No List114"/>
    <w:next w:val="NoList"/>
    <w:uiPriority w:val="99"/>
    <w:unhideWhenUsed/>
    <w:rsid w:val="00C9597C"/>
  </w:style>
  <w:style w:type="table" w:customStyle="1" w:styleId="MediumGrid1-Accent1114">
    <w:name w:val="Medium Grid 1 - Accent 111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
    <w:name w:val="Light Grid - Accent 111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
    <w:name w:val="Light Grid - Accent 5114"/>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
    <w:name w:val="Light Grid - Accent 121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
    <w:name w:val="Light List - Accent 5114"/>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
    <w:name w:val="Light List - Accent 1111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
    <w:name w:val="Light Grid - Accent 131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
    <w:name w:val="Medium Grid 1 - Accent 311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
    <w:name w:val="Grid Table 4 - Accent 31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
    <w:name w:val="No List214"/>
    <w:next w:val="NoList"/>
    <w:uiPriority w:val="99"/>
    <w:unhideWhenUsed/>
    <w:rsid w:val="00C9597C"/>
  </w:style>
  <w:style w:type="table" w:customStyle="1" w:styleId="MediumGrid1-Accent1214">
    <w:name w:val="Medium Grid 1 - Accent 121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
    <w:name w:val="Light Grid - Accent 1121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
    <w:name w:val="Light Grid - Accent 521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
    <w:name w:val="Light Grid - Accent 122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
    <w:name w:val="Light List - Accent 521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
    <w:name w:val="Light List - Accent 1121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
    <w:name w:val="Light Grid - Accent 132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
    <w:name w:val="Medium Grid 1 - Accent 321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
    <w:name w:val="Grid Table 4 Accent 31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
    <w:name w:val="No List314"/>
    <w:next w:val="NoList"/>
    <w:uiPriority w:val="99"/>
    <w:unhideWhenUsed/>
    <w:rsid w:val="00C9597C"/>
  </w:style>
  <w:style w:type="table" w:customStyle="1" w:styleId="MediumGrid1-Accent1314">
    <w:name w:val="Medium Grid 1 - Accent 131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
    <w:name w:val="Light Grid - Accent 1131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
    <w:name w:val="Light Grid - Accent 531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
    <w:name w:val="Light Grid - Accent 123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
    <w:name w:val="Light List - Accent 531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
    <w:name w:val="Light List - Accent 1131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
    <w:name w:val="Light Grid - Accent 133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
    <w:name w:val="Medium Grid 1 - Accent 331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
    <w:name w:val="Grid Table 4 Accent 32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
    <w:name w:val="Table Grid114"/>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unhideWhenUsed/>
    <w:rsid w:val="00C9597C"/>
  </w:style>
  <w:style w:type="table" w:customStyle="1" w:styleId="MediumGrid1-Accent154">
    <w:name w:val="Medium Grid 1 - Accent 15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
    <w:name w:val="Light Grid - Accent 115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
    <w:name w:val="Light Grid - Accent 55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
    <w:name w:val="Light Grid - Accent 125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
    <w:name w:val="Light List - Accent 55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
    <w:name w:val="Light List - Accent 115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
    <w:name w:val="Light Grid - Accent 135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
    <w:name w:val="Medium Grid 1 - Accent 35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
    <w:name w:val="No List124"/>
    <w:next w:val="NoList"/>
    <w:uiPriority w:val="99"/>
    <w:unhideWhenUsed/>
    <w:rsid w:val="00C9597C"/>
  </w:style>
  <w:style w:type="numbering" w:customStyle="1" w:styleId="NoList224">
    <w:name w:val="No List224"/>
    <w:next w:val="NoList"/>
    <w:uiPriority w:val="99"/>
    <w:unhideWhenUsed/>
    <w:rsid w:val="00C9597C"/>
  </w:style>
  <w:style w:type="numbering" w:customStyle="1" w:styleId="NoList324">
    <w:name w:val="No List324"/>
    <w:next w:val="NoList"/>
    <w:uiPriority w:val="99"/>
    <w:unhideWhenUsed/>
    <w:rsid w:val="00C9597C"/>
  </w:style>
  <w:style w:type="numbering" w:customStyle="1" w:styleId="NoList64">
    <w:name w:val="No List64"/>
    <w:next w:val="NoList"/>
    <w:uiPriority w:val="99"/>
    <w:unhideWhenUsed/>
    <w:rsid w:val="00C9597C"/>
  </w:style>
  <w:style w:type="table" w:customStyle="1" w:styleId="MediumGrid1-Accent164">
    <w:name w:val="Medium Grid 1 - Accent 16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
    <w:name w:val="Light Grid - Accent 116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
    <w:name w:val="Light Grid - Accent 56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
    <w:name w:val="Light Grid - Accent 126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
    <w:name w:val="Light List - Accent 56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
    <w:name w:val="Light List - Accent 116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
    <w:name w:val="Light Grid - Accent 136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
    <w:name w:val="Medium Grid 1 - Accent 36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
    <w:name w:val="No List134"/>
    <w:next w:val="NoList"/>
    <w:uiPriority w:val="99"/>
    <w:unhideWhenUsed/>
    <w:rsid w:val="00C9597C"/>
  </w:style>
  <w:style w:type="numbering" w:customStyle="1" w:styleId="NoList234">
    <w:name w:val="No List234"/>
    <w:next w:val="NoList"/>
    <w:uiPriority w:val="99"/>
    <w:unhideWhenUsed/>
    <w:rsid w:val="00C9597C"/>
  </w:style>
  <w:style w:type="numbering" w:customStyle="1" w:styleId="NoList334">
    <w:name w:val="No List334"/>
    <w:next w:val="NoList"/>
    <w:uiPriority w:val="99"/>
    <w:unhideWhenUsed/>
    <w:rsid w:val="00C9597C"/>
  </w:style>
  <w:style w:type="numbering" w:customStyle="1" w:styleId="NoList18">
    <w:name w:val="No List18"/>
    <w:next w:val="NoList"/>
    <w:uiPriority w:val="99"/>
    <w:unhideWhenUsed/>
    <w:rsid w:val="00C9597C"/>
  </w:style>
  <w:style w:type="table" w:customStyle="1" w:styleId="TableGrid9">
    <w:name w:val="Table Grid9"/>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
    <w:name w:val="Medium Grid 3 - Accent 17"/>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
    <w:name w:val="Medium Grid 1 - Accent 117"/>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
    <w:name w:val="Light Grid - Accent 1117"/>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
    <w:name w:val="Light Grid - Accent 517"/>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
    <w:name w:val="Light Grid - Accent 1217"/>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
    <w:name w:val="Light List - Accent 517"/>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
    <w:name w:val="Light List - Accent 1117"/>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
    <w:name w:val="Light Grid - Accent 131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
    <w:name w:val="Medium Grid 1 - Accent 317"/>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
    <w:name w:val="No List19"/>
    <w:next w:val="NoList"/>
    <w:uiPriority w:val="99"/>
    <w:unhideWhenUsed/>
    <w:rsid w:val="00C9597C"/>
  </w:style>
  <w:style w:type="table" w:customStyle="1" w:styleId="MediumGrid1-Accent118">
    <w:name w:val="Medium Grid 1 - Accent 118"/>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
    <w:name w:val="Light Grid - Accent 111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
    <w:name w:val="Light Grid - Accent 518"/>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
    <w:name w:val="Light Grid - Accent 121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
    <w:name w:val="Light List - Accent 518"/>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
    <w:name w:val="Light List - Accent 1118"/>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
    <w:name w:val="Light Grid - Accent 131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
    <w:name w:val="Medium Grid 1 - Accent 318"/>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
    <w:name w:val="Grid Table 4 - Accent 317"/>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
    <w:name w:val="No List28"/>
    <w:next w:val="NoList"/>
    <w:uiPriority w:val="99"/>
    <w:unhideWhenUsed/>
    <w:rsid w:val="00C9597C"/>
  </w:style>
  <w:style w:type="table" w:customStyle="1" w:styleId="MediumGrid1-Accent127">
    <w:name w:val="Medium Grid 1 - Accent 127"/>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
    <w:name w:val="Light Grid - Accent 1127"/>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
    <w:name w:val="Light Grid - Accent 527"/>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
    <w:name w:val="Light Grid - Accent 122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
    <w:name w:val="Light List - Accent 527"/>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
    <w:name w:val="Light List - Accent 1127"/>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
    <w:name w:val="Light Grid - Accent 132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
    <w:name w:val="Medium Grid 1 - Accent 327"/>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
    <w:name w:val="Grid Table 4 Accent 317"/>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
    <w:name w:val="No List38"/>
    <w:next w:val="NoList"/>
    <w:uiPriority w:val="99"/>
    <w:unhideWhenUsed/>
    <w:rsid w:val="00C9597C"/>
  </w:style>
  <w:style w:type="table" w:customStyle="1" w:styleId="MediumGrid1-Accent137">
    <w:name w:val="Medium Grid 1 - Accent 137"/>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
    <w:name w:val="Light Grid - Accent 1137"/>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
    <w:name w:val="Light Grid - Accent 537"/>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
    <w:name w:val="Light Grid - Accent 123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
    <w:name w:val="Light List - Accent 537"/>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
    <w:name w:val="Light List - Accent 1137"/>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
    <w:name w:val="Light Grid - Accent 133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
    <w:name w:val="Medium Grid 1 - Accent 337"/>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
    <w:name w:val="Grid Table 4 Accent 327"/>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
    <w:name w:val="Table Grid17"/>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unhideWhenUsed/>
    <w:rsid w:val="00C9597C"/>
  </w:style>
  <w:style w:type="table" w:customStyle="1" w:styleId="MediumGrid1-Accent145">
    <w:name w:val="Medium Grid 1 - Accent 14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
    <w:name w:val="Light Grid - Accent 114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
    <w:name w:val="Light Grid - Accent 54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
    <w:name w:val="Light Grid - Accent 124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
    <w:name w:val="Light List - Accent 54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
    <w:name w:val="Light List - Accent 114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
    <w:name w:val="Light Grid - Accent 134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
    <w:name w:val="Medium Grid 1 - Accent 34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
    <w:name w:val="Table Grid215"/>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
    <w:name w:val="Medium Grid 3 - Accent 115"/>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
    <w:name w:val="No List115"/>
    <w:next w:val="NoList"/>
    <w:uiPriority w:val="99"/>
    <w:unhideWhenUsed/>
    <w:rsid w:val="00C9597C"/>
  </w:style>
  <w:style w:type="table" w:customStyle="1" w:styleId="MediumGrid1-Accent1115">
    <w:name w:val="Medium Grid 1 - Accent 111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
    <w:name w:val="Light Grid - Accent 111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
    <w:name w:val="Light Grid - Accent 5115"/>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
    <w:name w:val="Light Grid - Accent 121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
    <w:name w:val="Light List - Accent 5115"/>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
    <w:name w:val="Light List - Accent 1111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
    <w:name w:val="Light Grid - Accent 131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
    <w:name w:val="Medium Grid 1 - Accent 311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
    <w:name w:val="Grid Table 4 - Accent 31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
    <w:name w:val="No List215"/>
    <w:next w:val="NoList"/>
    <w:uiPriority w:val="99"/>
    <w:unhideWhenUsed/>
    <w:rsid w:val="00C9597C"/>
  </w:style>
  <w:style w:type="table" w:customStyle="1" w:styleId="MediumGrid1-Accent1215">
    <w:name w:val="Medium Grid 1 - Accent 121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
    <w:name w:val="Light Grid - Accent 1121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
    <w:name w:val="Light Grid - Accent 521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
    <w:name w:val="Light Grid - Accent 122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
    <w:name w:val="Light List - Accent 521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
    <w:name w:val="Light List - Accent 1121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
    <w:name w:val="Light Grid - Accent 132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
    <w:name w:val="Medium Grid 1 - Accent 321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
    <w:name w:val="Grid Table 4 Accent 31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
    <w:name w:val="No List315"/>
    <w:next w:val="NoList"/>
    <w:uiPriority w:val="99"/>
    <w:unhideWhenUsed/>
    <w:rsid w:val="00C9597C"/>
  </w:style>
  <w:style w:type="table" w:customStyle="1" w:styleId="MediumGrid1-Accent1315">
    <w:name w:val="Medium Grid 1 - Accent 131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
    <w:name w:val="Light Grid - Accent 1131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
    <w:name w:val="Light Grid - Accent 531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
    <w:name w:val="Light Grid - Accent 123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
    <w:name w:val="Light List - Accent 531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
    <w:name w:val="Light List - Accent 1131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
    <w:name w:val="Light Grid - Accent 133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
    <w:name w:val="Medium Grid 1 - Accent 331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
    <w:name w:val="Grid Table 4 Accent 32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
    <w:name w:val="Table Grid115"/>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unhideWhenUsed/>
    <w:rsid w:val="00C9597C"/>
  </w:style>
  <w:style w:type="table" w:customStyle="1" w:styleId="MediumGrid1-Accent155">
    <w:name w:val="Medium Grid 1 - Accent 15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
    <w:name w:val="Light Grid - Accent 115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
    <w:name w:val="Light Grid - Accent 55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
    <w:name w:val="Light Grid - Accent 125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
    <w:name w:val="Light List - Accent 55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
    <w:name w:val="Light List - Accent 115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
    <w:name w:val="Light Grid - Accent 135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
    <w:name w:val="Medium Grid 1 - Accent 35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
    <w:name w:val="No List125"/>
    <w:next w:val="NoList"/>
    <w:uiPriority w:val="99"/>
    <w:unhideWhenUsed/>
    <w:rsid w:val="00C9597C"/>
  </w:style>
  <w:style w:type="numbering" w:customStyle="1" w:styleId="NoList225">
    <w:name w:val="No List225"/>
    <w:next w:val="NoList"/>
    <w:uiPriority w:val="99"/>
    <w:unhideWhenUsed/>
    <w:rsid w:val="00C9597C"/>
  </w:style>
  <w:style w:type="numbering" w:customStyle="1" w:styleId="NoList325">
    <w:name w:val="No List325"/>
    <w:next w:val="NoList"/>
    <w:uiPriority w:val="99"/>
    <w:unhideWhenUsed/>
    <w:rsid w:val="00C9597C"/>
  </w:style>
  <w:style w:type="numbering" w:customStyle="1" w:styleId="NoList65">
    <w:name w:val="No List65"/>
    <w:next w:val="NoList"/>
    <w:uiPriority w:val="99"/>
    <w:unhideWhenUsed/>
    <w:rsid w:val="00C9597C"/>
  </w:style>
  <w:style w:type="table" w:customStyle="1" w:styleId="MediumGrid1-Accent165">
    <w:name w:val="Medium Grid 1 - Accent 16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
    <w:name w:val="Light Grid - Accent 116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
    <w:name w:val="Light Grid - Accent 56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
    <w:name w:val="Light Grid - Accent 126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
    <w:name w:val="Light List - Accent 56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
    <w:name w:val="Light List - Accent 116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
    <w:name w:val="Light Grid - Accent 136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
    <w:name w:val="Medium Grid 1 - Accent 36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
    <w:name w:val="No List135"/>
    <w:next w:val="NoList"/>
    <w:uiPriority w:val="99"/>
    <w:unhideWhenUsed/>
    <w:rsid w:val="00C9597C"/>
  </w:style>
  <w:style w:type="numbering" w:customStyle="1" w:styleId="NoList235">
    <w:name w:val="No List235"/>
    <w:next w:val="NoList"/>
    <w:uiPriority w:val="99"/>
    <w:unhideWhenUsed/>
    <w:rsid w:val="00C9597C"/>
  </w:style>
  <w:style w:type="numbering" w:customStyle="1" w:styleId="NoList335">
    <w:name w:val="No List335"/>
    <w:next w:val="NoList"/>
    <w:uiPriority w:val="99"/>
    <w:unhideWhenUsed/>
    <w:rsid w:val="00C9597C"/>
  </w:style>
  <w:style w:type="numbering" w:customStyle="1" w:styleId="NoList20">
    <w:name w:val="No List20"/>
    <w:next w:val="NoList"/>
    <w:uiPriority w:val="99"/>
    <w:unhideWhenUsed/>
    <w:rsid w:val="00C9597C"/>
  </w:style>
  <w:style w:type="table" w:customStyle="1" w:styleId="TableGrid10">
    <w:name w:val="Table Grid10"/>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8">
    <w:name w:val="Medium Grid 3 - Accent 18"/>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9">
    <w:name w:val="Medium Grid 1 - Accent 119"/>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9">
    <w:name w:val="Light Grid - Accent 1119"/>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9">
    <w:name w:val="Light Grid - Accent 519"/>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9">
    <w:name w:val="Light Grid - Accent 1219"/>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9">
    <w:name w:val="Light List - Accent 519"/>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9">
    <w:name w:val="Light List - Accent 1119"/>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9">
    <w:name w:val="Light Grid - Accent 1319"/>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9">
    <w:name w:val="Medium Grid 1 - Accent 319"/>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0">
    <w:name w:val="No List110"/>
    <w:next w:val="NoList"/>
    <w:uiPriority w:val="99"/>
    <w:unhideWhenUsed/>
    <w:rsid w:val="00C9597C"/>
  </w:style>
  <w:style w:type="table" w:customStyle="1" w:styleId="MediumGrid1-Accent1110">
    <w:name w:val="Medium Grid 1 - Accent 1110"/>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0">
    <w:name w:val="Light Grid - Accent 11110"/>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0">
    <w:name w:val="Light Grid - Accent 5110"/>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0">
    <w:name w:val="Light Grid - Accent 12110"/>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0">
    <w:name w:val="Light List - Accent 5110"/>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0">
    <w:name w:val="Light List - Accent 11110"/>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0">
    <w:name w:val="Light Grid - Accent 13110"/>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0">
    <w:name w:val="Medium Grid 1 - Accent 3110"/>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8">
    <w:name w:val="Grid Table 4 - Accent 318"/>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9">
    <w:name w:val="No List29"/>
    <w:next w:val="NoList"/>
    <w:uiPriority w:val="99"/>
    <w:unhideWhenUsed/>
    <w:rsid w:val="00C9597C"/>
  </w:style>
  <w:style w:type="table" w:customStyle="1" w:styleId="MediumGrid1-Accent128">
    <w:name w:val="Medium Grid 1 - Accent 128"/>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8">
    <w:name w:val="Light Grid - Accent 1128"/>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8">
    <w:name w:val="Light Grid - Accent 528"/>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8">
    <w:name w:val="Light Grid - Accent 122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8">
    <w:name w:val="Light List - Accent 528"/>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8">
    <w:name w:val="Light List - Accent 1128"/>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8">
    <w:name w:val="Light Grid - Accent 132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8">
    <w:name w:val="Medium Grid 1 - Accent 328"/>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8">
    <w:name w:val="Grid Table 4 Accent 318"/>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9">
    <w:name w:val="No List39"/>
    <w:next w:val="NoList"/>
    <w:uiPriority w:val="99"/>
    <w:unhideWhenUsed/>
    <w:rsid w:val="00C9597C"/>
  </w:style>
  <w:style w:type="table" w:customStyle="1" w:styleId="MediumGrid1-Accent138">
    <w:name w:val="Medium Grid 1 - Accent 138"/>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8">
    <w:name w:val="Light Grid - Accent 1138"/>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8">
    <w:name w:val="Light Grid - Accent 538"/>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8">
    <w:name w:val="Light Grid - Accent 123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8">
    <w:name w:val="Light List - Accent 538"/>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8">
    <w:name w:val="Light List - Accent 1138"/>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8">
    <w:name w:val="Light Grid - Accent 133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8">
    <w:name w:val="Medium Grid 1 - Accent 338"/>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8">
    <w:name w:val="Grid Table 4 Accent 328"/>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8">
    <w:name w:val="Table Grid18"/>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unhideWhenUsed/>
    <w:rsid w:val="00C9597C"/>
  </w:style>
  <w:style w:type="table" w:customStyle="1" w:styleId="MediumGrid1-Accent146">
    <w:name w:val="Medium Grid 1 - Accent 14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6">
    <w:name w:val="Light Grid - Accent 114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6">
    <w:name w:val="Light Grid - Accent 54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6">
    <w:name w:val="Light Grid - Accent 124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6">
    <w:name w:val="Light List - Accent 54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6">
    <w:name w:val="Light List - Accent 114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6">
    <w:name w:val="Light Grid - Accent 134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6">
    <w:name w:val="Medium Grid 1 - Accent 34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1">
    <w:name w:val="Table Grid3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6">
    <w:name w:val="Medium Grid 3 - Accent 116"/>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6">
    <w:name w:val="No List116"/>
    <w:next w:val="NoList"/>
    <w:uiPriority w:val="99"/>
    <w:unhideWhenUsed/>
    <w:rsid w:val="00C9597C"/>
  </w:style>
  <w:style w:type="table" w:customStyle="1" w:styleId="MediumGrid1-Accent1116">
    <w:name w:val="Medium Grid 1 - Accent 111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6">
    <w:name w:val="Light Grid - Accent 111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6">
    <w:name w:val="Light Grid - Accent 5116"/>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6">
    <w:name w:val="Light Grid - Accent 121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6">
    <w:name w:val="Light List - Accent 5116"/>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6">
    <w:name w:val="Light List - Accent 1111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6">
    <w:name w:val="Light Grid - Accent 131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6">
    <w:name w:val="Medium Grid 1 - Accent 311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6">
    <w:name w:val="Grid Table 4 - Accent 31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6">
    <w:name w:val="No List216"/>
    <w:next w:val="NoList"/>
    <w:uiPriority w:val="99"/>
    <w:unhideWhenUsed/>
    <w:rsid w:val="00C9597C"/>
  </w:style>
  <w:style w:type="table" w:customStyle="1" w:styleId="MediumGrid1-Accent1216">
    <w:name w:val="Medium Grid 1 - Accent 121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6">
    <w:name w:val="Light Grid - Accent 1121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6">
    <w:name w:val="Light Grid - Accent 521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6">
    <w:name w:val="Light Grid - Accent 122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6">
    <w:name w:val="Light List - Accent 521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6">
    <w:name w:val="Light List - Accent 1121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6">
    <w:name w:val="Light Grid - Accent 132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6">
    <w:name w:val="Medium Grid 1 - Accent 321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6">
    <w:name w:val="Grid Table 4 Accent 31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6">
    <w:name w:val="No List316"/>
    <w:next w:val="NoList"/>
    <w:uiPriority w:val="99"/>
    <w:unhideWhenUsed/>
    <w:rsid w:val="00C9597C"/>
  </w:style>
  <w:style w:type="table" w:customStyle="1" w:styleId="MediumGrid1-Accent1316">
    <w:name w:val="Medium Grid 1 - Accent 131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6">
    <w:name w:val="Light Grid - Accent 1131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6">
    <w:name w:val="Light Grid - Accent 531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6">
    <w:name w:val="Light Grid - Accent 123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6">
    <w:name w:val="Light List - Accent 531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6">
    <w:name w:val="Light List - Accent 1131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6">
    <w:name w:val="Light Grid - Accent 133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6">
    <w:name w:val="Medium Grid 1 - Accent 331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6">
    <w:name w:val="Grid Table 4 Accent 32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6">
    <w:name w:val="Table Grid116"/>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unhideWhenUsed/>
    <w:rsid w:val="00C9597C"/>
  </w:style>
  <w:style w:type="table" w:customStyle="1" w:styleId="TableGrid41">
    <w:name w:val="Table Grid41"/>
    <w:basedOn w:val="TableNormal"/>
    <w:next w:val="TableGrid"/>
    <w:uiPriority w:val="5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1">
    <w:name w:val="Medium Grid 3 - Accent 12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6">
    <w:name w:val="Medium Grid 1 - Accent 156"/>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6">
    <w:name w:val="Light Grid - Accent 1156"/>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6">
    <w:name w:val="Light Grid - Accent 556"/>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6">
    <w:name w:val="Light Grid - Accent 1256"/>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6">
    <w:name w:val="Light List - Accent 556"/>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6">
    <w:name w:val="Light List - Accent 1156"/>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6">
    <w:name w:val="Light Grid - Accent 135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6">
    <w:name w:val="Medium Grid 1 - Accent 35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6">
    <w:name w:val="No List126"/>
    <w:next w:val="NoList"/>
    <w:uiPriority w:val="99"/>
    <w:unhideWhenUsed/>
    <w:rsid w:val="00C9597C"/>
  </w:style>
  <w:style w:type="table" w:customStyle="1" w:styleId="MediumGrid1-Accent1121">
    <w:name w:val="Medium Grid 1 - Accent 11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1">
    <w:name w:val="Light Grid - Accent 11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1">
    <w:name w:val="Light Grid - Accent 512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1">
    <w:name w:val="Light Grid - Accent 12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1">
    <w:name w:val="Light List - Accent 512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
    <w:name w:val="Light List - Accent 111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1">
    <w:name w:val="Light Grid - Accent 13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1">
    <w:name w:val="Medium Grid 1 - Accent 31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1">
    <w:name w:val="Grid Table 4 - Accent 3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6">
    <w:name w:val="No List226"/>
    <w:next w:val="NoList"/>
    <w:uiPriority w:val="99"/>
    <w:unhideWhenUsed/>
    <w:rsid w:val="00C9597C"/>
  </w:style>
  <w:style w:type="table" w:customStyle="1" w:styleId="MediumGrid1-Accent1221">
    <w:name w:val="Medium Grid 1 - Accent 12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1">
    <w:name w:val="Light Grid - Accent 112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1">
    <w:name w:val="Light Grid - Accent 52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1">
    <w:name w:val="Light Grid - Accent 122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1">
    <w:name w:val="Light List - Accent 52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1">
    <w:name w:val="Light List - Accent 112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1">
    <w:name w:val="Light Grid - Accent 132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1">
    <w:name w:val="Medium Grid 1 - Accent 32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1">
    <w:name w:val="Grid Table 4 Accent 3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6">
    <w:name w:val="No List326"/>
    <w:next w:val="NoList"/>
    <w:uiPriority w:val="99"/>
    <w:unhideWhenUsed/>
    <w:rsid w:val="00C9597C"/>
  </w:style>
  <w:style w:type="table" w:customStyle="1" w:styleId="MediumGrid1-Accent1321">
    <w:name w:val="Medium Grid 1 - Accent 13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1">
    <w:name w:val="Light Grid - Accent 113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1">
    <w:name w:val="Light Grid - Accent 53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1">
    <w:name w:val="Light Grid - Accent 123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1">
    <w:name w:val="Light List - Accent 53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1">
    <w:name w:val="Light List - Accent 113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1">
    <w:name w:val="Light Grid - Accent 133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1">
    <w:name w:val="Medium Grid 1 - Accent 33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1">
    <w:name w:val="Grid Table 4 Accent 32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1">
    <w:name w:val="Table Grid12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3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unhideWhenUsed/>
    <w:rsid w:val="00C9597C"/>
  </w:style>
  <w:style w:type="table" w:customStyle="1" w:styleId="MediumGrid1-Accent166">
    <w:name w:val="Medium Grid 1 - Accent 16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6">
    <w:name w:val="Light Grid - Accent 116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6">
    <w:name w:val="Light Grid - Accent 56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6">
    <w:name w:val="Light Grid - Accent 126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6">
    <w:name w:val="Light List - Accent 56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6">
    <w:name w:val="Light List - Accent 116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6">
    <w:name w:val="Light Grid - Accent 136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6">
    <w:name w:val="Medium Grid 1 - Accent 36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6">
    <w:name w:val="No List136"/>
    <w:next w:val="NoList"/>
    <w:uiPriority w:val="99"/>
    <w:unhideWhenUsed/>
    <w:rsid w:val="00C9597C"/>
  </w:style>
  <w:style w:type="numbering" w:customStyle="1" w:styleId="NoList236">
    <w:name w:val="No List236"/>
    <w:next w:val="NoList"/>
    <w:uiPriority w:val="99"/>
    <w:unhideWhenUsed/>
    <w:rsid w:val="00C9597C"/>
  </w:style>
  <w:style w:type="numbering" w:customStyle="1" w:styleId="NoList336">
    <w:name w:val="No List336"/>
    <w:next w:val="NoList"/>
    <w:uiPriority w:val="99"/>
    <w:unhideWhenUsed/>
    <w:rsid w:val="00C9597C"/>
  </w:style>
  <w:style w:type="numbering" w:customStyle="1" w:styleId="NoList71">
    <w:name w:val="No List71"/>
    <w:next w:val="NoList"/>
    <w:uiPriority w:val="99"/>
    <w:unhideWhenUsed/>
    <w:rsid w:val="00C9597C"/>
  </w:style>
  <w:style w:type="table" w:customStyle="1" w:styleId="TableGrid51">
    <w:name w:val="Table Grid5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1">
    <w:name w:val="Medium Grid 3 - Accent 13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1">
    <w:name w:val="Medium Grid 1 - Accent 17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1">
    <w:name w:val="Light Grid - Accent 117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1">
    <w:name w:val="Light Grid - Accent 57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1">
    <w:name w:val="Light Grid - Accent 127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1">
    <w:name w:val="Light List - Accent 57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1">
    <w:name w:val="Light List - Accent 117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1">
    <w:name w:val="Light Grid - Accent 13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1">
    <w:name w:val="Medium Grid 1 - Accent 37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1">
    <w:name w:val="No List141"/>
    <w:next w:val="NoList"/>
    <w:uiPriority w:val="99"/>
    <w:unhideWhenUsed/>
    <w:rsid w:val="00C9597C"/>
  </w:style>
  <w:style w:type="table" w:customStyle="1" w:styleId="MediumGrid1-Accent1131">
    <w:name w:val="Medium Grid 1 - Accent 11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1">
    <w:name w:val="Light Grid - Accent 11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1">
    <w:name w:val="Light Grid - Accent 513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1">
    <w:name w:val="Light Grid - Accent 12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1">
    <w:name w:val="Light List - Accent 513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1">
    <w:name w:val="Light List - Accent 111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1">
    <w:name w:val="Light Grid - Accent 13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1">
    <w:name w:val="Medium Grid 1 - Accent 31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1">
    <w:name w:val="Grid Table 4 - Accent 3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1">
    <w:name w:val="No List241"/>
    <w:next w:val="NoList"/>
    <w:uiPriority w:val="99"/>
    <w:unhideWhenUsed/>
    <w:rsid w:val="00C9597C"/>
  </w:style>
  <w:style w:type="table" w:customStyle="1" w:styleId="MediumGrid1-Accent1231">
    <w:name w:val="Medium Grid 1 - Accent 12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1">
    <w:name w:val="Light Grid - Accent 112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1">
    <w:name w:val="Light Grid - Accent 52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1">
    <w:name w:val="Light Grid - Accent 122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1">
    <w:name w:val="Light List - Accent 52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1">
    <w:name w:val="Light List - Accent 112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1">
    <w:name w:val="Light Grid - Accent 132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1">
    <w:name w:val="Medium Grid 1 - Accent 32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1">
    <w:name w:val="Grid Table 4 Accent 3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1">
    <w:name w:val="No List341"/>
    <w:next w:val="NoList"/>
    <w:uiPriority w:val="99"/>
    <w:unhideWhenUsed/>
    <w:rsid w:val="00C9597C"/>
  </w:style>
  <w:style w:type="table" w:customStyle="1" w:styleId="MediumGrid1-Accent1331">
    <w:name w:val="Medium Grid 1 - Accent 13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1">
    <w:name w:val="Light Grid - Accent 113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1">
    <w:name w:val="Light Grid - Accent 53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1">
    <w:name w:val="Light Grid - Accent 123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1">
    <w:name w:val="Light List - Accent 53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1">
    <w:name w:val="Light List - Accent 113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1">
    <w:name w:val="Light Grid - Accent 133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1">
    <w:name w:val="Medium Grid 1 - Accent 33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1">
    <w:name w:val="Grid Table 4 Accent 32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
    <w:name w:val="Table Grid13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unhideWhenUsed/>
    <w:rsid w:val="00C9597C"/>
  </w:style>
  <w:style w:type="table" w:customStyle="1" w:styleId="MediumGrid1-Accent1411">
    <w:name w:val="Medium Grid 1 - Accent 14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1">
    <w:name w:val="Light Grid - Accent 114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1">
    <w:name w:val="Light Grid - Accent 54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1">
    <w:name w:val="Light Grid - Accent 124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1">
    <w:name w:val="Light List - Accent 54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1">
    <w:name w:val="Light List - Accent 114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1">
    <w:name w:val="Light Grid - Accent 134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1">
    <w:name w:val="Medium Grid 1 - Accent 34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1">
    <w:name w:val="Table Grid211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1">
    <w:name w:val="Medium Grid 3 - Accent 111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
    <w:name w:val="No List1111"/>
    <w:next w:val="NoList"/>
    <w:uiPriority w:val="99"/>
    <w:unhideWhenUsed/>
    <w:rsid w:val="00C9597C"/>
  </w:style>
  <w:style w:type="table" w:customStyle="1" w:styleId="MediumGrid1-Accent11111">
    <w:name w:val="Medium Grid 1 - Accent 11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1">
    <w:name w:val="Light Grid - Accent 11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1">
    <w:name w:val="Light Grid - Accent 5111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1">
    <w:name w:val="Light Grid - Accent 12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1">
    <w:name w:val="Light List - Accent 5111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1">
    <w:name w:val="Light List - Accent 111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1">
    <w:name w:val="Light Grid - Accent 13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1">
    <w:name w:val="Medium Grid 1 - Accent 311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1">
    <w:name w:val="Grid Table 4 - Accent 31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1">
    <w:name w:val="No List2111"/>
    <w:next w:val="NoList"/>
    <w:uiPriority w:val="99"/>
    <w:unhideWhenUsed/>
    <w:rsid w:val="00C9597C"/>
  </w:style>
  <w:style w:type="table" w:customStyle="1" w:styleId="MediumGrid1-Accent12111">
    <w:name w:val="Medium Grid 1 - Accent 12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1">
    <w:name w:val="Light Grid - Accent 1121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1">
    <w:name w:val="Light Grid - Accent 521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1">
    <w:name w:val="Light Grid - Accent 122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1">
    <w:name w:val="Light List - Accent 521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1">
    <w:name w:val="Light List - Accent 112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1">
    <w:name w:val="Light Grid - Accent 132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1">
    <w:name w:val="Medium Grid 1 - Accent 321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1">
    <w:name w:val="Grid Table 4 Accent 31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1">
    <w:name w:val="No List3111"/>
    <w:next w:val="NoList"/>
    <w:uiPriority w:val="99"/>
    <w:unhideWhenUsed/>
    <w:rsid w:val="00C9597C"/>
  </w:style>
  <w:style w:type="table" w:customStyle="1" w:styleId="MediumGrid1-Accent13111">
    <w:name w:val="Medium Grid 1 - Accent 13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1">
    <w:name w:val="Light Grid - Accent 1131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1">
    <w:name w:val="Light Grid - Accent 531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1">
    <w:name w:val="Light Grid - Accent 123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1">
    <w:name w:val="Light List - Accent 531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1">
    <w:name w:val="Light List - Accent 113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1">
    <w:name w:val="Light Grid - Accent 133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1">
    <w:name w:val="Medium Grid 1 - Accent 331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1">
    <w:name w:val="Grid Table 4 Accent 32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1">
    <w:name w:val="Table Grid111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unhideWhenUsed/>
    <w:rsid w:val="00C9597C"/>
  </w:style>
  <w:style w:type="table" w:customStyle="1" w:styleId="MediumGrid1-Accent1511">
    <w:name w:val="Medium Grid 1 - Accent 15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1">
    <w:name w:val="Light Grid - Accent 115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1">
    <w:name w:val="Light Grid - Accent 55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1">
    <w:name w:val="Light Grid - Accent 125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1">
    <w:name w:val="Light List - Accent 55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1">
    <w:name w:val="Light List - Accent 115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1">
    <w:name w:val="Light Grid - Accent 135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1">
    <w:name w:val="Medium Grid 1 - Accent 35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1">
    <w:name w:val="No List1211"/>
    <w:next w:val="NoList"/>
    <w:uiPriority w:val="99"/>
    <w:unhideWhenUsed/>
    <w:rsid w:val="00C9597C"/>
  </w:style>
  <w:style w:type="numbering" w:customStyle="1" w:styleId="NoList2211">
    <w:name w:val="No List2211"/>
    <w:next w:val="NoList"/>
    <w:uiPriority w:val="99"/>
    <w:unhideWhenUsed/>
    <w:rsid w:val="00C9597C"/>
  </w:style>
  <w:style w:type="numbering" w:customStyle="1" w:styleId="NoList3211">
    <w:name w:val="No List3211"/>
    <w:next w:val="NoList"/>
    <w:uiPriority w:val="99"/>
    <w:unhideWhenUsed/>
    <w:rsid w:val="00C9597C"/>
  </w:style>
  <w:style w:type="numbering" w:customStyle="1" w:styleId="NoList611">
    <w:name w:val="No List611"/>
    <w:next w:val="NoList"/>
    <w:uiPriority w:val="99"/>
    <w:unhideWhenUsed/>
    <w:rsid w:val="00C9597C"/>
  </w:style>
  <w:style w:type="table" w:customStyle="1" w:styleId="MediumGrid1-Accent1611">
    <w:name w:val="Medium Grid 1 - Accent 16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1">
    <w:name w:val="Light Grid - Accent 116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1">
    <w:name w:val="Light Grid - Accent 56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1">
    <w:name w:val="Light Grid - Accent 126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1">
    <w:name w:val="Light List - Accent 56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1">
    <w:name w:val="Light List - Accent 116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1">
    <w:name w:val="Light Grid - Accent 136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1">
    <w:name w:val="Medium Grid 1 - Accent 36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1">
    <w:name w:val="No List1311"/>
    <w:next w:val="NoList"/>
    <w:uiPriority w:val="99"/>
    <w:unhideWhenUsed/>
    <w:rsid w:val="00C9597C"/>
  </w:style>
  <w:style w:type="numbering" w:customStyle="1" w:styleId="NoList2311">
    <w:name w:val="No List2311"/>
    <w:next w:val="NoList"/>
    <w:uiPriority w:val="99"/>
    <w:unhideWhenUsed/>
    <w:rsid w:val="00C9597C"/>
  </w:style>
  <w:style w:type="numbering" w:customStyle="1" w:styleId="NoList3311">
    <w:name w:val="No List3311"/>
    <w:next w:val="NoList"/>
    <w:uiPriority w:val="99"/>
    <w:unhideWhenUsed/>
    <w:rsid w:val="00C9597C"/>
  </w:style>
  <w:style w:type="numbering" w:customStyle="1" w:styleId="NoList81">
    <w:name w:val="No List81"/>
    <w:next w:val="NoList"/>
    <w:uiPriority w:val="99"/>
    <w:unhideWhenUsed/>
    <w:rsid w:val="00C9597C"/>
  </w:style>
  <w:style w:type="table" w:customStyle="1" w:styleId="TableGrid61">
    <w:name w:val="Table Grid6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1">
    <w:name w:val="Medium Grid 3 - Accent 14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1">
    <w:name w:val="Medium Grid 1 - Accent 18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1">
    <w:name w:val="Light Grid - Accent 118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1">
    <w:name w:val="Light Grid - Accent 58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1">
    <w:name w:val="Light Grid - Accent 128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1">
    <w:name w:val="Light List - Accent 58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1">
    <w:name w:val="Light List - Accent 118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1">
    <w:name w:val="Light Grid - Accent 138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1">
    <w:name w:val="Medium Grid 1 - Accent 38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1">
    <w:name w:val="No List151"/>
    <w:next w:val="NoList"/>
    <w:uiPriority w:val="99"/>
    <w:unhideWhenUsed/>
    <w:rsid w:val="00C9597C"/>
  </w:style>
  <w:style w:type="table" w:customStyle="1" w:styleId="MediumGrid1-Accent1141">
    <w:name w:val="Medium Grid 1 - Accent 1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1">
    <w:name w:val="Light Grid - Accent 11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1">
    <w:name w:val="Light Grid - Accent 514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1">
    <w:name w:val="Light Grid - Accent 12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1">
    <w:name w:val="Light List - Accent 514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1">
    <w:name w:val="Light List - Accent 11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1">
    <w:name w:val="Light Grid - Accent 13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1">
    <w:name w:val="Medium Grid 1 - Accent 31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1">
    <w:name w:val="Grid Table 4 - Accent 3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1">
    <w:name w:val="No List251"/>
    <w:next w:val="NoList"/>
    <w:uiPriority w:val="99"/>
    <w:unhideWhenUsed/>
    <w:rsid w:val="00C9597C"/>
  </w:style>
  <w:style w:type="table" w:customStyle="1" w:styleId="MediumGrid1-Accent1241">
    <w:name w:val="Medium Grid 1 - Accent 12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1">
    <w:name w:val="Light Grid - Accent 112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1">
    <w:name w:val="Light Grid - Accent 52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1">
    <w:name w:val="Light Grid - Accent 122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1">
    <w:name w:val="Light List - Accent 52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1">
    <w:name w:val="Light List - Accent 112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1">
    <w:name w:val="Light Grid - Accent 132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1">
    <w:name w:val="Medium Grid 1 - Accent 32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1">
    <w:name w:val="Grid Table 4 Accent 3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1">
    <w:name w:val="No List351"/>
    <w:next w:val="NoList"/>
    <w:uiPriority w:val="99"/>
    <w:unhideWhenUsed/>
    <w:rsid w:val="00C9597C"/>
  </w:style>
  <w:style w:type="table" w:customStyle="1" w:styleId="MediumGrid1-Accent1341">
    <w:name w:val="Medium Grid 1 - Accent 13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1">
    <w:name w:val="Light Grid - Accent 113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1">
    <w:name w:val="Light Grid - Accent 53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1">
    <w:name w:val="Light Grid - Accent 123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1">
    <w:name w:val="Light List - Accent 53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1">
    <w:name w:val="Light List - Accent 113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1">
    <w:name w:val="Light Grid - Accent 133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1">
    <w:name w:val="Medium Grid 1 - Accent 33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1">
    <w:name w:val="Grid Table 4 Accent 32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1">
    <w:name w:val="Table Grid14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unhideWhenUsed/>
    <w:rsid w:val="00C9597C"/>
  </w:style>
  <w:style w:type="table" w:customStyle="1" w:styleId="MediumGrid1-Accent1421">
    <w:name w:val="Medium Grid 1 - Accent 14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1">
    <w:name w:val="Light Grid - Accent 114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1">
    <w:name w:val="Light Grid - Accent 54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1">
    <w:name w:val="Light Grid - Accent 124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1">
    <w:name w:val="Light List - Accent 54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1">
    <w:name w:val="Light List - Accent 114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1">
    <w:name w:val="Light Grid - Accent 134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1">
    <w:name w:val="Medium Grid 1 - Accent 34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1">
    <w:name w:val="Table Grid212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1">
    <w:name w:val="Medium Grid 3 - Accent 112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1">
    <w:name w:val="No List1121"/>
    <w:next w:val="NoList"/>
    <w:uiPriority w:val="99"/>
    <w:unhideWhenUsed/>
    <w:rsid w:val="00C9597C"/>
  </w:style>
  <w:style w:type="table" w:customStyle="1" w:styleId="MediumGrid1-Accent11121">
    <w:name w:val="Medium Grid 1 - Accent 111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1">
    <w:name w:val="Light Grid - Accent 111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1">
    <w:name w:val="Light Grid - Accent 5112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1">
    <w:name w:val="Light Grid - Accent 121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1">
    <w:name w:val="Light List - Accent 5112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1">
    <w:name w:val="Light List - Accent 1111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1">
    <w:name w:val="Light Grid - Accent 131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1">
    <w:name w:val="Medium Grid 1 - Accent 311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1">
    <w:name w:val="Grid Table 4 - Accent 31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1">
    <w:name w:val="No List2121"/>
    <w:next w:val="NoList"/>
    <w:uiPriority w:val="99"/>
    <w:unhideWhenUsed/>
    <w:rsid w:val="00C9597C"/>
  </w:style>
  <w:style w:type="table" w:customStyle="1" w:styleId="MediumGrid1-Accent12121">
    <w:name w:val="Medium Grid 1 - Accent 121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1">
    <w:name w:val="Light Grid - Accent 1121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1">
    <w:name w:val="Light Grid - Accent 521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1">
    <w:name w:val="Light Grid - Accent 122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1">
    <w:name w:val="Light List - Accent 521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1">
    <w:name w:val="Light List - Accent 1121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1">
    <w:name w:val="Light Grid - Accent 132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1">
    <w:name w:val="Medium Grid 1 - Accent 321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1">
    <w:name w:val="Grid Table 4 Accent 31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1">
    <w:name w:val="No List3121"/>
    <w:next w:val="NoList"/>
    <w:uiPriority w:val="99"/>
    <w:unhideWhenUsed/>
    <w:rsid w:val="00C9597C"/>
  </w:style>
  <w:style w:type="table" w:customStyle="1" w:styleId="MediumGrid1-Accent13121">
    <w:name w:val="Medium Grid 1 - Accent 131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1">
    <w:name w:val="Light Grid - Accent 1131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1">
    <w:name w:val="Light Grid - Accent 531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1">
    <w:name w:val="Light Grid - Accent 123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1">
    <w:name w:val="Light List - Accent 531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1">
    <w:name w:val="Light List - Accent 1131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1">
    <w:name w:val="Light Grid - Accent 133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1">
    <w:name w:val="Medium Grid 1 - Accent 331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1">
    <w:name w:val="Grid Table 4 Accent 32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1">
    <w:name w:val="Table Grid112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unhideWhenUsed/>
    <w:rsid w:val="00C9597C"/>
  </w:style>
  <w:style w:type="table" w:customStyle="1" w:styleId="MediumGrid1-Accent1521">
    <w:name w:val="Medium Grid 1 - Accent 15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1">
    <w:name w:val="Light Grid - Accent 115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1">
    <w:name w:val="Light Grid - Accent 55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1">
    <w:name w:val="Light Grid - Accent 125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1">
    <w:name w:val="Light List - Accent 55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1">
    <w:name w:val="Light List - Accent 115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1">
    <w:name w:val="Light Grid - Accent 135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1">
    <w:name w:val="Medium Grid 1 - Accent 35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1">
    <w:name w:val="No List1221"/>
    <w:next w:val="NoList"/>
    <w:uiPriority w:val="99"/>
    <w:unhideWhenUsed/>
    <w:rsid w:val="00C9597C"/>
  </w:style>
  <w:style w:type="numbering" w:customStyle="1" w:styleId="NoList2221">
    <w:name w:val="No List2221"/>
    <w:next w:val="NoList"/>
    <w:uiPriority w:val="99"/>
    <w:unhideWhenUsed/>
    <w:rsid w:val="00C9597C"/>
  </w:style>
  <w:style w:type="numbering" w:customStyle="1" w:styleId="NoList3221">
    <w:name w:val="No List3221"/>
    <w:next w:val="NoList"/>
    <w:uiPriority w:val="99"/>
    <w:unhideWhenUsed/>
    <w:rsid w:val="00C9597C"/>
  </w:style>
  <w:style w:type="numbering" w:customStyle="1" w:styleId="NoList621">
    <w:name w:val="No List621"/>
    <w:next w:val="NoList"/>
    <w:uiPriority w:val="99"/>
    <w:unhideWhenUsed/>
    <w:rsid w:val="00C9597C"/>
  </w:style>
  <w:style w:type="table" w:customStyle="1" w:styleId="MediumGrid1-Accent1621">
    <w:name w:val="Medium Grid 1 - Accent 16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1">
    <w:name w:val="Light Grid - Accent 116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1">
    <w:name w:val="Light Grid - Accent 56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1">
    <w:name w:val="Light Grid - Accent 126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1">
    <w:name w:val="Light List - Accent 56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1">
    <w:name w:val="Light List - Accent 116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1">
    <w:name w:val="Light Grid - Accent 136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1">
    <w:name w:val="Medium Grid 1 - Accent 36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1">
    <w:name w:val="No List1321"/>
    <w:next w:val="NoList"/>
    <w:uiPriority w:val="99"/>
    <w:unhideWhenUsed/>
    <w:rsid w:val="00C9597C"/>
  </w:style>
  <w:style w:type="numbering" w:customStyle="1" w:styleId="NoList2321">
    <w:name w:val="No List2321"/>
    <w:next w:val="NoList"/>
    <w:uiPriority w:val="99"/>
    <w:unhideWhenUsed/>
    <w:rsid w:val="00C9597C"/>
  </w:style>
  <w:style w:type="numbering" w:customStyle="1" w:styleId="NoList3321">
    <w:name w:val="No List3321"/>
    <w:next w:val="NoList"/>
    <w:uiPriority w:val="99"/>
    <w:unhideWhenUsed/>
    <w:rsid w:val="00C9597C"/>
  </w:style>
  <w:style w:type="numbering" w:customStyle="1" w:styleId="NoList91">
    <w:name w:val="No List91"/>
    <w:next w:val="NoList"/>
    <w:uiPriority w:val="99"/>
    <w:unhideWhenUsed/>
    <w:rsid w:val="00C9597C"/>
  </w:style>
  <w:style w:type="table" w:customStyle="1" w:styleId="TableGrid71">
    <w:name w:val="Table Grid7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1">
    <w:name w:val="Medium Grid 3 - Accent 151"/>
    <w:basedOn w:val="TableNormal"/>
    <w:next w:val="MediumGrid3-Accent1"/>
    <w:uiPriority w:val="69"/>
    <w:locked/>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1">
    <w:name w:val="Medium Grid 1 - Accent 19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1">
    <w:name w:val="Light Grid - Accent 119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1">
    <w:name w:val="Light Grid - Accent 59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1">
    <w:name w:val="Light Grid - Accent 129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1">
    <w:name w:val="Light List - Accent 59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1">
    <w:name w:val="Light List - Accent 119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1">
    <w:name w:val="Light Grid - Accent 139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1">
    <w:name w:val="Medium Grid 1 - Accent 39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1">
    <w:name w:val="No List161"/>
    <w:next w:val="NoList"/>
    <w:uiPriority w:val="99"/>
    <w:unhideWhenUsed/>
    <w:rsid w:val="00C9597C"/>
  </w:style>
  <w:style w:type="table" w:customStyle="1" w:styleId="MediumGrid1-Accent1151">
    <w:name w:val="Medium Grid 1 - Accent 1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1">
    <w:name w:val="Light Grid - Accent 11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1">
    <w:name w:val="Light Grid - Accent 515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1">
    <w:name w:val="Light Grid - Accent 12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1">
    <w:name w:val="Light List - Accent 515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1">
    <w:name w:val="Light List - Accent 11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1">
    <w:name w:val="Light Grid - Accent 13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1">
    <w:name w:val="Medium Grid 1 - Accent 31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1">
    <w:name w:val="Grid Table 4 - Accent 3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1">
    <w:name w:val="No List261"/>
    <w:next w:val="NoList"/>
    <w:uiPriority w:val="99"/>
    <w:unhideWhenUsed/>
    <w:rsid w:val="00C9597C"/>
  </w:style>
  <w:style w:type="table" w:customStyle="1" w:styleId="MediumGrid1-Accent1251">
    <w:name w:val="Medium Grid 1 - Accent 1251"/>
    <w:basedOn w:val="TableNormal"/>
    <w:next w:val="MediumGrid1-Accent1"/>
    <w:uiPriority w:val="67"/>
    <w:qFormat/>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1">
    <w:name w:val="Light Grid - Accent 112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1">
    <w:name w:val="Light Grid - Accent 52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1">
    <w:name w:val="Light Grid - Accent 122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1">
    <w:name w:val="Light List - Accent 52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1">
    <w:name w:val="Light List - Accent 112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1">
    <w:name w:val="Light Grid - Accent 132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1">
    <w:name w:val="Medium Grid 1 - Accent 32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1">
    <w:name w:val="Grid Table 4 Accent 3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1">
    <w:name w:val="No List361"/>
    <w:next w:val="NoList"/>
    <w:uiPriority w:val="99"/>
    <w:unhideWhenUsed/>
    <w:rsid w:val="00C9597C"/>
  </w:style>
  <w:style w:type="table" w:customStyle="1" w:styleId="MediumGrid1-Accent1351">
    <w:name w:val="Medium Grid 1 - Accent 13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1">
    <w:name w:val="Light Grid - Accent 113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1">
    <w:name w:val="Light Grid - Accent 53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1">
    <w:name w:val="Light Grid - Accent 123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1">
    <w:name w:val="Light List - Accent 53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1">
    <w:name w:val="Light List - Accent 113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1">
    <w:name w:val="Light Grid - Accent 133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1">
    <w:name w:val="Medium Grid 1 - Accent 33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1">
    <w:name w:val="Grid Table 4 Accent 32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1">
    <w:name w:val="Table Grid15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unhideWhenUsed/>
    <w:rsid w:val="00C9597C"/>
  </w:style>
  <w:style w:type="table" w:customStyle="1" w:styleId="MediumGrid1-Accent1431">
    <w:name w:val="Medium Grid 1 - Accent 14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1">
    <w:name w:val="Light Grid - Accent 114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1">
    <w:name w:val="Light Grid - Accent 54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1">
    <w:name w:val="Light Grid - Accent 124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1">
    <w:name w:val="Light List - Accent 54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1">
    <w:name w:val="Light List - Accent 114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1">
    <w:name w:val="Light Grid - Accent 134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1">
    <w:name w:val="Medium Grid 1 - Accent 34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1">
    <w:name w:val="Table Grid213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1">
    <w:name w:val="Medium Grid 3 - Accent 113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1">
    <w:name w:val="No List1131"/>
    <w:next w:val="NoList"/>
    <w:uiPriority w:val="99"/>
    <w:unhideWhenUsed/>
    <w:rsid w:val="00C9597C"/>
  </w:style>
  <w:style w:type="table" w:customStyle="1" w:styleId="MediumGrid1-Accent11131">
    <w:name w:val="Medium Grid 1 - Accent 111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1">
    <w:name w:val="Light Grid - Accent 111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1">
    <w:name w:val="Light Grid - Accent 5113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1">
    <w:name w:val="Light Grid - Accent 121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1">
    <w:name w:val="Light List - Accent 5113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1">
    <w:name w:val="Light List - Accent 1111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1">
    <w:name w:val="Light Grid - Accent 131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1">
    <w:name w:val="Medium Grid 1 - Accent 311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1">
    <w:name w:val="Grid Table 4 - Accent 31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1">
    <w:name w:val="No List2131"/>
    <w:next w:val="NoList"/>
    <w:uiPriority w:val="99"/>
    <w:unhideWhenUsed/>
    <w:rsid w:val="00C9597C"/>
  </w:style>
  <w:style w:type="table" w:customStyle="1" w:styleId="MediumGrid1-Accent12131">
    <w:name w:val="Medium Grid 1 - Accent 121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1">
    <w:name w:val="Light Grid - Accent 1121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1">
    <w:name w:val="Light Grid - Accent 521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1">
    <w:name w:val="Light Grid - Accent 122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1">
    <w:name w:val="Light List - Accent 521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1">
    <w:name w:val="Light List - Accent 1121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1">
    <w:name w:val="Light Grid - Accent 132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1">
    <w:name w:val="Medium Grid 1 - Accent 321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1">
    <w:name w:val="Grid Table 4 Accent 31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1">
    <w:name w:val="No List3131"/>
    <w:next w:val="NoList"/>
    <w:uiPriority w:val="99"/>
    <w:unhideWhenUsed/>
    <w:rsid w:val="00C9597C"/>
  </w:style>
  <w:style w:type="table" w:customStyle="1" w:styleId="MediumGrid1-Accent13131">
    <w:name w:val="Medium Grid 1 - Accent 131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1">
    <w:name w:val="Light Grid - Accent 1131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1">
    <w:name w:val="Light Grid - Accent 531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1">
    <w:name w:val="Light Grid - Accent 123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1">
    <w:name w:val="Light List - Accent 531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1">
    <w:name w:val="Light List - Accent 1131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1">
    <w:name w:val="Light Grid - Accent 133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1">
    <w:name w:val="Medium Grid 1 - Accent 331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1">
    <w:name w:val="Grid Table 4 Accent 32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1">
    <w:name w:val="Table Grid113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unhideWhenUsed/>
    <w:rsid w:val="00C9597C"/>
  </w:style>
  <w:style w:type="table" w:customStyle="1" w:styleId="MediumGrid1-Accent1531">
    <w:name w:val="Medium Grid 1 - Accent 15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1">
    <w:name w:val="Light Grid - Accent 115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1">
    <w:name w:val="Light Grid - Accent 55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1">
    <w:name w:val="Light Grid - Accent 125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1">
    <w:name w:val="Light List - Accent 55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1">
    <w:name w:val="Light List - Accent 115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1">
    <w:name w:val="Light Grid - Accent 135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1">
    <w:name w:val="Medium Grid 1 - Accent 35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1">
    <w:name w:val="No List1231"/>
    <w:next w:val="NoList"/>
    <w:uiPriority w:val="99"/>
    <w:unhideWhenUsed/>
    <w:rsid w:val="00C9597C"/>
  </w:style>
  <w:style w:type="numbering" w:customStyle="1" w:styleId="NoList2231">
    <w:name w:val="No List2231"/>
    <w:next w:val="NoList"/>
    <w:uiPriority w:val="99"/>
    <w:unhideWhenUsed/>
    <w:rsid w:val="00C9597C"/>
  </w:style>
  <w:style w:type="numbering" w:customStyle="1" w:styleId="NoList3231">
    <w:name w:val="No List3231"/>
    <w:next w:val="NoList"/>
    <w:uiPriority w:val="99"/>
    <w:unhideWhenUsed/>
    <w:rsid w:val="00C9597C"/>
  </w:style>
  <w:style w:type="numbering" w:customStyle="1" w:styleId="NoList631">
    <w:name w:val="No List631"/>
    <w:next w:val="NoList"/>
    <w:uiPriority w:val="99"/>
    <w:unhideWhenUsed/>
    <w:rsid w:val="00C9597C"/>
  </w:style>
  <w:style w:type="table" w:customStyle="1" w:styleId="MediumGrid1-Accent1631">
    <w:name w:val="Medium Grid 1 - Accent 16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1">
    <w:name w:val="Light Grid - Accent 116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1">
    <w:name w:val="Light Grid - Accent 56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1">
    <w:name w:val="Light Grid - Accent 126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1">
    <w:name w:val="Light List - Accent 56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1">
    <w:name w:val="Light List - Accent 116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1">
    <w:name w:val="Light Grid - Accent 136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1">
    <w:name w:val="Medium Grid 1 - Accent 36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1">
    <w:name w:val="No List1331"/>
    <w:next w:val="NoList"/>
    <w:uiPriority w:val="99"/>
    <w:unhideWhenUsed/>
    <w:rsid w:val="00C9597C"/>
  </w:style>
  <w:style w:type="numbering" w:customStyle="1" w:styleId="NoList2331">
    <w:name w:val="No List2331"/>
    <w:next w:val="NoList"/>
    <w:uiPriority w:val="99"/>
    <w:unhideWhenUsed/>
    <w:rsid w:val="00C9597C"/>
  </w:style>
  <w:style w:type="numbering" w:customStyle="1" w:styleId="NoList3331">
    <w:name w:val="No List3331"/>
    <w:next w:val="NoList"/>
    <w:uiPriority w:val="99"/>
    <w:unhideWhenUsed/>
    <w:rsid w:val="00C9597C"/>
  </w:style>
  <w:style w:type="numbering" w:customStyle="1" w:styleId="NoList101">
    <w:name w:val="No List101"/>
    <w:next w:val="NoList"/>
    <w:uiPriority w:val="99"/>
    <w:unhideWhenUsed/>
    <w:rsid w:val="00C9597C"/>
  </w:style>
  <w:style w:type="table" w:customStyle="1" w:styleId="TableGrid81">
    <w:name w:val="Table Grid8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1">
    <w:name w:val="Medium Grid 3 - Accent 16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1">
    <w:name w:val="Medium Grid 1 - Accent 110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1">
    <w:name w:val="Light Grid - Accent 1110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1">
    <w:name w:val="Light Grid - Accent 510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1">
    <w:name w:val="Light Grid - Accent 1210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1">
    <w:name w:val="Light List - Accent 510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1">
    <w:name w:val="Light List - Accent 1110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1">
    <w:name w:val="Light Grid - Accent 1310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1">
    <w:name w:val="Medium Grid 1 - Accent 310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1">
    <w:name w:val="No List171"/>
    <w:next w:val="NoList"/>
    <w:uiPriority w:val="99"/>
    <w:unhideWhenUsed/>
    <w:rsid w:val="00C9597C"/>
  </w:style>
  <w:style w:type="table" w:customStyle="1" w:styleId="MediumGrid1-Accent1161">
    <w:name w:val="Medium Grid 1 - Accent 116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1">
    <w:name w:val="Light Grid - Accent 111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1">
    <w:name w:val="Light Grid - Accent 516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1">
    <w:name w:val="Light Grid - Accent 121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1">
    <w:name w:val="Light List - Accent 516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1">
    <w:name w:val="Light List - Accent 1116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1">
    <w:name w:val="Light Grid - Accent 131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1">
    <w:name w:val="Medium Grid 1 - Accent 316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1">
    <w:name w:val="Grid Table 4 - Accent 316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1">
    <w:name w:val="No List271"/>
    <w:next w:val="NoList"/>
    <w:uiPriority w:val="99"/>
    <w:unhideWhenUsed/>
    <w:rsid w:val="00C9597C"/>
  </w:style>
  <w:style w:type="table" w:customStyle="1" w:styleId="MediumGrid1-Accent1261">
    <w:name w:val="Medium Grid 1 - Accent 126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1">
    <w:name w:val="Light Grid - Accent 1126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1">
    <w:name w:val="Light Grid - Accent 526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1">
    <w:name w:val="Light Grid - Accent 122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1">
    <w:name w:val="Light List - Accent 526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1">
    <w:name w:val="Light List - Accent 1126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1">
    <w:name w:val="Light Grid - Accent 132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1">
    <w:name w:val="Medium Grid 1 - Accent 326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1">
    <w:name w:val="Grid Table 4 Accent 316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1">
    <w:name w:val="No List371"/>
    <w:next w:val="NoList"/>
    <w:uiPriority w:val="99"/>
    <w:unhideWhenUsed/>
    <w:rsid w:val="00C9597C"/>
  </w:style>
  <w:style w:type="table" w:customStyle="1" w:styleId="MediumGrid1-Accent1361">
    <w:name w:val="Medium Grid 1 - Accent 136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1">
    <w:name w:val="Light Grid - Accent 1136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1">
    <w:name w:val="Light Grid - Accent 536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1">
    <w:name w:val="Light Grid - Accent 123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1">
    <w:name w:val="Light List - Accent 536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1">
    <w:name w:val="Light List - Accent 1136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1">
    <w:name w:val="Light Grid - Accent 133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1">
    <w:name w:val="Medium Grid 1 - Accent 336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1">
    <w:name w:val="Grid Table 4 Accent 326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1">
    <w:name w:val="Table Grid16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unhideWhenUsed/>
    <w:rsid w:val="00C9597C"/>
  </w:style>
  <w:style w:type="table" w:customStyle="1" w:styleId="MediumGrid1-Accent1441">
    <w:name w:val="Medium Grid 1 - Accent 14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1">
    <w:name w:val="Light Grid - Accent 114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1">
    <w:name w:val="Light Grid - Accent 54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1">
    <w:name w:val="Light Grid - Accent 124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1">
    <w:name w:val="Light List - Accent 54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1">
    <w:name w:val="Light List - Accent 114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1">
    <w:name w:val="Light Grid - Accent 134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1">
    <w:name w:val="Medium Grid 1 - Accent 34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1">
    <w:name w:val="Table Grid214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1">
    <w:name w:val="Medium Grid 3 - Accent 114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1">
    <w:name w:val="No List1141"/>
    <w:next w:val="NoList"/>
    <w:uiPriority w:val="99"/>
    <w:unhideWhenUsed/>
    <w:rsid w:val="00C9597C"/>
  </w:style>
  <w:style w:type="table" w:customStyle="1" w:styleId="MediumGrid1-Accent11141">
    <w:name w:val="Medium Grid 1 - Accent 11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1">
    <w:name w:val="Light Grid - Accent 111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1">
    <w:name w:val="Light Grid - Accent 5114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1">
    <w:name w:val="Light Grid - Accent 121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1">
    <w:name w:val="Light List - Accent 5114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1">
    <w:name w:val="Light List - Accent 111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1">
    <w:name w:val="Light Grid - Accent 131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1">
    <w:name w:val="Medium Grid 1 - Accent 311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1">
    <w:name w:val="Grid Table 4 - Accent 31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1">
    <w:name w:val="No List2141"/>
    <w:next w:val="NoList"/>
    <w:uiPriority w:val="99"/>
    <w:unhideWhenUsed/>
    <w:rsid w:val="00C9597C"/>
  </w:style>
  <w:style w:type="table" w:customStyle="1" w:styleId="MediumGrid1-Accent12141">
    <w:name w:val="Medium Grid 1 - Accent 12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1">
    <w:name w:val="Light Grid - Accent 1121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1">
    <w:name w:val="Light Grid - Accent 521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1">
    <w:name w:val="Light Grid - Accent 122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1">
    <w:name w:val="Light List - Accent 521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1">
    <w:name w:val="Light List - Accent 112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1">
    <w:name w:val="Light Grid - Accent 132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1">
    <w:name w:val="Medium Grid 1 - Accent 321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1">
    <w:name w:val="Grid Table 4 Accent 31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1">
    <w:name w:val="No List3141"/>
    <w:next w:val="NoList"/>
    <w:uiPriority w:val="99"/>
    <w:unhideWhenUsed/>
    <w:rsid w:val="00C9597C"/>
  </w:style>
  <w:style w:type="table" w:customStyle="1" w:styleId="MediumGrid1-Accent13141">
    <w:name w:val="Medium Grid 1 - Accent 13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1">
    <w:name w:val="Light Grid - Accent 1131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1">
    <w:name w:val="Light Grid - Accent 531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1">
    <w:name w:val="Light Grid - Accent 123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1">
    <w:name w:val="Light List - Accent 531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1">
    <w:name w:val="Light List - Accent 113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1">
    <w:name w:val="Light Grid - Accent 133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1">
    <w:name w:val="Medium Grid 1 - Accent 331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1">
    <w:name w:val="Grid Table 4 Accent 32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1">
    <w:name w:val="Table Grid114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unhideWhenUsed/>
    <w:rsid w:val="00C9597C"/>
  </w:style>
  <w:style w:type="table" w:customStyle="1" w:styleId="MediumGrid1-Accent1541">
    <w:name w:val="Medium Grid 1 - Accent 15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1">
    <w:name w:val="Light Grid - Accent 115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1">
    <w:name w:val="Light Grid - Accent 55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1">
    <w:name w:val="Light Grid - Accent 125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1">
    <w:name w:val="Light List - Accent 55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1">
    <w:name w:val="Light List - Accent 115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1">
    <w:name w:val="Light Grid - Accent 135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1">
    <w:name w:val="Medium Grid 1 - Accent 35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1">
    <w:name w:val="No List1241"/>
    <w:next w:val="NoList"/>
    <w:uiPriority w:val="99"/>
    <w:unhideWhenUsed/>
    <w:rsid w:val="00C9597C"/>
  </w:style>
  <w:style w:type="numbering" w:customStyle="1" w:styleId="NoList2241">
    <w:name w:val="No List2241"/>
    <w:next w:val="NoList"/>
    <w:uiPriority w:val="99"/>
    <w:unhideWhenUsed/>
    <w:rsid w:val="00C9597C"/>
  </w:style>
  <w:style w:type="numbering" w:customStyle="1" w:styleId="NoList3241">
    <w:name w:val="No List3241"/>
    <w:next w:val="NoList"/>
    <w:uiPriority w:val="99"/>
    <w:unhideWhenUsed/>
    <w:rsid w:val="00C9597C"/>
  </w:style>
  <w:style w:type="numbering" w:customStyle="1" w:styleId="NoList641">
    <w:name w:val="No List641"/>
    <w:next w:val="NoList"/>
    <w:uiPriority w:val="99"/>
    <w:unhideWhenUsed/>
    <w:rsid w:val="00C9597C"/>
  </w:style>
  <w:style w:type="table" w:customStyle="1" w:styleId="MediumGrid1-Accent1641">
    <w:name w:val="Medium Grid 1 - Accent 16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1">
    <w:name w:val="Light Grid - Accent 116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1">
    <w:name w:val="Light Grid - Accent 56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1">
    <w:name w:val="Light Grid - Accent 126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1">
    <w:name w:val="Light List - Accent 56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1">
    <w:name w:val="Light List - Accent 116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1">
    <w:name w:val="Light Grid - Accent 136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1">
    <w:name w:val="Medium Grid 1 - Accent 36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1">
    <w:name w:val="No List1341"/>
    <w:next w:val="NoList"/>
    <w:uiPriority w:val="99"/>
    <w:unhideWhenUsed/>
    <w:rsid w:val="00C9597C"/>
  </w:style>
  <w:style w:type="numbering" w:customStyle="1" w:styleId="NoList2341">
    <w:name w:val="No List2341"/>
    <w:next w:val="NoList"/>
    <w:uiPriority w:val="99"/>
    <w:unhideWhenUsed/>
    <w:rsid w:val="00C9597C"/>
  </w:style>
  <w:style w:type="numbering" w:customStyle="1" w:styleId="NoList3341">
    <w:name w:val="No List3341"/>
    <w:next w:val="NoList"/>
    <w:uiPriority w:val="99"/>
    <w:unhideWhenUsed/>
    <w:rsid w:val="00C9597C"/>
  </w:style>
  <w:style w:type="numbering" w:customStyle="1" w:styleId="NoList181">
    <w:name w:val="No List181"/>
    <w:next w:val="NoList"/>
    <w:uiPriority w:val="99"/>
    <w:unhideWhenUsed/>
    <w:rsid w:val="00C9597C"/>
  </w:style>
  <w:style w:type="table" w:customStyle="1" w:styleId="TableGrid91">
    <w:name w:val="Table Grid9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1">
    <w:name w:val="Medium Grid 3 - Accent 17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1">
    <w:name w:val="Medium Grid 1 - Accent 117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1">
    <w:name w:val="Light Grid - Accent 1117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1">
    <w:name w:val="Light Grid - Accent 517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1">
    <w:name w:val="Light Grid - Accent 1217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1">
    <w:name w:val="Light List - Accent 5171"/>
    <w:basedOn w:val="TableNormal"/>
    <w:next w:val="LightList-Accent5"/>
    <w:uiPriority w:val="61"/>
    <w:locked/>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1">
    <w:name w:val="Light List - Accent 1117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1">
    <w:name w:val="Light Grid - Accent 131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1">
    <w:name w:val="Medium Grid 1 - Accent 317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1">
    <w:name w:val="No List191"/>
    <w:next w:val="NoList"/>
    <w:uiPriority w:val="99"/>
    <w:unhideWhenUsed/>
    <w:rsid w:val="00C9597C"/>
  </w:style>
  <w:style w:type="table" w:customStyle="1" w:styleId="MediumGrid1-Accent1181">
    <w:name w:val="Medium Grid 1 - Accent 118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1">
    <w:name w:val="Light Grid - Accent 1118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1">
    <w:name w:val="Light Grid - Accent 518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1">
    <w:name w:val="Light Grid - Accent 1218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1">
    <w:name w:val="Light List - Accent 518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1">
    <w:name w:val="Light List - Accent 1118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1">
    <w:name w:val="Light Grid - Accent 1318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1">
    <w:name w:val="Medium Grid 1 - Accent 318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1">
    <w:name w:val="Grid Table 4 - Accent 317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1">
    <w:name w:val="No List281"/>
    <w:next w:val="NoList"/>
    <w:uiPriority w:val="99"/>
    <w:unhideWhenUsed/>
    <w:rsid w:val="00C9597C"/>
  </w:style>
  <w:style w:type="table" w:customStyle="1" w:styleId="MediumGrid1-Accent1271">
    <w:name w:val="Medium Grid 1 - Accent 127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1">
    <w:name w:val="Light Grid - Accent 1127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1">
    <w:name w:val="Light Grid - Accent 527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1">
    <w:name w:val="Light Grid - Accent 122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1">
    <w:name w:val="Light List - Accent 527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1">
    <w:name w:val="Light List - Accent 1127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1">
    <w:name w:val="Light Grid - Accent 132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1">
    <w:name w:val="Medium Grid 1 - Accent 327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1">
    <w:name w:val="Grid Table 4 Accent 317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1">
    <w:name w:val="No List381"/>
    <w:next w:val="NoList"/>
    <w:uiPriority w:val="99"/>
    <w:unhideWhenUsed/>
    <w:rsid w:val="00C9597C"/>
  </w:style>
  <w:style w:type="table" w:customStyle="1" w:styleId="MediumGrid1-Accent1371">
    <w:name w:val="Medium Grid 1 - Accent 137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1">
    <w:name w:val="Light Grid - Accent 1137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1">
    <w:name w:val="Light Grid - Accent 537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1">
    <w:name w:val="Light Grid - Accent 123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1">
    <w:name w:val="Light List - Accent 537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1">
    <w:name w:val="Light List - Accent 1137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1">
    <w:name w:val="Light Grid - Accent 133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1">
    <w:name w:val="Medium Grid 1 - Accent 337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1">
    <w:name w:val="Grid Table 4 Accent 327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1">
    <w:name w:val="Table Grid17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unhideWhenUsed/>
    <w:rsid w:val="00C9597C"/>
  </w:style>
  <w:style w:type="table" w:customStyle="1" w:styleId="MediumGrid1-Accent1451">
    <w:name w:val="Medium Grid 1 - Accent 14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1">
    <w:name w:val="Light Grid - Accent 114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1">
    <w:name w:val="Light Grid - Accent 54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1">
    <w:name w:val="Light Grid - Accent 124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1">
    <w:name w:val="Light List - Accent 54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1">
    <w:name w:val="Light List - Accent 114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1">
    <w:name w:val="Light Grid - Accent 134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1">
    <w:name w:val="Medium Grid 1 - Accent 34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1">
    <w:name w:val="Table Grid215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1">
    <w:name w:val="Medium Grid 3 - Accent 115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1">
    <w:name w:val="No List1151"/>
    <w:next w:val="NoList"/>
    <w:uiPriority w:val="99"/>
    <w:unhideWhenUsed/>
    <w:rsid w:val="00C9597C"/>
  </w:style>
  <w:style w:type="table" w:customStyle="1" w:styleId="MediumGrid1-Accent11151">
    <w:name w:val="Medium Grid 1 - Accent 11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1">
    <w:name w:val="Light Grid - Accent 111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1">
    <w:name w:val="Light Grid - Accent 5115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1">
    <w:name w:val="Light Grid - Accent 121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1">
    <w:name w:val="Light List - Accent 5115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1">
    <w:name w:val="Light List - Accent 111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1">
    <w:name w:val="Light Grid - Accent 131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1">
    <w:name w:val="Medium Grid 1 - Accent 311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1">
    <w:name w:val="Grid Table 4 - Accent 31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1">
    <w:name w:val="No List2151"/>
    <w:next w:val="NoList"/>
    <w:uiPriority w:val="99"/>
    <w:unhideWhenUsed/>
    <w:rsid w:val="00C9597C"/>
  </w:style>
  <w:style w:type="table" w:customStyle="1" w:styleId="MediumGrid1-Accent12151">
    <w:name w:val="Medium Grid 1 - Accent 12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1">
    <w:name w:val="Light Grid - Accent 1121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1">
    <w:name w:val="Light Grid - Accent 521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1">
    <w:name w:val="Light Grid - Accent 122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1">
    <w:name w:val="Light List - Accent 521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1">
    <w:name w:val="Light List - Accent 112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1">
    <w:name w:val="Light Grid - Accent 132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1">
    <w:name w:val="Medium Grid 1 - Accent 321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1">
    <w:name w:val="Grid Table 4 Accent 31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1">
    <w:name w:val="No List3151"/>
    <w:next w:val="NoList"/>
    <w:uiPriority w:val="99"/>
    <w:unhideWhenUsed/>
    <w:rsid w:val="00C9597C"/>
  </w:style>
  <w:style w:type="table" w:customStyle="1" w:styleId="MediumGrid1-Accent13151">
    <w:name w:val="Medium Grid 1 - Accent 13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1">
    <w:name w:val="Light Grid - Accent 1131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1">
    <w:name w:val="Light Grid - Accent 531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1">
    <w:name w:val="Light Grid - Accent 123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1">
    <w:name w:val="Light List - Accent 531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1">
    <w:name w:val="Light List - Accent 113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1">
    <w:name w:val="Light Grid - Accent 133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1">
    <w:name w:val="Medium Grid 1 - Accent 331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1">
    <w:name w:val="Grid Table 4 Accent 32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1">
    <w:name w:val="Table Grid115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unhideWhenUsed/>
    <w:rsid w:val="00C9597C"/>
  </w:style>
  <w:style w:type="table" w:customStyle="1" w:styleId="MediumGrid1-Accent1551">
    <w:name w:val="Medium Grid 1 - Accent 15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1">
    <w:name w:val="Light Grid - Accent 115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1">
    <w:name w:val="Light Grid - Accent 55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1">
    <w:name w:val="Light Grid - Accent 125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1">
    <w:name w:val="Light List - Accent 55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1">
    <w:name w:val="Light List - Accent 115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1">
    <w:name w:val="Light Grid - Accent 135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1">
    <w:name w:val="Medium Grid 1 - Accent 35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1">
    <w:name w:val="No List1251"/>
    <w:next w:val="NoList"/>
    <w:uiPriority w:val="99"/>
    <w:unhideWhenUsed/>
    <w:rsid w:val="00C9597C"/>
  </w:style>
  <w:style w:type="numbering" w:customStyle="1" w:styleId="NoList2251">
    <w:name w:val="No List2251"/>
    <w:next w:val="NoList"/>
    <w:uiPriority w:val="99"/>
    <w:unhideWhenUsed/>
    <w:rsid w:val="00C9597C"/>
  </w:style>
  <w:style w:type="numbering" w:customStyle="1" w:styleId="NoList3251">
    <w:name w:val="No List3251"/>
    <w:next w:val="NoList"/>
    <w:uiPriority w:val="99"/>
    <w:unhideWhenUsed/>
    <w:rsid w:val="00C9597C"/>
  </w:style>
  <w:style w:type="numbering" w:customStyle="1" w:styleId="NoList651">
    <w:name w:val="No List651"/>
    <w:next w:val="NoList"/>
    <w:uiPriority w:val="99"/>
    <w:unhideWhenUsed/>
    <w:rsid w:val="00C9597C"/>
  </w:style>
  <w:style w:type="table" w:customStyle="1" w:styleId="MediumGrid1-Accent1651">
    <w:name w:val="Medium Grid 1 - Accent 16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1">
    <w:name w:val="Light Grid - Accent 116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1">
    <w:name w:val="Light Grid - Accent 56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1">
    <w:name w:val="Light Grid - Accent 126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1">
    <w:name w:val="Light List - Accent 56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1">
    <w:name w:val="Light List - Accent 116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1">
    <w:name w:val="Light Grid - Accent 136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1">
    <w:name w:val="Medium Grid 1 - Accent 36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1">
    <w:name w:val="No List1351"/>
    <w:next w:val="NoList"/>
    <w:uiPriority w:val="99"/>
    <w:unhideWhenUsed/>
    <w:rsid w:val="00C9597C"/>
  </w:style>
  <w:style w:type="numbering" w:customStyle="1" w:styleId="NoList2351">
    <w:name w:val="No List2351"/>
    <w:next w:val="NoList"/>
    <w:uiPriority w:val="99"/>
    <w:unhideWhenUsed/>
    <w:rsid w:val="00C9597C"/>
  </w:style>
  <w:style w:type="numbering" w:customStyle="1" w:styleId="NoList3351">
    <w:name w:val="No List3351"/>
    <w:next w:val="NoList"/>
    <w:uiPriority w:val="99"/>
    <w:unhideWhenUsed/>
    <w:rsid w:val="00C9597C"/>
  </w:style>
  <w:style w:type="table" w:styleId="GridTable4-Accent5">
    <w:name w:val="Grid Table 4 Accent 5"/>
    <w:basedOn w:val="TableNormal"/>
    <w:uiPriority w:val="49"/>
    <w:rsid w:val="00B25DA6"/>
    <w:rPr>
      <w:rFonts w:asciiTheme="minorHAnsi" w:hAnsiTheme="minorHAnsi" w:cstheme="minorBidi"/>
      <w:sz w:val="22"/>
      <w:szCs w:val="22"/>
      <w:lang w:val="en-IN"/>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NoList30">
    <w:name w:val="No List30"/>
    <w:next w:val="NoList"/>
    <w:uiPriority w:val="99"/>
    <w:unhideWhenUsed/>
    <w:rsid w:val="00C64FC7"/>
  </w:style>
  <w:style w:type="table" w:customStyle="1" w:styleId="TableGrid19">
    <w:name w:val="Table Grid19"/>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9">
    <w:name w:val="Medium Grid 3 - Accent 19"/>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20">
    <w:name w:val="Medium Grid 1 - Accent 120"/>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20">
    <w:name w:val="Light Grid - Accent 1120"/>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20">
    <w:name w:val="Light Grid - Accent 520"/>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20">
    <w:name w:val="Light Grid - Accent 1220"/>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20">
    <w:name w:val="Light List - Accent 520"/>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0">
    <w:name w:val="Light List - Accent 1120"/>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20">
    <w:name w:val="Light Grid - Accent 132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20">
    <w:name w:val="Medium Grid 1 - Accent 32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7">
    <w:name w:val="No List117"/>
    <w:next w:val="NoList"/>
    <w:uiPriority w:val="99"/>
    <w:unhideWhenUsed/>
    <w:rsid w:val="00C64FC7"/>
  </w:style>
  <w:style w:type="table" w:customStyle="1" w:styleId="MediumGrid1-Accent1117">
    <w:name w:val="Medium Grid 1 - Accent 111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7">
    <w:name w:val="Light Grid - Accent 111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7">
    <w:name w:val="Light Grid - Accent 5117"/>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7">
    <w:name w:val="Light Grid - Accent 121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7">
    <w:name w:val="Light List - Accent 5117"/>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7">
    <w:name w:val="Light List - Accent 1111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7">
    <w:name w:val="Light Grid - Accent 131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7">
    <w:name w:val="Medium Grid 1 - Accent 311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9">
    <w:name w:val="Grid Table 4 - Accent 319"/>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0">
    <w:name w:val="No List210"/>
    <w:next w:val="NoList"/>
    <w:uiPriority w:val="99"/>
    <w:unhideWhenUsed/>
    <w:rsid w:val="00C64FC7"/>
  </w:style>
  <w:style w:type="table" w:customStyle="1" w:styleId="MediumGrid1-Accent129">
    <w:name w:val="Medium Grid 1 - Accent 129"/>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9">
    <w:name w:val="Light Grid - Accent 1129"/>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9">
    <w:name w:val="Light Grid - Accent 529"/>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9">
    <w:name w:val="Light Grid - Accent 122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9">
    <w:name w:val="Light List - Accent 529"/>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9">
    <w:name w:val="Light List - Accent 1129"/>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9">
    <w:name w:val="Light Grid - Accent 132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9">
    <w:name w:val="Medium Grid 1 - Accent 329"/>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9">
    <w:name w:val="Grid Table 4 Accent 319"/>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0">
    <w:name w:val="No List310"/>
    <w:next w:val="NoList"/>
    <w:uiPriority w:val="99"/>
    <w:unhideWhenUsed/>
    <w:rsid w:val="00C64FC7"/>
  </w:style>
  <w:style w:type="table" w:customStyle="1" w:styleId="MediumGrid1-Accent139">
    <w:name w:val="Medium Grid 1 - Accent 139"/>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9">
    <w:name w:val="Light Grid - Accent 1139"/>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9">
    <w:name w:val="Light Grid - Accent 539"/>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9">
    <w:name w:val="Light Grid - Accent 123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9">
    <w:name w:val="Light List - Accent 539"/>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9">
    <w:name w:val="Light List - Accent 1139"/>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9">
    <w:name w:val="Light Grid - Accent 133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9">
    <w:name w:val="Medium Grid 1 - Accent 339"/>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9">
    <w:name w:val="Grid Table 4 Accent 329"/>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0">
    <w:name w:val="Table Grid110"/>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unhideWhenUsed/>
    <w:rsid w:val="00C64FC7"/>
  </w:style>
  <w:style w:type="table" w:customStyle="1" w:styleId="MediumGrid1-Accent147">
    <w:name w:val="Medium Grid 1 - Accent 14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7">
    <w:name w:val="Light Grid - Accent 1147"/>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7">
    <w:name w:val="Light Grid - Accent 547"/>
    <w:basedOn w:val="TableNormal"/>
    <w:next w:val="LightGrid-Accent5"/>
    <w:uiPriority w:val="62"/>
    <w:qFormat/>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7">
    <w:name w:val="Light Grid - Accent 124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7">
    <w:name w:val="Light List - Accent 54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7">
    <w:name w:val="Light List - Accent 114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7">
    <w:name w:val="Light Grid - Accent 134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7">
    <w:name w:val="Medium Grid 1 - Accent 34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2">
    <w:name w:val="Table Grid3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7">
    <w:name w:val="Medium Grid 3 - Accent 117"/>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8">
    <w:name w:val="No List118"/>
    <w:next w:val="NoList"/>
    <w:uiPriority w:val="99"/>
    <w:unhideWhenUsed/>
    <w:rsid w:val="00C64FC7"/>
  </w:style>
  <w:style w:type="table" w:customStyle="1" w:styleId="MediumGrid1-Accent1118">
    <w:name w:val="Medium Grid 1 - Accent 111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8">
    <w:name w:val="Light Grid - Accent 111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8">
    <w:name w:val="Light Grid - Accent 5118"/>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8">
    <w:name w:val="Light Grid - Accent 121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8">
    <w:name w:val="Light List - Accent 5118"/>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8">
    <w:name w:val="Light List - Accent 1111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8">
    <w:name w:val="Light Grid - Accent 131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8">
    <w:name w:val="Medium Grid 1 - Accent 311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7">
    <w:name w:val="Grid Table 4 - Accent 3117"/>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7">
    <w:name w:val="No List217"/>
    <w:next w:val="NoList"/>
    <w:uiPriority w:val="99"/>
    <w:unhideWhenUsed/>
    <w:rsid w:val="00C64FC7"/>
  </w:style>
  <w:style w:type="table" w:customStyle="1" w:styleId="MediumGrid1-Accent1217">
    <w:name w:val="Medium Grid 1 - Accent 121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7">
    <w:name w:val="Light Grid - Accent 11217"/>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7">
    <w:name w:val="Light Grid - Accent 5217"/>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7">
    <w:name w:val="Light Grid - Accent 122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7">
    <w:name w:val="Light List - Accent 521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7">
    <w:name w:val="Light List - Accent 1121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7">
    <w:name w:val="Light Grid - Accent 132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7">
    <w:name w:val="Medium Grid 1 - Accent 321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7">
    <w:name w:val="Grid Table 4 Accent 3117"/>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7">
    <w:name w:val="No List317"/>
    <w:next w:val="NoList"/>
    <w:uiPriority w:val="99"/>
    <w:unhideWhenUsed/>
    <w:rsid w:val="00C64FC7"/>
  </w:style>
  <w:style w:type="table" w:customStyle="1" w:styleId="MediumGrid1-Accent1317">
    <w:name w:val="Medium Grid 1 - Accent 131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7">
    <w:name w:val="Light Grid - Accent 11317"/>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7">
    <w:name w:val="Light Grid - Accent 5317"/>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7">
    <w:name w:val="Light Grid - Accent 123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7">
    <w:name w:val="Light List - Accent 531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7">
    <w:name w:val="Light List - Accent 1131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7">
    <w:name w:val="Light Grid - Accent 133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7">
    <w:name w:val="Medium Grid 1 - Accent 331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7">
    <w:name w:val="Grid Table 4 Accent 3217"/>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7">
    <w:name w:val="Table Grid117"/>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unhideWhenUsed/>
    <w:rsid w:val="00C64FC7"/>
  </w:style>
  <w:style w:type="table" w:customStyle="1" w:styleId="TableGrid42">
    <w:name w:val="Table Grid42"/>
    <w:basedOn w:val="TableNormal"/>
    <w:next w:val="TableGrid"/>
    <w:uiPriority w:val="5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2">
    <w:name w:val="Medium Grid 3 - Accent 12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7">
    <w:name w:val="Medium Grid 1 - Accent 157"/>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7">
    <w:name w:val="Light Grid - Accent 1157"/>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7">
    <w:name w:val="Light Grid - Accent 557"/>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7">
    <w:name w:val="Light Grid - Accent 1257"/>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7">
    <w:name w:val="Light List - Accent 557"/>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7">
    <w:name w:val="Light List - Accent 1157"/>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7">
    <w:name w:val="Light Grid - Accent 135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7">
    <w:name w:val="Medium Grid 1 - Accent 35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7">
    <w:name w:val="No List127"/>
    <w:next w:val="NoList"/>
    <w:uiPriority w:val="99"/>
    <w:unhideWhenUsed/>
    <w:rsid w:val="00C64FC7"/>
  </w:style>
  <w:style w:type="table" w:customStyle="1" w:styleId="MediumGrid1-Accent1122">
    <w:name w:val="Medium Grid 1 - Accent 11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2">
    <w:name w:val="Light Grid - Accent 11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2">
    <w:name w:val="Light Grid - Accent 512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2">
    <w:name w:val="Light Grid - Accent 12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2">
    <w:name w:val="Light List - Accent 512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2">
    <w:name w:val="Light List - Accent 111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2">
    <w:name w:val="Light Grid - Accent 13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2">
    <w:name w:val="Medium Grid 1 - Accent 31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2">
    <w:name w:val="Grid Table 4 - Accent 3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7">
    <w:name w:val="No List227"/>
    <w:next w:val="NoList"/>
    <w:uiPriority w:val="99"/>
    <w:unhideWhenUsed/>
    <w:rsid w:val="00C64FC7"/>
  </w:style>
  <w:style w:type="table" w:customStyle="1" w:styleId="MediumGrid1-Accent1222">
    <w:name w:val="Medium Grid 1 - Accent 12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2">
    <w:name w:val="Light Grid - Accent 112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2">
    <w:name w:val="Light Grid - Accent 52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2">
    <w:name w:val="Light Grid - Accent 122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2">
    <w:name w:val="Light List - Accent 52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2">
    <w:name w:val="Light List - Accent 112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2">
    <w:name w:val="Light Grid - Accent 132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2">
    <w:name w:val="Medium Grid 1 - Accent 32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2">
    <w:name w:val="Grid Table 4 Accent 3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7">
    <w:name w:val="No List327"/>
    <w:next w:val="NoList"/>
    <w:uiPriority w:val="99"/>
    <w:unhideWhenUsed/>
    <w:rsid w:val="00C64FC7"/>
  </w:style>
  <w:style w:type="table" w:customStyle="1" w:styleId="MediumGrid1-Accent1322">
    <w:name w:val="Medium Grid 1 - Accent 13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2">
    <w:name w:val="Light Grid - Accent 113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2">
    <w:name w:val="Light Grid - Accent 53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2">
    <w:name w:val="Light Grid - Accent 123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2">
    <w:name w:val="Light List - Accent 53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2">
    <w:name w:val="Light List - Accent 113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2">
    <w:name w:val="Light Grid - Accent 133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2">
    <w:name w:val="Medium Grid 1 - Accent 33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2">
    <w:name w:val="Grid Table 4 Accent 32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2">
    <w:name w:val="Table Grid12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3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unhideWhenUsed/>
    <w:rsid w:val="00C64FC7"/>
  </w:style>
  <w:style w:type="table" w:customStyle="1" w:styleId="MediumGrid1-Accent167">
    <w:name w:val="Medium Grid 1 - Accent 16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7">
    <w:name w:val="Light Grid - Accent 1167"/>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7">
    <w:name w:val="Light Grid - Accent 567"/>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7">
    <w:name w:val="Light Grid - Accent 126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7">
    <w:name w:val="Light List - Accent 56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7">
    <w:name w:val="Light List - Accent 116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7">
    <w:name w:val="Light Grid - Accent 136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7">
    <w:name w:val="Medium Grid 1 - Accent 36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7">
    <w:name w:val="No List137"/>
    <w:next w:val="NoList"/>
    <w:uiPriority w:val="99"/>
    <w:unhideWhenUsed/>
    <w:rsid w:val="00C64FC7"/>
  </w:style>
  <w:style w:type="numbering" w:customStyle="1" w:styleId="NoList237">
    <w:name w:val="No List237"/>
    <w:next w:val="NoList"/>
    <w:uiPriority w:val="99"/>
    <w:unhideWhenUsed/>
    <w:rsid w:val="00C64FC7"/>
  </w:style>
  <w:style w:type="numbering" w:customStyle="1" w:styleId="NoList337">
    <w:name w:val="No List337"/>
    <w:next w:val="NoList"/>
    <w:uiPriority w:val="99"/>
    <w:unhideWhenUsed/>
    <w:rsid w:val="00C64FC7"/>
  </w:style>
  <w:style w:type="numbering" w:customStyle="1" w:styleId="NoList72">
    <w:name w:val="No List72"/>
    <w:next w:val="NoList"/>
    <w:uiPriority w:val="99"/>
    <w:unhideWhenUsed/>
    <w:rsid w:val="00C64FC7"/>
  </w:style>
  <w:style w:type="table" w:customStyle="1" w:styleId="TableGrid52">
    <w:name w:val="Table Grid5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2">
    <w:name w:val="Medium Grid 3 - Accent 13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2">
    <w:name w:val="Medium Grid 1 - Accent 17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2">
    <w:name w:val="Light Grid - Accent 117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2">
    <w:name w:val="Light Grid - Accent 57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2">
    <w:name w:val="Light Grid - Accent 127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2">
    <w:name w:val="Light List - Accent 57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2">
    <w:name w:val="Light List - Accent 117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2">
    <w:name w:val="Light Grid - Accent 13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2">
    <w:name w:val="Medium Grid 1 - Accent 37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2">
    <w:name w:val="No List142"/>
    <w:next w:val="NoList"/>
    <w:uiPriority w:val="99"/>
    <w:unhideWhenUsed/>
    <w:rsid w:val="00C64FC7"/>
  </w:style>
  <w:style w:type="table" w:customStyle="1" w:styleId="MediumGrid1-Accent1132">
    <w:name w:val="Medium Grid 1 - Accent 11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2">
    <w:name w:val="Light Grid - Accent 11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2">
    <w:name w:val="Light Grid - Accent 513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2">
    <w:name w:val="Light Grid - Accent 12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2">
    <w:name w:val="Light List - Accent 513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2">
    <w:name w:val="Light List - Accent 111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2">
    <w:name w:val="Light Grid - Accent 13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2">
    <w:name w:val="Medium Grid 1 - Accent 31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2">
    <w:name w:val="Grid Table 4 - Accent 3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2">
    <w:name w:val="No List242"/>
    <w:next w:val="NoList"/>
    <w:uiPriority w:val="99"/>
    <w:unhideWhenUsed/>
    <w:rsid w:val="00C64FC7"/>
  </w:style>
  <w:style w:type="table" w:customStyle="1" w:styleId="MediumGrid1-Accent1232">
    <w:name w:val="Medium Grid 1 - Accent 12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2">
    <w:name w:val="Light Grid - Accent 112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2">
    <w:name w:val="Light Grid - Accent 52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2">
    <w:name w:val="Light Grid - Accent 122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2">
    <w:name w:val="Light List - Accent 52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2">
    <w:name w:val="Light List - Accent 112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2">
    <w:name w:val="Light Grid - Accent 132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2">
    <w:name w:val="Medium Grid 1 - Accent 32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2">
    <w:name w:val="Grid Table 4 Accent 3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2">
    <w:name w:val="No List342"/>
    <w:next w:val="NoList"/>
    <w:uiPriority w:val="99"/>
    <w:unhideWhenUsed/>
    <w:rsid w:val="00C64FC7"/>
  </w:style>
  <w:style w:type="table" w:customStyle="1" w:styleId="MediumGrid1-Accent1332">
    <w:name w:val="Medium Grid 1 - Accent 13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2">
    <w:name w:val="Light Grid - Accent 113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2">
    <w:name w:val="Light Grid - Accent 53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2">
    <w:name w:val="Light Grid - Accent 123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2">
    <w:name w:val="Light List - Accent 53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2">
    <w:name w:val="Light List - Accent 113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2">
    <w:name w:val="Light Grid - Accent 133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2">
    <w:name w:val="Medium Grid 1 - Accent 33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2">
    <w:name w:val="Grid Table 4 Accent 32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2">
    <w:name w:val="Table Grid13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unhideWhenUsed/>
    <w:rsid w:val="00C64FC7"/>
  </w:style>
  <w:style w:type="table" w:customStyle="1" w:styleId="MediumGrid1-Accent1412">
    <w:name w:val="Medium Grid 1 - Accent 1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2">
    <w:name w:val="Light Grid - Accent 11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2">
    <w:name w:val="Light Grid - Accent 5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2">
    <w:name w:val="Light Grid - Accent 12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2">
    <w:name w:val="Light List - Accent 5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2">
    <w:name w:val="Light List - Accent 11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2">
    <w:name w:val="Light Grid - Accent 13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2">
    <w:name w:val="Medium Grid 1 - Accent 3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2">
    <w:name w:val="Table Grid21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2">
    <w:name w:val="Medium Grid 3 - Accent 11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2">
    <w:name w:val="No List1112"/>
    <w:next w:val="NoList"/>
    <w:uiPriority w:val="99"/>
    <w:unhideWhenUsed/>
    <w:rsid w:val="00C64FC7"/>
  </w:style>
  <w:style w:type="table" w:customStyle="1" w:styleId="MediumGrid1-Accent11112">
    <w:name w:val="Medium Grid 1 - Accent 11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2">
    <w:name w:val="Light Grid - Accent 11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2">
    <w:name w:val="Light Grid - Accent 511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2">
    <w:name w:val="Light Grid - Accent 12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2">
    <w:name w:val="Light List - Accent 511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2">
    <w:name w:val="Light List - Accent 111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2">
    <w:name w:val="Light Grid - Accent 13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2">
    <w:name w:val="Medium Grid 1 - Accent 31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2">
    <w:name w:val="Grid Table 4 - Accent 3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2">
    <w:name w:val="No List2112"/>
    <w:next w:val="NoList"/>
    <w:uiPriority w:val="99"/>
    <w:unhideWhenUsed/>
    <w:rsid w:val="00C64FC7"/>
  </w:style>
  <w:style w:type="table" w:customStyle="1" w:styleId="MediumGrid1-Accent12112">
    <w:name w:val="Medium Grid 1 - Accent 12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2">
    <w:name w:val="Light Grid - Accent 112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2">
    <w:name w:val="Light Grid - Accent 52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2">
    <w:name w:val="Light Grid - Accent 122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2">
    <w:name w:val="Light List - Accent 52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2">
    <w:name w:val="Light List - Accent 112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2">
    <w:name w:val="Light Grid - Accent 132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2">
    <w:name w:val="Medium Grid 1 - Accent 32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2">
    <w:name w:val="Grid Table 4 Accent 3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2">
    <w:name w:val="No List3112"/>
    <w:next w:val="NoList"/>
    <w:uiPriority w:val="99"/>
    <w:unhideWhenUsed/>
    <w:rsid w:val="00C64FC7"/>
  </w:style>
  <w:style w:type="table" w:customStyle="1" w:styleId="MediumGrid1-Accent13112">
    <w:name w:val="Medium Grid 1 - Accent 13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2">
    <w:name w:val="Light Grid - Accent 113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2">
    <w:name w:val="Light Grid - Accent 53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2">
    <w:name w:val="Light Grid - Accent 123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2">
    <w:name w:val="Light List - Accent 53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2">
    <w:name w:val="Light List - Accent 113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2">
    <w:name w:val="Light Grid - Accent 133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2">
    <w:name w:val="Medium Grid 1 - Accent 33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2">
    <w:name w:val="Grid Table 4 Accent 32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2">
    <w:name w:val="Table Grid11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unhideWhenUsed/>
    <w:rsid w:val="00C64FC7"/>
  </w:style>
  <w:style w:type="table" w:customStyle="1" w:styleId="MediumGrid1-Accent1512">
    <w:name w:val="Medium Grid 1 - Accent 15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2">
    <w:name w:val="Light Grid - Accent 115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2">
    <w:name w:val="Light Grid - Accent 55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2">
    <w:name w:val="Light Grid - Accent 12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2">
    <w:name w:val="Light List - Accent 55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2">
    <w:name w:val="Light List - Accent 115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2">
    <w:name w:val="Light Grid - Accent 13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2">
    <w:name w:val="Medium Grid 1 - Accent 35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2">
    <w:name w:val="No List1212"/>
    <w:next w:val="NoList"/>
    <w:uiPriority w:val="99"/>
    <w:unhideWhenUsed/>
    <w:rsid w:val="00C64FC7"/>
  </w:style>
  <w:style w:type="numbering" w:customStyle="1" w:styleId="NoList2212">
    <w:name w:val="No List2212"/>
    <w:next w:val="NoList"/>
    <w:uiPriority w:val="99"/>
    <w:unhideWhenUsed/>
    <w:rsid w:val="00C64FC7"/>
  </w:style>
  <w:style w:type="numbering" w:customStyle="1" w:styleId="NoList3212">
    <w:name w:val="No List3212"/>
    <w:next w:val="NoList"/>
    <w:uiPriority w:val="99"/>
    <w:unhideWhenUsed/>
    <w:rsid w:val="00C64FC7"/>
  </w:style>
  <w:style w:type="numbering" w:customStyle="1" w:styleId="NoList612">
    <w:name w:val="No List612"/>
    <w:next w:val="NoList"/>
    <w:uiPriority w:val="99"/>
    <w:unhideWhenUsed/>
    <w:rsid w:val="00C64FC7"/>
  </w:style>
  <w:style w:type="table" w:customStyle="1" w:styleId="MediumGrid1-Accent1612">
    <w:name w:val="Medium Grid 1 - Accent 16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2">
    <w:name w:val="Light Grid - Accent 116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2">
    <w:name w:val="Light Grid - Accent 56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2">
    <w:name w:val="Light Grid - Accent 12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2">
    <w:name w:val="Light List - Accent 56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2">
    <w:name w:val="Light List - Accent 116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2">
    <w:name w:val="Light Grid - Accent 13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2">
    <w:name w:val="Medium Grid 1 - Accent 36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2">
    <w:name w:val="No List1312"/>
    <w:next w:val="NoList"/>
    <w:uiPriority w:val="99"/>
    <w:unhideWhenUsed/>
    <w:rsid w:val="00C64FC7"/>
  </w:style>
  <w:style w:type="numbering" w:customStyle="1" w:styleId="NoList2312">
    <w:name w:val="No List2312"/>
    <w:next w:val="NoList"/>
    <w:uiPriority w:val="99"/>
    <w:unhideWhenUsed/>
    <w:rsid w:val="00C64FC7"/>
  </w:style>
  <w:style w:type="numbering" w:customStyle="1" w:styleId="NoList3312">
    <w:name w:val="No List3312"/>
    <w:next w:val="NoList"/>
    <w:uiPriority w:val="99"/>
    <w:unhideWhenUsed/>
    <w:rsid w:val="00C64FC7"/>
  </w:style>
  <w:style w:type="numbering" w:customStyle="1" w:styleId="NoList82">
    <w:name w:val="No List82"/>
    <w:next w:val="NoList"/>
    <w:uiPriority w:val="99"/>
    <w:unhideWhenUsed/>
    <w:rsid w:val="00C64FC7"/>
  </w:style>
  <w:style w:type="table" w:customStyle="1" w:styleId="TableGrid62">
    <w:name w:val="Table Grid6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2">
    <w:name w:val="Medium Grid 3 - Accent 14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2">
    <w:name w:val="Medium Grid 1 - Accent 18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2">
    <w:name w:val="Light Grid - Accent 118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2">
    <w:name w:val="Light Grid - Accent 58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2">
    <w:name w:val="Light Grid - Accent 128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2">
    <w:name w:val="Light List - Accent 58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2">
    <w:name w:val="Light List - Accent 118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2">
    <w:name w:val="Light Grid - Accent 13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2">
    <w:name w:val="Medium Grid 1 - Accent 38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2">
    <w:name w:val="No List152"/>
    <w:next w:val="NoList"/>
    <w:uiPriority w:val="99"/>
    <w:unhideWhenUsed/>
    <w:rsid w:val="00C64FC7"/>
  </w:style>
  <w:style w:type="table" w:customStyle="1" w:styleId="MediumGrid1-Accent1142">
    <w:name w:val="Medium Grid 1 - Accent 11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2">
    <w:name w:val="Light Grid - Accent 11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2">
    <w:name w:val="Light Grid - Accent 514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2">
    <w:name w:val="Light Grid - Accent 12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2">
    <w:name w:val="Light List - Accent 514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2">
    <w:name w:val="Light List - Accent 111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2">
    <w:name w:val="Light Grid - Accent 13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2">
    <w:name w:val="Medium Grid 1 - Accent 31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2">
    <w:name w:val="Grid Table 4 - Accent 3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2">
    <w:name w:val="No List252"/>
    <w:next w:val="NoList"/>
    <w:uiPriority w:val="99"/>
    <w:unhideWhenUsed/>
    <w:rsid w:val="00C64FC7"/>
  </w:style>
  <w:style w:type="table" w:customStyle="1" w:styleId="MediumGrid1-Accent1242">
    <w:name w:val="Medium Grid 1 - Accent 12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2">
    <w:name w:val="Light Grid - Accent 112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2">
    <w:name w:val="Light Grid - Accent 52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2">
    <w:name w:val="Light Grid - Accent 122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2">
    <w:name w:val="Light List - Accent 52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2">
    <w:name w:val="Light List - Accent 112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2">
    <w:name w:val="Light Grid - Accent 132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2">
    <w:name w:val="Medium Grid 1 - Accent 32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2">
    <w:name w:val="Grid Table 4 Accent 3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2">
    <w:name w:val="No List352"/>
    <w:next w:val="NoList"/>
    <w:uiPriority w:val="99"/>
    <w:unhideWhenUsed/>
    <w:rsid w:val="00C64FC7"/>
  </w:style>
  <w:style w:type="table" w:customStyle="1" w:styleId="MediumGrid1-Accent1342">
    <w:name w:val="Medium Grid 1 - Accent 13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2">
    <w:name w:val="Light Grid - Accent 113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2">
    <w:name w:val="Light Grid - Accent 53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2">
    <w:name w:val="Light Grid - Accent 123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2">
    <w:name w:val="Light List - Accent 53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2">
    <w:name w:val="Light List - Accent 113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2">
    <w:name w:val="Light Grid - Accent 133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2">
    <w:name w:val="Medium Grid 1 - Accent 33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2">
    <w:name w:val="Grid Table 4 Accent 32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2">
    <w:name w:val="Table Grid14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unhideWhenUsed/>
    <w:rsid w:val="00C64FC7"/>
  </w:style>
  <w:style w:type="table" w:customStyle="1" w:styleId="MediumGrid1-Accent1422">
    <w:name w:val="Medium Grid 1 - Accent 14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2">
    <w:name w:val="Light Grid - Accent 114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2">
    <w:name w:val="Light Grid - Accent 5422"/>
    <w:basedOn w:val="TableNormal"/>
    <w:next w:val="LightGrid-Accent5"/>
    <w:uiPriority w:val="62"/>
    <w:qFormat/>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2">
    <w:name w:val="Light Grid - Accent 124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2">
    <w:name w:val="Light List - Accent 54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2">
    <w:name w:val="Light List - Accent 114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2">
    <w:name w:val="Light Grid - Accent 134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2">
    <w:name w:val="Medium Grid 1 - Accent 34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2">
    <w:name w:val="Table Grid212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2">
    <w:name w:val="Medium Grid 3 - Accent 112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2">
    <w:name w:val="No List1122"/>
    <w:next w:val="NoList"/>
    <w:uiPriority w:val="99"/>
    <w:unhideWhenUsed/>
    <w:rsid w:val="00C64FC7"/>
  </w:style>
  <w:style w:type="table" w:customStyle="1" w:styleId="MediumGrid1-Accent11122">
    <w:name w:val="Medium Grid 1 - Accent 111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2">
    <w:name w:val="Light Grid - Accent 111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2">
    <w:name w:val="Light Grid - Accent 5112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2">
    <w:name w:val="Light Grid - Accent 121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2">
    <w:name w:val="Light List - Accent 5112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2">
    <w:name w:val="Light List - Accent 1111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2">
    <w:name w:val="Light Grid - Accent 131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2">
    <w:name w:val="Medium Grid 1 - Accent 311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2">
    <w:name w:val="Grid Table 4 - Accent 31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2">
    <w:name w:val="No List2122"/>
    <w:next w:val="NoList"/>
    <w:uiPriority w:val="99"/>
    <w:unhideWhenUsed/>
    <w:rsid w:val="00C64FC7"/>
  </w:style>
  <w:style w:type="table" w:customStyle="1" w:styleId="MediumGrid1-Accent12122">
    <w:name w:val="Medium Grid 1 - Accent 121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2">
    <w:name w:val="Light Grid - Accent 1121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2">
    <w:name w:val="Light Grid - Accent 521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2">
    <w:name w:val="Light Grid - Accent 122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2">
    <w:name w:val="Light List - Accent 521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2">
    <w:name w:val="Light List - Accent 1121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2">
    <w:name w:val="Light Grid - Accent 132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2">
    <w:name w:val="Medium Grid 1 - Accent 321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2">
    <w:name w:val="Grid Table 4 Accent 31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2">
    <w:name w:val="No List3122"/>
    <w:next w:val="NoList"/>
    <w:uiPriority w:val="99"/>
    <w:unhideWhenUsed/>
    <w:rsid w:val="00C64FC7"/>
  </w:style>
  <w:style w:type="table" w:customStyle="1" w:styleId="MediumGrid1-Accent13122">
    <w:name w:val="Medium Grid 1 - Accent 131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2">
    <w:name w:val="Light Grid - Accent 1131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2">
    <w:name w:val="Light Grid - Accent 531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2">
    <w:name w:val="Light Grid - Accent 123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2">
    <w:name w:val="Light List - Accent 531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2">
    <w:name w:val="Light List - Accent 1131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2">
    <w:name w:val="Light Grid - Accent 133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2">
    <w:name w:val="Medium Grid 1 - Accent 331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2">
    <w:name w:val="Grid Table 4 Accent 32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2">
    <w:name w:val="Table Grid112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unhideWhenUsed/>
    <w:rsid w:val="00C64FC7"/>
  </w:style>
  <w:style w:type="table" w:customStyle="1" w:styleId="MediumGrid1-Accent1522">
    <w:name w:val="Medium Grid 1 - Accent 15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2">
    <w:name w:val="Light Grid - Accent 115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2">
    <w:name w:val="Light Grid - Accent 55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2">
    <w:name w:val="Light Grid - Accent 125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2">
    <w:name w:val="Light List - Accent 55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2">
    <w:name w:val="Light List - Accent 115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2">
    <w:name w:val="Light Grid - Accent 135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2">
    <w:name w:val="Medium Grid 1 - Accent 35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2">
    <w:name w:val="No List1222"/>
    <w:next w:val="NoList"/>
    <w:uiPriority w:val="99"/>
    <w:unhideWhenUsed/>
    <w:rsid w:val="00C64FC7"/>
  </w:style>
  <w:style w:type="numbering" w:customStyle="1" w:styleId="NoList2222">
    <w:name w:val="No List2222"/>
    <w:next w:val="NoList"/>
    <w:uiPriority w:val="99"/>
    <w:unhideWhenUsed/>
    <w:rsid w:val="00C64FC7"/>
  </w:style>
  <w:style w:type="numbering" w:customStyle="1" w:styleId="NoList3222">
    <w:name w:val="No List3222"/>
    <w:next w:val="NoList"/>
    <w:uiPriority w:val="99"/>
    <w:unhideWhenUsed/>
    <w:rsid w:val="00C64FC7"/>
  </w:style>
  <w:style w:type="numbering" w:customStyle="1" w:styleId="NoList622">
    <w:name w:val="No List622"/>
    <w:next w:val="NoList"/>
    <w:uiPriority w:val="99"/>
    <w:unhideWhenUsed/>
    <w:rsid w:val="00C64FC7"/>
  </w:style>
  <w:style w:type="table" w:customStyle="1" w:styleId="MediumGrid1-Accent1622">
    <w:name w:val="Medium Grid 1 - Accent 16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2">
    <w:name w:val="Light Grid - Accent 116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2">
    <w:name w:val="Light Grid - Accent 56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2">
    <w:name w:val="Light Grid - Accent 126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2">
    <w:name w:val="Light List - Accent 56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2">
    <w:name w:val="Light List - Accent 116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2">
    <w:name w:val="Light Grid - Accent 136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2">
    <w:name w:val="Medium Grid 1 - Accent 36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2">
    <w:name w:val="No List1322"/>
    <w:next w:val="NoList"/>
    <w:uiPriority w:val="99"/>
    <w:unhideWhenUsed/>
    <w:rsid w:val="00C64FC7"/>
  </w:style>
  <w:style w:type="numbering" w:customStyle="1" w:styleId="NoList2322">
    <w:name w:val="No List2322"/>
    <w:next w:val="NoList"/>
    <w:uiPriority w:val="99"/>
    <w:unhideWhenUsed/>
    <w:rsid w:val="00C64FC7"/>
  </w:style>
  <w:style w:type="numbering" w:customStyle="1" w:styleId="NoList3322">
    <w:name w:val="No List3322"/>
    <w:next w:val="NoList"/>
    <w:uiPriority w:val="99"/>
    <w:unhideWhenUsed/>
    <w:rsid w:val="00C64FC7"/>
  </w:style>
  <w:style w:type="numbering" w:customStyle="1" w:styleId="NoList92">
    <w:name w:val="No List92"/>
    <w:next w:val="NoList"/>
    <w:uiPriority w:val="99"/>
    <w:unhideWhenUsed/>
    <w:rsid w:val="00C64FC7"/>
  </w:style>
  <w:style w:type="table" w:customStyle="1" w:styleId="TableGrid72">
    <w:name w:val="Table Grid7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2">
    <w:name w:val="Medium Grid 3 - Accent 15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2">
    <w:name w:val="Medium Grid 1 - Accent 19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2">
    <w:name w:val="Light Grid - Accent 119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2">
    <w:name w:val="Light Grid - Accent 59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2">
    <w:name w:val="Light Grid - Accent 129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2">
    <w:name w:val="Light List - Accent 59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2">
    <w:name w:val="Light List - Accent 119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2">
    <w:name w:val="Light Grid - Accent 139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2">
    <w:name w:val="Medium Grid 1 - Accent 39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2">
    <w:name w:val="No List162"/>
    <w:next w:val="NoList"/>
    <w:uiPriority w:val="99"/>
    <w:unhideWhenUsed/>
    <w:rsid w:val="00C64FC7"/>
  </w:style>
  <w:style w:type="table" w:customStyle="1" w:styleId="MediumGrid1-Accent1152">
    <w:name w:val="Medium Grid 1 - Accent 11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2">
    <w:name w:val="Light Grid - Accent 11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2">
    <w:name w:val="Light Grid - Accent 515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2">
    <w:name w:val="Light Grid - Accent 12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2">
    <w:name w:val="Light List - Accent 515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2">
    <w:name w:val="Light List - Accent 111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2">
    <w:name w:val="Light Grid - Accent 13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2">
    <w:name w:val="Medium Grid 1 - Accent 31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2">
    <w:name w:val="Grid Table 4 - Accent 3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2">
    <w:name w:val="No List262"/>
    <w:next w:val="NoList"/>
    <w:uiPriority w:val="99"/>
    <w:unhideWhenUsed/>
    <w:rsid w:val="00C64FC7"/>
  </w:style>
  <w:style w:type="table" w:customStyle="1" w:styleId="MediumGrid1-Accent1252">
    <w:name w:val="Medium Grid 1 - Accent 12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2">
    <w:name w:val="Light Grid - Accent 112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2">
    <w:name w:val="Light Grid - Accent 52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2">
    <w:name w:val="Light Grid - Accent 122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2">
    <w:name w:val="Light List - Accent 52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2">
    <w:name w:val="Light List - Accent 112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2">
    <w:name w:val="Light Grid - Accent 132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2">
    <w:name w:val="Medium Grid 1 - Accent 32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2">
    <w:name w:val="Grid Table 4 Accent 3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2">
    <w:name w:val="No List362"/>
    <w:next w:val="NoList"/>
    <w:uiPriority w:val="99"/>
    <w:unhideWhenUsed/>
    <w:rsid w:val="00C64FC7"/>
  </w:style>
  <w:style w:type="table" w:customStyle="1" w:styleId="MediumGrid1-Accent1352">
    <w:name w:val="Medium Grid 1 - Accent 13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2">
    <w:name w:val="Light Grid - Accent 113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2">
    <w:name w:val="Light Grid - Accent 53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2">
    <w:name w:val="Light Grid - Accent 123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2">
    <w:name w:val="Light List - Accent 53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2">
    <w:name w:val="Light List - Accent 113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2">
    <w:name w:val="Light Grid - Accent 133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2">
    <w:name w:val="Medium Grid 1 - Accent 33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2">
    <w:name w:val="Grid Table 4 Accent 32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2">
    <w:name w:val="Table Grid15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unhideWhenUsed/>
    <w:rsid w:val="00C64FC7"/>
  </w:style>
  <w:style w:type="table" w:customStyle="1" w:styleId="MediumGrid1-Accent1432">
    <w:name w:val="Medium Grid 1 - Accent 14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2">
    <w:name w:val="Light Grid - Accent 114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2">
    <w:name w:val="Light Grid - Accent 54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2">
    <w:name w:val="Light Grid - Accent 124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2">
    <w:name w:val="Light List - Accent 54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2">
    <w:name w:val="Light List - Accent 114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2">
    <w:name w:val="Light Grid - Accent 134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2">
    <w:name w:val="Medium Grid 1 - Accent 34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2">
    <w:name w:val="Table Grid213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2">
    <w:name w:val="Medium Grid 3 - Accent 113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2">
    <w:name w:val="No List1132"/>
    <w:next w:val="NoList"/>
    <w:uiPriority w:val="99"/>
    <w:unhideWhenUsed/>
    <w:rsid w:val="00C64FC7"/>
  </w:style>
  <w:style w:type="table" w:customStyle="1" w:styleId="MediumGrid1-Accent11132">
    <w:name w:val="Medium Grid 1 - Accent 111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2">
    <w:name w:val="Light Grid - Accent 111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2">
    <w:name w:val="Light Grid - Accent 5113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2">
    <w:name w:val="Light Grid - Accent 121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2">
    <w:name w:val="Light List - Accent 5113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2">
    <w:name w:val="Light List - Accent 1111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2">
    <w:name w:val="Light Grid - Accent 131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2">
    <w:name w:val="Medium Grid 1 - Accent 311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2">
    <w:name w:val="Grid Table 4 - Accent 31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2">
    <w:name w:val="No List2132"/>
    <w:next w:val="NoList"/>
    <w:uiPriority w:val="99"/>
    <w:unhideWhenUsed/>
    <w:rsid w:val="00C64FC7"/>
  </w:style>
  <w:style w:type="table" w:customStyle="1" w:styleId="MediumGrid1-Accent12132">
    <w:name w:val="Medium Grid 1 - Accent 121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2">
    <w:name w:val="Light Grid - Accent 1121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2">
    <w:name w:val="Light Grid - Accent 521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2">
    <w:name w:val="Light Grid - Accent 122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2">
    <w:name w:val="Light List - Accent 521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2">
    <w:name w:val="Light List - Accent 1121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2">
    <w:name w:val="Light Grid - Accent 132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2">
    <w:name w:val="Medium Grid 1 - Accent 321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2">
    <w:name w:val="Grid Table 4 Accent 31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2">
    <w:name w:val="No List3132"/>
    <w:next w:val="NoList"/>
    <w:uiPriority w:val="99"/>
    <w:unhideWhenUsed/>
    <w:rsid w:val="00C64FC7"/>
  </w:style>
  <w:style w:type="table" w:customStyle="1" w:styleId="MediumGrid1-Accent13132">
    <w:name w:val="Medium Grid 1 - Accent 131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2">
    <w:name w:val="Light Grid - Accent 1131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2">
    <w:name w:val="Light Grid - Accent 531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2">
    <w:name w:val="Light Grid - Accent 123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2">
    <w:name w:val="Light List - Accent 531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2">
    <w:name w:val="Light List - Accent 1131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2">
    <w:name w:val="Light Grid - Accent 133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2">
    <w:name w:val="Medium Grid 1 - Accent 331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2">
    <w:name w:val="Grid Table 4 Accent 32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2">
    <w:name w:val="Table Grid113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unhideWhenUsed/>
    <w:rsid w:val="00C64FC7"/>
  </w:style>
  <w:style w:type="table" w:customStyle="1" w:styleId="MediumGrid1-Accent1532">
    <w:name w:val="Medium Grid 1 - Accent 15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2">
    <w:name w:val="Light Grid - Accent 115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2">
    <w:name w:val="Light Grid - Accent 55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2">
    <w:name w:val="Light Grid - Accent 125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2">
    <w:name w:val="Light List - Accent 55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2">
    <w:name w:val="Light List - Accent 115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2">
    <w:name w:val="Light Grid - Accent 135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2">
    <w:name w:val="Medium Grid 1 - Accent 35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2">
    <w:name w:val="No List1232"/>
    <w:next w:val="NoList"/>
    <w:uiPriority w:val="99"/>
    <w:unhideWhenUsed/>
    <w:rsid w:val="00C64FC7"/>
  </w:style>
  <w:style w:type="numbering" w:customStyle="1" w:styleId="NoList2232">
    <w:name w:val="No List2232"/>
    <w:next w:val="NoList"/>
    <w:uiPriority w:val="99"/>
    <w:unhideWhenUsed/>
    <w:rsid w:val="00C64FC7"/>
  </w:style>
  <w:style w:type="numbering" w:customStyle="1" w:styleId="NoList3232">
    <w:name w:val="No List3232"/>
    <w:next w:val="NoList"/>
    <w:uiPriority w:val="99"/>
    <w:unhideWhenUsed/>
    <w:rsid w:val="00C64FC7"/>
  </w:style>
  <w:style w:type="numbering" w:customStyle="1" w:styleId="NoList632">
    <w:name w:val="No List632"/>
    <w:next w:val="NoList"/>
    <w:uiPriority w:val="99"/>
    <w:unhideWhenUsed/>
    <w:rsid w:val="00C64FC7"/>
  </w:style>
  <w:style w:type="table" w:customStyle="1" w:styleId="MediumGrid1-Accent1632">
    <w:name w:val="Medium Grid 1 - Accent 16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2">
    <w:name w:val="Light Grid - Accent 116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2">
    <w:name w:val="Light Grid - Accent 56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2">
    <w:name w:val="Light Grid - Accent 126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2">
    <w:name w:val="Light List - Accent 56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2">
    <w:name w:val="Light List - Accent 116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2">
    <w:name w:val="Light Grid - Accent 136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2">
    <w:name w:val="Medium Grid 1 - Accent 36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2">
    <w:name w:val="No List1332"/>
    <w:next w:val="NoList"/>
    <w:uiPriority w:val="99"/>
    <w:unhideWhenUsed/>
    <w:rsid w:val="00C64FC7"/>
  </w:style>
  <w:style w:type="numbering" w:customStyle="1" w:styleId="NoList2332">
    <w:name w:val="No List2332"/>
    <w:next w:val="NoList"/>
    <w:uiPriority w:val="99"/>
    <w:unhideWhenUsed/>
    <w:rsid w:val="00C64FC7"/>
  </w:style>
  <w:style w:type="numbering" w:customStyle="1" w:styleId="NoList3332">
    <w:name w:val="No List3332"/>
    <w:next w:val="NoList"/>
    <w:uiPriority w:val="99"/>
    <w:unhideWhenUsed/>
    <w:rsid w:val="00C64FC7"/>
  </w:style>
  <w:style w:type="numbering" w:customStyle="1" w:styleId="NoList102">
    <w:name w:val="No List102"/>
    <w:next w:val="NoList"/>
    <w:uiPriority w:val="99"/>
    <w:unhideWhenUsed/>
    <w:rsid w:val="00C64FC7"/>
  </w:style>
  <w:style w:type="table" w:customStyle="1" w:styleId="TableGrid82">
    <w:name w:val="Table Grid8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2">
    <w:name w:val="Medium Grid 3 - Accent 16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2">
    <w:name w:val="Medium Grid 1 - Accent 110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2">
    <w:name w:val="Light Grid - Accent 1110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2">
    <w:name w:val="Light Grid - Accent 510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2">
    <w:name w:val="Light Grid - Accent 1210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2">
    <w:name w:val="Light List - Accent 510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2">
    <w:name w:val="Light List - Accent 1110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2">
    <w:name w:val="Light Grid - Accent 1310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2">
    <w:name w:val="Medium Grid 1 - Accent 310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2">
    <w:name w:val="No List172"/>
    <w:next w:val="NoList"/>
    <w:uiPriority w:val="99"/>
    <w:unhideWhenUsed/>
    <w:rsid w:val="00C64FC7"/>
  </w:style>
  <w:style w:type="table" w:customStyle="1" w:styleId="MediumGrid1-Accent1162">
    <w:name w:val="Medium Grid 1 - Accent 11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2">
    <w:name w:val="Light Grid - Accent 11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2">
    <w:name w:val="Light Grid - Accent 516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2">
    <w:name w:val="Light Grid - Accent 12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2">
    <w:name w:val="Light List - Accent 516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2">
    <w:name w:val="Light List - Accent 111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2">
    <w:name w:val="Light Grid - Accent 13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2">
    <w:name w:val="Medium Grid 1 - Accent 31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2">
    <w:name w:val="Grid Table 4 - Accent 3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2">
    <w:name w:val="No List272"/>
    <w:next w:val="NoList"/>
    <w:uiPriority w:val="99"/>
    <w:unhideWhenUsed/>
    <w:rsid w:val="00C64FC7"/>
  </w:style>
  <w:style w:type="table" w:customStyle="1" w:styleId="MediumGrid1-Accent1262">
    <w:name w:val="Medium Grid 1 - Accent 12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2">
    <w:name w:val="Light Grid - Accent 112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2">
    <w:name w:val="Light Grid - Accent 52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2">
    <w:name w:val="Light Grid - Accent 122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2">
    <w:name w:val="Light List - Accent 52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2">
    <w:name w:val="Light List - Accent 112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2">
    <w:name w:val="Light Grid - Accent 132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2">
    <w:name w:val="Medium Grid 1 - Accent 32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2">
    <w:name w:val="Grid Table 4 Accent 3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2">
    <w:name w:val="No List372"/>
    <w:next w:val="NoList"/>
    <w:uiPriority w:val="99"/>
    <w:unhideWhenUsed/>
    <w:rsid w:val="00C64FC7"/>
  </w:style>
  <w:style w:type="table" w:customStyle="1" w:styleId="MediumGrid1-Accent1362">
    <w:name w:val="Medium Grid 1 - Accent 13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2">
    <w:name w:val="Light Grid - Accent 113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2">
    <w:name w:val="Light Grid - Accent 53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2">
    <w:name w:val="Light Grid - Accent 123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2">
    <w:name w:val="Light List - Accent 53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2">
    <w:name w:val="Light List - Accent 113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2">
    <w:name w:val="Light Grid - Accent 133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2">
    <w:name w:val="Medium Grid 1 - Accent 33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2">
    <w:name w:val="Grid Table 4 Accent 32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2">
    <w:name w:val="Table Grid16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unhideWhenUsed/>
    <w:rsid w:val="00C64FC7"/>
  </w:style>
  <w:style w:type="table" w:customStyle="1" w:styleId="MediumGrid1-Accent1442">
    <w:name w:val="Medium Grid 1 - Accent 14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2">
    <w:name w:val="Light Grid - Accent 114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2">
    <w:name w:val="Light Grid - Accent 54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2">
    <w:name w:val="Light Grid - Accent 124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2">
    <w:name w:val="Light List - Accent 54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2">
    <w:name w:val="Light List - Accent 114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2">
    <w:name w:val="Light Grid - Accent 134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2">
    <w:name w:val="Medium Grid 1 - Accent 34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2">
    <w:name w:val="Table Grid214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2">
    <w:name w:val="Medium Grid 3 - Accent 114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2">
    <w:name w:val="No List1142"/>
    <w:next w:val="NoList"/>
    <w:uiPriority w:val="99"/>
    <w:unhideWhenUsed/>
    <w:rsid w:val="00C64FC7"/>
  </w:style>
  <w:style w:type="table" w:customStyle="1" w:styleId="MediumGrid1-Accent11142">
    <w:name w:val="Medium Grid 1 - Accent 111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2">
    <w:name w:val="Light Grid - Accent 111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2">
    <w:name w:val="Light Grid - Accent 5114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2">
    <w:name w:val="Light Grid - Accent 121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2">
    <w:name w:val="Light List - Accent 5114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2">
    <w:name w:val="Light List - Accent 1111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2">
    <w:name w:val="Light Grid - Accent 131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2">
    <w:name w:val="Medium Grid 1 - Accent 311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2">
    <w:name w:val="Grid Table 4 - Accent 31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2">
    <w:name w:val="No List2142"/>
    <w:next w:val="NoList"/>
    <w:uiPriority w:val="99"/>
    <w:unhideWhenUsed/>
    <w:rsid w:val="00C64FC7"/>
  </w:style>
  <w:style w:type="table" w:customStyle="1" w:styleId="MediumGrid1-Accent12142">
    <w:name w:val="Medium Grid 1 - Accent 121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2">
    <w:name w:val="Light Grid - Accent 1121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2">
    <w:name w:val="Light Grid - Accent 521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2">
    <w:name w:val="Light Grid - Accent 122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2">
    <w:name w:val="Light List - Accent 521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2">
    <w:name w:val="Light List - Accent 1121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2">
    <w:name w:val="Light Grid - Accent 132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2">
    <w:name w:val="Medium Grid 1 - Accent 321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2">
    <w:name w:val="Grid Table 4 Accent 31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2">
    <w:name w:val="No List3142"/>
    <w:next w:val="NoList"/>
    <w:uiPriority w:val="99"/>
    <w:unhideWhenUsed/>
    <w:rsid w:val="00C64FC7"/>
  </w:style>
  <w:style w:type="table" w:customStyle="1" w:styleId="MediumGrid1-Accent13142">
    <w:name w:val="Medium Grid 1 - Accent 131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2">
    <w:name w:val="Light Grid - Accent 1131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2">
    <w:name w:val="Light Grid - Accent 531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2">
    <w:name w:val="Light Grid - Accent 123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2">
    <w:name w:val="Light List - Accent 531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2">
    <w:name w:val="Light List - Accent 1131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2">
    <w:name w:val="Light Grid - Accent 133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2">
    <w:name w:val="Medium Grid 1 - Accent 331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2">
    <w:name w:val="Grid Table 4 Accent 32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2">
    <w:name w:val="Table Grid114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unhideWhenUsed/>
    <w:rsid w:val="00C64FC7"/>
  </w:style>
  <w:style w:type="table" w:customStyle="1" w:styleId="MediumGrid1-Accent1542">
    <w:name w:val="Medium Grid 1 - Accent 15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2">
    <w:name w:val="Light Grid - Accent 115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2">
    <w:name w:val="Light Grid - Accent 55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2">
    <w:name w:val="Light Grid - Accent 125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2">
    <w:name w:val="Light List - Accent 55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2">
    <w:name w:val="Light List - Accent 115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2">
    <w:name w:val="Light Grid - Accent 135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2">
    <w:name w:val="Medium Grid 1 - Accent 35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2">
    <w:name w:val="No List1242"/>
    <w:next w:val="NoList"/>
    <w:uiPriority w:val="99"/>
    <w:unhideWhenUsed/>
    <w:rsid w:val="00C64FC7"/>
  </w:style>
  <w:style w:type="numbering" w:customStyle="1" w:styleId="NoList2242">
    <w:name w:val="No List2242"/>
    <w:next w:val="NoList"/>
    <w:uiPriority w:val="99"/>
    <w:unhideWhenUsed/>
    <w:rsid w:val="00C64FC7"/>
  </w:style>
  <w:style w:type="numbering" w:customStyle="1" w:styleId="NoList3242">
    <w:name w:val="No List3242"/>
    <w:next w:val="NoList"/>
    <w:uiPriority w:val="99"/>
    <w:unhideWhenUsed/>
    <w:rsid w:val="00C64FC7"/>
  </w:style>
  <w:style w:type="numbering" w:customStyle="1" w:styleId="NoList642">
    <w:name w:val="No List642"/>
    <w:next w:val="NoList"/>
    <w:uiPriority w:val="99"/>
    <w:unhideWhenUsed/>
    <w:rsid w:val="00C64FC7"/>
  </w:style>
  <w:style w:type="table" w:customStyle="1" w:styleId="MediumGrid1-Accent1642">
    <w:name w:val="Medium Grid 1 - Accent 16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2">
    <w:name w:val="Light Grid - Accent 116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2">
    <w:name w:val="Light Grid - Accent 56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2">
    <w:name w:val="Light Grid - Accent 126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2">
    <w:name w:val="Light List - Accent 56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2">
    <w:name w:val="Light List - Accent 116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2">
    <w:name w:val="Light Grid - Accent 136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2">
    <w:name w:val="Medium Grid 1 - Accent 36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2">
    <w:name w:val="No List1342"/>
    <w:next w:val="NoList"/>
    <w:uiPriority w:val="99"/>
    <w:unhideWhenUsed/>
    <w:rsid w:val="00C64FC7"/>
  </w:style>
  <w:style w:type="numbering" w:customStyle="1" w:styleId="NoList2342">
    <w:name w:val="No List2342"/>
    <w:next w:val="NoList"/>
    <w:uiPriority w:val="99"/>
    <w:unhideWhenUsed/>
    <w:rsid w:val="00C64FC7"/>
  </w:style>
  <w:style w:type="numbering" w:customStyle="1" w:styleId="NoList3342">
    <w:name w:val="No List3342"/>
    <w:next w:val="NoList"/>
    <w:uiPriority w:val="99"/>
    <w:unhideWhenUsed/>
    <w:rsid w:val="00C64FC7"/>
  </w:style>
  <w:style w:type="numbering" w:customStyle="1" w:styleId="NoList182">
    <w:name w:val="No List182"/>
    <w:next w:val="NoList"/>
    <w:uiPriority w:val="99"/>
    <w:unhideWhenUsed/>
    <w:rsid w:val="00C64FC7"/>
  </w:style>
  <w:style w:type="table" w:customStyle="1" w:styleId="TableGrid92">
    <w:name w:val="Table Grid9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2">
    <w:name w:val="Medium Grid 3 - Accent 17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2">
    <w:name w:val="Medium Grid 1 - Accent 117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2">
    <w:name w:val="Light Grid - Accent 1117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2">
    <w:name w:val="Light Grid - Accent 517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2">
    <w:name w:val="Light Grid - Accent 1217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2">
    <w:name w:val="Light List - Accent 517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2">
    <w:name w:val="Light List - Accent 1117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2">
    <w:name w:val="Light Grid - Accent 131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2">
    <w:name w:val="Medium Grid 1 - Accent 317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2">
    <w:name w:val="No List192"/>
    <w:next w:val="NoList"/>
    <w:uiPriority w:val="99"/>
    <w:unhideWhenUsed/>
    <w:rsid w:val="00C64FC7"/>
  </w:style>
  <w:style w:type="table" w:customStyle="1" w:styleId="MediumGrid1-Accent1182">
    <w:name w:val="Medium Grid 1 - Accent 118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2">
    <w:name w:val="Light Grid - Accent 111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2">
    <w:name w:val="Light Grid - Accent 518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2">
    <w:name w:val="Light Grid - Accent 121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2">
    <w:name w:val="Light List - Accent 518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2">
    <w:name w:val="Light List - Accent 1118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2">
    <w:name w:val="Light Grid - Accent 131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2">
    <w:name w:val="Medium Grid 1 - Accent 318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2">
    <w:name w:val="Grid Table 4 - Accent 317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2">
    <w:name w:val="No List282"/>
    <w:next w:val="NoList"/>
    <w:uiPriority w:val="99"/>
    <w:unhideWhenUsed/>
    <w:rsid w:val="00C64FC7"/>
  </w:style>
  <w:style w:type="table" w:customStyle="1" w:styleId="MediumGrid1-Accent1272">
    <w:name w:val="Medium Grid 1 - Accent 127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2">
    <w:name w:val="Light Grid - Accent 1127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2">
    <w:name w:val="Light Grid - Accent 527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2">
    <w:name w:val="Light Grid - Accent 122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2">
    <w:name w:val="Light List - Accent 527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2">
    <w:name w:val="Light List - Accent 1127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2">
    <w:name w:val="Light Grid - Accent 132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2">
    <w:name w:val="Medium Grid 1 - Accent 327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2">
    <w:name w:val="Grid Table 4 Accent 317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2">
    <w:name w:val="No List382"/>
    <w:next w:val="NoList"/>
    <w:uiPriority w:val="99"/>
    <w:unhideWhenUsed/>
    <w:rsid w:val="00C64FC7"/>
  </w:style>
  <w:style w:type="table" w:customStyle="1" w:styleId="MediumGrid1-Accent1372">
    <w:name w:val="Medium Grid 1 - Accent 137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2">
    <w:name w:val="Light Grid - Accent 1137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2">
    <w:name w:val="Light Grid - Accent 537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2">
    <w:name w:val="Light Grid - Accent 123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2">
    <w:name w:val="Light List - Accent 537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2">
    <w:name w:val="Light List - Accent 1137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2">
    <w:name w:val="Light Grid - Accent 133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2">
    <w:name w:val="Medium Grid 1 - Accent 337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2">
    <w:name w:val="Grid Table 4 Accent 327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2">
    <w:name w:val="Table Grid17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unhideWhenUsed/>
    <w:rsid w:val="00C64FC7"/>
  </w:style>
  <w:style w:type="table" w:customStyle="1" w:styleId="MediumGrid1-Accent1452">
    <w:name w:val="Medium Grid 1 - Accent 14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2">
    <w:name w:val="Light Grid - Accent 114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2">
    <w:name w:val="Light Grid - Accent 54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2">
    <w:name w:val="Light Grid - Accent 124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2">
    <w:name w:val="Light List - Accent 54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2">
    <w:name w:val="Light List - Accent 114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2">
    <w:name w:val="Light Grid - Accent 134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2">
    <w:name w:val="Medium Grid 1 - Accent 34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2">
    <w:name w:val="Table Grid215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2">
    <w:name w:val="Medium Grid 3 - Accent 115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2">
    <w:name w:val="No List1152"/>
    <w:next w:val="NoList"/>
    <w:uiPriority w:val="99"/>
    <w:unhideWhenUsed/>
    <w:rsid w:val="00C64FC7"/>
  </w:style>
  <w:style w:type="table" w:customStyle="1" w:styleId="MediumGrid1-Accent11152">
    <w:name w:val="Medium Grid 1 - Accent 111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2">
    <w:name w:val="Light Grid - Accent 111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2">
    <w:name w:val="Light Grid - Accent 5115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2">
    <w:name w:val="Light Grid - Accent 121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2">
    <w:name w:val="Light List - Accent 5115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2">
    <w:name w:val="Light List - Accent 1111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2">
    <w:name w:val="Light Grid - Accent 131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2">
    <w:name w:val="Medium Grid 1 - Accent 311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2">
    <w:name w:val="Grid Table 4 - Accent 31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2">
    <w:name w:val="No List2152"/>
    <w:next w:val="NoList"/>
    <w:uiPriority w:val="99"/>
    <w:unhideWhenUsed/>
    <w:rsid w:val="00C64FC7"/>
  </w:style>
  <w:style w:type="table" w:customStyle="1" w:styleId="MediumGrid1-Accent12152">
    <w:name w:val="Medium Grid 1 - Accent 121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2">
    <w:name w:val="Light Grid - Accent 1121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2">
    <w:name w:val="Light Grid - Accent 521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2">
    <w:name w:val="Light Grid - Accent 122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2">
    <w:name w:val="Light List - Accent 521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2">
    <w:name w:val="Light List - Accent 1121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2">
    <w:name w:val="Light Grid - Accent 132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2">
    <w:name w:val="Medium Grid 1 - Accent 321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2">
    <w:name w:val="Grid Table 4 Accent 31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2">
    <w:name w:val="No List3152"/>
    <w:next w:val="NoList"/>
    <w:uiPriority w:val="99"/>
    <w:unhideWhenUsed/>
    <w:rsid w:val="00C64FC7"/>
  </w:style>
  <w:style w:type="table" w:customStyle="1" w:styleId="MediumGrid1-Accent13152">
    <w:name w:val="Medium Grid 1 - Accent 131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2">
    <w:name w:val="Light Grid - Accent 1131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2">
    <w:name w:val="Light Grid - Accent 531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2">
    <w:name w:val="Light Grid - Accent 123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2">
    <w:name w:val="Light List - Accent 531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2">
    <w:name w:val="Light List - Accent 1131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2">
    <w:name w:val="Light Grid - Accent 133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2">
    <w:name w:val="Medium Grid 1 - Accent 331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2">
    <w:name w:val="Grid Table 4 Accent 32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2">
    <w:name w:val="Table Grid115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unhideWhenUsed/>
    <w:rsid w:val="00C64FC7"/>
  </w:style>
  <w:style w:type="table" w:customStyle="1" w:styleId="MediumGrid1-Accent1552">
    <w:name w:val="Medium Grid 1 - Accent 15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2">
    <w:name w:val="Light Grid - Accent 115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2">
    <w:name w:val="Light Grid - Accent 55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2">
    <w:name w:val="Light Grid - Accent 125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2">
    <w:name w:val="Light List - Accent 55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2">
    <w:name w:val="Light List - Accent 115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2">
    <w:name w:val="Light Grid - Accent 135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2">
    <w:name w:val="Medium Grid 1 - Accent 35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2">
    <w:name w:val="No List1252"/>
    <w:next w:val="NoList"/>
    <w:uiPriority w:val="99"/>
    <w:unhideWhenUsed/>
    <w:rsid w:val="00C64FC7"/>
  </w:style>
  <w:style w:type="numbering" w:customStyle="1" w:styleId="NoList2252">
    <w:name w:val="No List2252"/>
    <w:next w:val="NoList"/>
    <w:uiPriority w:val="99"/>
    <w:unhideWhenUsed/>
    <w:rsid w:val="00C64FC7"/>
  </w:style>
  <w:style w:type="numbering" w:customStyle="1" w:styleId="NoList3252">
    <w:name w:val="No List3252"/>
    <w:next w:val="NoList"/>
    <w:uiPriority w:val="99"/>
    <w:unhideWhenUsed/>
    <w:rsid w:val="00C64FC7"/>
  </w:style>
  <w:style w:type="numbering" w:customStyle="1" w:styleId="NoList652">
    <w:name w:val="No List652"/>
    <w:next w:val="NoList"/>
    <w:uiPriority w:val="99"/>
    <w:unhideWhenUsed/>
    <w:rsid w:val="00C64FC7"/>
  </w:style>
  <w:style w:type="table" w:customStyle="1" w:styleId="MediumGrid1-Accent1652">
    <w:name w:val="Medium Grid 1 - Accent 16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2">
    <w:name w:val="Light Grid - Accent 116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2">
    <w:name w:val="Light Grid - Accent 56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2">
    <w:name w:val="Light Grid - Accent 126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2">
    <w:name w:val="Light List - Accent 56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2">
    <w:name w:val="Light List - Accent 116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2">
    <w:name w:val="Light Grid - Accent 136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2">
    <w:name w:val="Medium Grid 1 - Accent 36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2">
    <w:name w:val="No List1352"/>
    <w:next w:val="NoList"/>
    <w:uiPriority w:val="99"/>
    <w:unhideWhenUsed/>
    <w:rsid w:val="00C64FC7"/>
  </w:style>
  <w:style w:type="numbering" w:customStyle="1" w:styleId="NoList2352">
    <w:name w:val="No List2352"/>
    <w:next w:val="NoList"/>
    <w:uiPriority w:val="99"/>
    <w:unhideWhenUsed/>
    <w:rsid w:val="00C64FC7"/>
  </w:style>
  <w:style w:type="numbering" w:customStyle="1" w:styleId="NoList3352">
    <w:name w:val="No List3352"/>
    <w:next w:val="NoList"/>
    <w:uiPriority w:val="99"/>
    <w:unhideWhenUsed/>
    <w:rsid w:val="00C64FC7"/>
  </w:style>
  <w:style w:type="numbering" w:customStyle="1" w:styleId="NoList201">
    <w:name w:val="No List201"/>
    <w:next w:val="NoList"/>
    <w:uiPriority w:val="99"/>
    <w:unhideWhenUsed/>
    <w:rsid w:val="00C64FC7"/>
  </w:style>
  <w:style w:type="table" w:customStyle="1" w:styleId="TableGrid101">
    <w:name w:val="Table Grid10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81">
    <w:name w:val="Medium Grid 3 - Accent 18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91">
    <w:name w:val="Medium Grid 1 - Accent 119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91">
    <w:name w:val="Light Grid - Accent 1119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91">
    <w:name w:val="Light Grid - Accent 519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91">
    <w:name w:val="Light Grid - Accent 1219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91">
    <w:name w:val="Light List - Accent 519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91">
    <w:name w:val="Light List - Accent 1119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91">
    <w:name w:val="Light Grid - Accent 1319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91">
    <w:name w:val="Medium Grid 1 - Accent 319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01">
    <w:name w:val="No List1101"/>
    <w:next w:val="NoList"/>
    <w:uiPriority w:val="99"/>
    <w:unhideWhenUsed/>
    <w:rsid w:val="00C64FC7"/>
  </w:style>
  <w:style w:type="table" w:customStyle="1" w:styleId="MediumGrid1-Accent11101">
    <w:name w:val="Medium Grid 1 - Accent 1110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01">
    <w:name w:val="Light Grid - Accent 11110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01">
    <w:name w:val="Light Grid - Accent 5110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01">
    <w:name w:val="Light Grid - Accent 12110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01">
    <w:name w:val="Light List - Accent 5110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01">
    <w:name w:val="Light List - Accent 11110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01">
    <w:name w:val="Light Grid - Accent 13110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01">
    <w:name w:val="Medium Grid 1 - Accent 3110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81">
    <w:name w:val="Grid Table 4 - Accent 318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91">
    <w:name w:val="No List291"/>
    <w:next w:val="NoList"/>
    <w:uiPriority w:val="99"/>
    <w:unhideWhenUsed/>
    <w:rsid w:val="00C64FC7"/>
  </w:style>
  <w:style w:type="table" w:customStyle="1" w:styleId="MediumGrid1-Accent1281">
    <w:name w:val="Medium Grid 1 - Accent 128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81">
    <w:name w:val="Light Grid - Accent 1128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81">
    <w:name w:val="Light Grid - Accent 528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81">
    <w:name w:val="Light Grid - Accent 1228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81">
    <w:name w:val="Light List - Accent 528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81">
    <w:name w:val="Light List - Accent 1128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81">
    <w:name w:val="Light Grid - Accent 1328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81">
    <w:name w:val="Medium Grid 1 - Accent 328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81">
    <w:name w:val="Grid Table 4 Accent 318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91">
    <w:name w:val="No List391"/>
    <w:next w:val="NoList"/>
    <w:uiPriority w:val="99"/>
    <w:unhideWhenUsed/>
    <w:rsid w:val="00C64FC7"/>
  </w:style>
  <w:style w:type="table" w:customStyle="1" w:styleId="MediumGrid1-Accent1381">
    <w:name w:val="Medium Grid 1 - Accent 138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81">
    <w:name w:val="Light Grid - Accent 1138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81">
    <w:name w:val="Light Grid - Accent 538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81">
    <w:name w:val="Light Grid - Accent 1238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81">
    <w:name w:val="Light List - Accent 538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81">
    <w:name w:val="Light List - Accent 1138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81">
    <w:name w:val="Light Grid - Accent 1338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81">
    <w:name w:val="Medium Grid 1 - Accent 338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81">
    <w:name w:val="Grid Table 4 Accent 328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81">
    <w:name w:val="Table Grid18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unhideWhenUsed/>
    <w:rsid w:val="00C64FC7"/>
  </w:style>
  <w:style w:type="table" w:customStyle="1" w:styleId="MediumGrid1-Accent1461">
    <w:name w:val="Medium Grid 1 - Accent 14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61">
    <w:name w:val="Light Grid - Accent 1146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61">
    <w:name w:val="Light Grid - Accent 54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61">
    <w:name w:val="Light Grid - Accent 124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61">
    <w:name w:val="Light List - Accent 54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61">
    <w:name w:val="Light List - Accent 114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61">
    <w:name w:val="Light Grid - Accent 134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61">
    <w:name w:val="Medium Grid 1 - Accent 34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11">
    <w:name w:val="Table Grid3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61">
    <w:name w:val="Medium Grid 3 - Accent 116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61">
    <w:name w:val="No List1161"/>
    <w:next w:val="NoList"/>
    <w:uiPriority w:val="99"/>
    <w:unhideWhenUsed/>
    <w:rsid w:val="00C64FC7"/>
  </w:style>
  <w:style w:type="table" w:customStyle="1" w:styleId="MediumGrid1-Accent11161">
    <w:name w:val="Medium Grid 1 - Accent 111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61">
    <w:name w:val="Light Grid - Accent 111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61">
    <w:name w:val="Light Grid - Accent 5116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61">
    <w:name w:val="Light Grid - Accent 121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61">
    <w:name w:val="Light List - Accent 5116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61">
    <w:name w:val="Light List - Accent 1111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61">
    <w:name w:val="Light Grid - Accent 131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61">
    <w:name w:val="Medium Grid 1 - Accent 311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61">
    <w:name w:val="Grid Table 4 - Accent 3116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61">
    <w:name w:val="No List2161"/>
    <w:next w:val="NoList"/>
    <w:uiPriority w:val="99"/>
    <w:unhideWhenUsed/>
    <w:rsid w:val="00C64FC7"/>
  </w:style>
  <w:style w:type="table" w:customStyle="1" w:styleId="MediumGrid1-Accent12161">
    <w:name w:val="Medium Grid 1 - Accent 121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61">
    <w:name w:val="Light Grid - Accent 11216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61">
    <w:name w:val="Light Grid - Accent 521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61">
    <w:name w:val="Light Grid - Accent 122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61">
    <w:name w:val="Light List - Accent 521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61">
    <w:name w:val="Light List - Accent 1121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61">
    <w:name w:val="Light Grid - Accent 132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61">
    <w:name w:val="Medium Grid 1 - Accent 321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61">
    <w:name w:val="Grid Table 4 Accent 3116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61">
    <w:name w:val="No List3161"/>
    <w:next w:val="NoList"/>
    <w:uiPriority w:val="99"/>
    <w:unhideWhenUsed/>
    <w:rsid w:val="00C64FC7"/>
  </w:style>
  <w:style w:type="table" w:customStyle="1" w:styleId="MediumGrid1-Accent13161">
    <w:name w:val="Medium Grid 1 - Accent 131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61">
    <w:name w:val="Light Grid - Accent 11316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61">
    <w:name w:val="Light Grid - Accent 531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61">
    <w:name w:val="Light Grid - Accent 123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61">
    <w:name w:val="Light List - Accent 531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61">
    <w:name w:val="Light List - Accent 1131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61">
    <w:name w:val="Light Grid - Accent 133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61">
    <w:name w:val="Medium Grid 1 - Accent 331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61">
    <w:name w:val="Grid Table 4 Accent 3216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61">
    <w:name w:val="Table Grid116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1">
    <w:name w:val="No List561"/>
    <w:next w:val="NoList"/>
    <w:uiPriority w:val="99"/>
    <w:unhideWhenUsed/>
    <w:rsid w:val="00C64FC7"/>
  </w:style>
  <w:style w:type="table" w:customStyle="1" w:styleId="TableGrid411">
    <w:name w:val="Table Grid411"/>
    <w:basedOn w:val="TableNormal"/>
    <w:next w:val="TableGrid"/>
    <w:uiPriority w:val="5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11">
    <w:name w:val="Medium Grid 3 - Accent 12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61">
    <w:name w:val="Medium Grid 1 - Accent 156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61">
    <w:name w:val="Light Grid - Accent 1156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61">
    <w:name w:val="Light Grid - Accent 556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61">
    <w:name w:val="Light Grid - Accent 1256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61">
    <w:name w:val="Light List - Accent 556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61">
    <w:name w:val="Light List - Accent 1156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61">
    <w:name w:val="Light Grid - Accent 135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61">
    <w:name w:val="Medium Grid 1 - Accent 35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61">
    <w:name w:val="No List1261"/>
    <w:next w:val="NoList"/>
    <w:uiPriority w:val="99"/>
    <w:unhideWhenUsed/>
    <w:rsid w:val="00C64FC7"/>
  </w:style>
  <w:style w:type="table" w:customStyle="1" w:styleId="MediumGrid1-Accent11211">
    <w:name w:val="Medium Grid 1 - Accent 11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11">
    <w:name w:val="Light Grid - Accent 11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11">
    <w:name w:val="Light Grid - Accent 512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11">
    <w:name w:val="Light Grid - Accent 12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11">
    <w:name w:val="Light List - Accent 512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1">
    <w:name w:val="Light List - Accent 111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11">
    <w:name w:val="Light Grid - Accent 13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11">
    <w:name w:val="Medium Grid 1 - Accent 31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11">
    <w:name w:val="Grid Table 4 - Accent 3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61">
    <w:name w:val="No List2261"/>
    <w:next w:val="NoList"/>
    <w:uiPriority w:val="99"/>
    <w:unhideWhenUsed/>
    <w:rsid w:val="00C64FC7"/>
  </w:style>
  <w:style w:type="table" w:customStyle="1" w:styleId="MediumGrid1-Accent12211">
    <w:name w:val="Medium Grid 1 - Accent 12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11">
    <w:name w:val="Light Grid - Accent 112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11">
    <w:name w:val="Light Grid - Accent 52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11">
    <w:name w:val="Light Grid - Accent 122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11">
    <w:name w:val="Light List - Accent 52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11">
    <w:name w:val="Light List - Accent 112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11">
    <w:name w:val="Light Grid - Accent 132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11">
    <w:name w:val="Medium Grid 1 - Accent 32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11">
    <w:name w:val="Grid Table 4 Accent 3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61">
    <w:name w:val="No List3261"/>
    <w:next w:val="NoList"/>
    <w:uiPriority w:val="99"/>
    <w:unhideWhenUsed/>
    <w:rsid w:val="00C64FC7"/>
  </w:style>
  <w:style w:type="table" w:customStyle="1" w:styleId="MediumGrid1-Accent13211">
    <w:name w:val="Medium Grid 1 - Accent 13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11">
    <w:name w:val="Light Grid - Accent 113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11">
    <w:name w:val="Light Grid - Accent 53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11">
    <w:name w:val="Light Grid - Accent 123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11">
    <w:name w:val="Light List - Accent 53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11">
    <w:name w:val="Light List - Accent 113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11">
    <w:name w:val="Light Grid - Accent 133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11">
    <w:name w:val="Medium Grid 1 - Accent 33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11">
    <w:name w:val="Grid Table 4 Accent 32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11">
    <w:name w:val="Table Grid12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 Grid2161"/>
    <w:basedOn w:val="TableNormal"/>
    <w:next w:val="TableGrid"/>
    <w:uiPriority w:val="3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unhideWhenUsed/>
    <w:rsid w:val="00C64FC7"/>
  </w:style>
  <w:style w:type="table" w:customStyle="1" w:styleId="MediumGrid1-Accent1661">
    <w:name w:val="Medium Grid 1 - Accent 16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61">
    <w:name w:val="Light Grid - Accent 1166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61">
    <w:name w:val="Light Grid - Accent 56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61">
    <w:name w:val="Light Grid - Accent 126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61">
    <w:name w:val="Light List - Accent 56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61">
    <w:name w:val="Light List - Accent 116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61">
    <w:name w:val="Light Grid - Accent 136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61">
    <w:name w:val="Medium Grid 1 - Accent 36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61">
    <w:name w:val="No List1361"/>
    <w:next w:val="NoList"/>
    <w:uiPriority w:val="99"/>
    <w:unhideWhenUsed/>
    <w:rsid w:val="00C64FC7"/>
  </w:style>
  <w:style w:type="numbering" w:customStyle="1" w:styleId="NoList2361">
    <w:name w:val="No List2361"/>
    <w:next w:val="NoList"/>
    <w:uiPriority w:val="99"/>
    <w:unhideWhenUsed/>
    <w:rsid w:val="00C64FC7"/>
  </w:style>
  <w:style w:type="numbering" w:customStyle="1" w:styleId="NoList3361">
    <w:name w:val="No List3361"/>
    <w:next w:val="NoList"/>
    <w:uiPriority w:val="99"/>
    <w:unhideWhenUsed/>
    <w:rsid w:val="00C64FC7"/>
  </w:style>
  <w:style w:type="numbering" w:customStyle="1" w:styleId="NoList711">
    <w:name w:val="No List711"/>
    <w:next w:val="NoList"/>
    <w:uiPriority w:val="99"/>
    <w:unhideWhenUsed/>
    <w:rsid w:val="00C64FC7"/>
  </w:style>
  <w:style w:type="table" w:customStyle="1" w:styleId="TableGrid511">
    <w:name w:val="Table Grid5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11">
    <w:name w:val="Medium Grid 3 - Accent 13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11">
    <w:name w:val="Medium Grid 1 - Accent 17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11">
    <w:name w:val="Light Grid - Accent 117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11">
    <w:name w:val="Light Grid - Accent 57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11">
    <w:name w:val="Light Grid - Accent 127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11">
    <w:name w:val="Light List - Accent 57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11">
    <w:name w:val="Light List - Accent 117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11">
    <w:name w:val="Light Grid - Accent 13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11">
    <w:name w:val="Medium Grid 1 - Accent 37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11">
    <w:name w:val="No List1411"/>
    <w:next w:val="NoList"/>
    <w:uiPriority w:val="99"/>
    <w:unhideWhenUsed/>
    <w:rsid w:val="00C64FC7"/>
  </w:style>
  <w:style w:type="table" w:customStyle="1" w:styleId="MediumGrid1-Accent11311">
    <w:name w:val="Medium Grid 1 - Accent 11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11">
    <w:name w:val="Light Grid - Accent 11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11">
    <w:name w:val="Light Grid - Accent 513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11">
    <w:name w:val="Light Grid - Accent 12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11">
    <w:name w:val="Light List - Accent 513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11">
    <w:name w:val="Light List - Accent 111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11">
    <w:name w:val="Light Grid - Accent 13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11">
    <w:name w:val="Medium Grid 1 - Accent 31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11">
    <w:name w:val="Grid Table 4 - Accent 3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11">
    <w:name w:val="No List2411"/>
    <w:next w:val="NoList"/>
    <w:uiPriority w:val="99"/>
    <w:unhideWhenUsed/>
    <w:rsid w:val="00C64FC7"/>
  </w:style>
  <w:style w:type="table" w:customStyle="1" w:styleId="MediumGrid1-Accent12311">
    <w:name w:val="Medium Grid 1 - Accent 12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11">
    <w:name w:val="Light Grid - Accent 112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11">
    <w:name w:val="Light Grid - Accent 52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11">
    <w:name w:val="Light Grid - Accent 122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11">
    <w:name w:val="Light List - Accent 52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11">
    <w:name w:val="Light List - Accent 112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11">
    <w:name w:val="Light Grid - Accent 132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11">
    <w:name w:val="Medium Grid 1 - Accent 32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11">
    <w:name w:val="Grid Table 4 Accent 3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11">
    <w:name w:val="No List3411"/>
    <w:next w:val="NoList"/>
    <w:uiPriority w:val="99"/>
    <w:unhideWhenUsed/>
    <w:rsid w:val="00C64FC7"/>
  </w:style>
  <w:style w:type="table" w:customStyle="1" w:styleId="MediumGrid1-Accent13311">
    <w:name w:val="Medium Grid 1 - Accent 13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11">
    <w:name w:val="Light Grid - Accent 113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11">
    <w:name w:val="Light Grid - Accent 53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11">
    <w:name w:val="Light Grid - Accent 123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11">
    <w:name w:val="Light List - Accent 53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11">
    <w:name w:val="Light List - Accent 113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11">
    <w:name w:val="Light Grid - Accent 133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11">
    <w:name w:val="Medium Grid 1 - Accent 33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11">
    <w:name w:val="Grid Table 4 Accent 32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1">
    <w:name w:val="Table Grid13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
    <w:name w:val="No List4111"/>
    <w:next w:val="NoList"/>
    <w:uiPriority w:val="99"/>
    <w:unhideWhenUsed/>
    <w:rsid w:val="00C64FC7"/>
  </w:style>
  <w:style w:type="table" w:customStyle="1" w:styleId="MediumGrid1-Accent14111">
    <w:name w:val="Medium Grid 1 - Accent 14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11">
    <w:name w:val="Light Grid - Accent 114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11">
    <w:name w:val="Light Grid - Accent 54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11">
    <w:name w:val="Light Grid - Accent 124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11">
    <w:name w:val="Light List - Accent 54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11">
    <w:name w:val="Light List - Accent 114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11">
    <w:name w:val="Light Grid - Accent 134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11">
    <w:name w:val="Medium Grid 1 - Accent 34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11">
    <w:name w:val="Table Grid211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11">
    <w:name w:val="Medium Grid 3 - Accent 111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1">
    <w:name w:val="No List11111"/>
    <w:next w:val="NoList"/>
    <w:uiPriority w:val="99"/>
    <w:unhideWhenUsed/>
    <w:rsid w:val="00C64FC7"/>
  </w:style>
  <w:style w:type="table" w:customStyle="1" w:styleId="MediumGrid1-Accent111111">
    <w:name w:val="Medium Grid 1 - Accent 111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11">
    <w:name w:val="Light Grid - Accent 111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11">
    <w:name w:val="Light Grid - Accent 5111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11">
    <w:name w:val="Light Grid - Accent 121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11">
    <w:name w:val="Light List - Accent 5111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11">
    <w:name w:val="Light List - Accent 1111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11">
    <w:name w:val="Light Grid - Accent 131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11">
    <w:name w:val="Medium Grid 1 - Accent 311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11">
    <w:name w:val="Grid Table 4 - Accent 3111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11">
    <w:name w:val="No List21111"/>
    <w:next w:val="NoList"/>
    <w:uiPriority w:val="99"/>
    <w:unhideWhenUsed/>
    <w:rsid w:val="00C64FC7"/>
  </w:style>
  <w:style w:type="table" w:customStyle="1" w:styleId="MediumGrid1-Accent121111">
    <w:name w:val="Medium Grid 1 - Accent 121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11">
    <w:name w:val="Light Grid - Accent 1121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11">
    <w:name w:val="Light Grid - Accent 521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11">
    <w:name w:val="Light Grid - Accent 122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11">
    <w:name w:val="Light List - Accent 521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11">
    <w:name w:val="Light List - Accent 1121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11">
    <w:name w:val="Light Grid - Accent 132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11">
    <w:name w:val="Medium Grid 1 - Accent 321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11">
    <w:name w:val="Grid Table 4 Accent 3111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11">
    <w:name w:val="No List31111"/>
    <w:next w:val="NoList"/>
    <w:uiPriority w:val="99"/>
    <w:unhideWhenUsed/>
    <w:rsid w:val="00C64FC7"/>
  </w:style>
  <w:style w:type="table" w:customStyle="1" w:styleId="MediumGrid1-Accent131111">
    <w:name w:val="Medium Grid 1 - Accent 131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11">
    <w:name w:val="Light Grid - Accent 1131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11">
    <w:name w:val="Light Grid - Accent 531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11">
    <w:name w:val="Light Grid - Accent 123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11">
    <w:name w:val="Light List - Accent 531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11">
    <w:name w:val="Light List - Accent 1131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11">
    <w:name w:val="Light Grid - Accent 133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11">
    <w:name w:val="Medium Grid 1 - Accent 331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11">
    <w:name w:val="Grid Table 4 Accent 3211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11">
    <w:name w:val="Table Grid111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1">
    <w:name w:val="No List5111"/>
    <w:next w:val="NoList"/>
    <w:uiPriority w:val="99"/>
    <w:unhideWhenUsed/>
    <w:rsid w:val="00C64FC7"/>
  </w:style>
  <w:style w:type="table" w:customStyle="1" w:styleId="MediumGrid1-Accent15111">
    <w:name w:val="Medium Grid 1 - Accent 15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11">
    <w:name w:val="Light Grid - Accent 115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11">
    <w:name w:val="Light Grid - Accent 55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11">
    <w:name w:val="Light Grid - Accent 125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11">
    <w:name w:val="Light List - Accent 55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11">
    <w:name w:val="Light List - Accent 115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11">
    <w:name w:val="Light Grid - Accent 135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11">
    <w:name w:val="Medium Grid 1 - Accent 35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11">
    <w:name w:val="No List12111"/>
    <w:next w:val="NoList"/>
    <w:uiPriority w:val="99"/>
    <w:unhideWhenUsed/>
    <w:rsid w:val="00C64FC7"/>
  </w:style>
  <w:style w:type="numbering" w:customStyle="1" w:styleId="NoList22111">
    <w:name w:val="No List22111"/>
    <w:next w:val="NoList"/>
    <w:uiPriority w:val="99"/>
    <w:unhideWhenUsed/>
    <w:rsid w:val="00C64FC7"/>
  </w:style>
  <w:style w:type="numbering" w:customStyle="1" w:styleId="NoList32111">
    <w:name w:val="No List32111"/>
    <w:next w:val="NoList"/>
    <w:uiPriority w:val="99"/>
    <w:unhideWhenUsed/>
    <w:rsid w:val="00C64FC7"/>
  </w:style>
  <w:style w:type="numbering" w:customStyle="1" w:styleId="NoList6111">
    <w:name w:val="No List6111"/>
    <w:next w:val="NoList"/>
    <w:uiPriority w:val="99"/>
    <w:unhideWhenUsed/>
    <w:rsid w:val="00C64FC7"/>
  </w:style>
  <w:style w:type="table" w:customStyle="1" w:styleId="MediumGrid1-Accent16111">
    <w:name w:val="Medium Grid 1 - Accent 16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11">
    <w:name w:val="Light Grid - Accent 116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11">
    <w:name w:val="Light Grid - Accent 56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11">
    <w:name w:val="Light Grid - Accent 126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11">
    <w:name w:val="Light List - Accent 56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11">
    <w:name w:val="Light List - Accent 116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11">
    <w:name w:val="Light Grid - Accent 136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11">
    <w:name w:val="Medium Grid 1 - Accent 36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11">
    <w:name w:val="No List13111"/>
    <w:next w:val="NoList"/>
    <w:uiPriority w:val="99"/>
    <w:unhideWhenUsed/>
    <w:rsid w:val="00C64FC7"/>
  </w:style>
  <w:style w:type="numbering" w:customStyle="1" w:styleId="NoList23111">
    <w:name w:val="No List23111"/>
    <w:next w:val="NoList"/>
    <w:uiPriority w:val="99"/>
    <w:unhideWhenUsed/>
    <w:rsid w:val="00C64FC7"/>
  </w:style>
  <w:style w:type="numbering" w:customStyle="1" w:styleId="NoList33111">
    <w:name w:val="No List33111"/>
    <w:next w:val="NoList"/>
    <w:uiPriority w:val="99"/>
    <w:unhideWhenUsed/>
    <w:rsid w:val="00C64FC7"/>
  </w:style>
  <w:style w:type="numbering" w:customStyle="1" w:styleId="NoList811">
    <w:name w:val="No List811"/>
    <w:next w:val="NoList"/>
    <w:uiPriority w:val="99"/>
    <w:unhideWhenUsed/>
    <w:rsid w:val="00C64FC7"/>
  </w:style>
  <w:style w:type="table" w:customStyle="1" w:styleId="TableGrid611">
    <w:name w:val="Table Grid6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11">
    <w:name w:val="Medium Grid 3 - Accent 14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11">
    <w:name w:val="Medium Grid 1 - Accent 18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11">
    <w:name w:val="Light Grid - Accent 118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11">
    <w:name w:val="Light Grid - Accent 58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11">
    <w:name w:val="Light Grid - Accent 128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11">
    <w:name w:val="Light List - Accent 58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11">
    <w:name w:val="Light List - Accent 118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11">
    <w:name w:val="Light Grid - Accent 138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11">
    <w:name w:val="Medium Grid 1 - Accent 38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11">
    <w:name w:val="No List1511"/>
    <w:next w:val="NoList"/>
    <w:uiPriority w:val="99"/>
    <w:unhideWhenUsed/>
    <w:rsid w:val="00C64FC7"/>
  </w:style>
  <w:style w:type="table" w:customStyle="1" w:styleId="MediumGrid1-Accent11411">
    <w:name w:val="Medium Grid 1 - Accent 11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11">
    <w:name w:val="Light Grid - Accent 11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11">
    <w:name w:val="Light Grid - Accent 514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11">
    <w:name w:val="Light Grid - Accent 12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11">
    <w:name w:val="Light List - Accent 514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11">
    <w:name w:val="Light List - Accent 111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11">
    <w:name w:val="Light Grid - Accent 13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11">
    <w:name w:val="Medium Grid 1 - Accent 31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11">
    <w:name w:val="Grid Table 4 - Accent 3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11">
    <w:name w:val="No List2511"/>
    <w:next w:val="NoList"/>
    <w:uiPriority w:val="99"/>
    <w:unhideWhenUsed/>
    <w:rsid w:val="00C64FC7"/>
  </w:style>
  <w:style w:type="table" w:customStyle="1" w:styleId="MediumGrid1-Accent12411">
    <w:name w:val="Medium Grid 1 - Accent 12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11">
    <w:name w:val="Light Grid - Accent 112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11">
    <w:name w:val="Light Grid - Accent 52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11">
    <w:name w:val="Light Grid - Accent 122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11">
    <w:name w:val="Light List - Accent 52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11">
    <w:name w:val="Light List - Accent 112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11">
    <w:name w:val="Light Grid - Accent 132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11">
    <w:name w:val="Medium Grid 1 - Accent 32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11">
    <w:name w:val="Grid Table 4 Accent 3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11">
    <w:name w:val="No List3511"/>
    <w:next w:val="NoList"/>
    <w:uiPriority w:val="99"/>
    <w:unhideWhenUsed/>
    <w:rsid w:val="00C64FC7"/>
  </w:style>
  <w:style w:type="table" w:customStyle="1" w:styleId="MediumGrid1-Accent13411">
    <w:name w:val="Medium Grid 1 - Accent 13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11">
    <w:name w:val="Light Grid - Accent 113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11">
    <w:name w:val="Light Grid - Accent 53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11">
    <w:name w:val="Light Grid - Accent 123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11">
    <w:name w:val="Light List - Accent 53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11">
    <w:name w:val="Light List - Accent 113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11">
    <w:name w:val="Light Grid - Accent 133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11">
    <w:name w:val="Medium Grid 1 - Accent 33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11">
    <w:name w:val="Grid Table 4 Accent 32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11">
    <w:name w:val="Table Grid14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unhideWhenUsed/>
    <w:rsid w:val="00C64FC7"/>
  </w:style>
  <w:style w:type="table" w:customStyle="1" w:styleId="MediumGrid1-Accent14211">
    <w:name w:val="Medium Grid 1 - Accent 14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11">
    <w:name w:val="Light Grid - Accent 114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11">
    <w:name w:val="Light Grid - Accent 54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11">
    <w:name w:val="Light Grid - Accent 124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11">
    <w:name w:val="Light List - Accent 54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11">
    <w:name w:val="Light List - Accent 114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11">
    <w:name w:val="Light Grid - Accent 134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11">
    <w:name w:val="Medium Grid 1 - Accent 34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11">
    <w:name w:val="Table Grid212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11">
    <w:name w:val="Medium Grid 3 - Accent 112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11">
    <w:name w:val="No List11211"/>
    <w:next w:val="NoList"/>
    <w:uiPriority w:val="99"/>
    <w:unhideWhenUsed/>
    <w:rsid w:val="00C64FC7"/>
  </w:style>
  <w:style w:type="table" w:customStyle="1" w:styleId="MediumGrid1-Accent111211">
    <w:name w:val="Medium Grid 1 - Accent 111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11">
    <w:name w:val="Light Grid - Accent 111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11">
    <w:name w:val="Light Grid - Accent 5112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11">
    <w:name w:val="Light Grid - Accent 121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11">
    <w:name w:val="Light List - Accent 5112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11">
    <w:name w:val="Light List - Accent 1111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11">
    <w:name w:val="Light Grid - Accent 131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11">
    <w:name w:val="Medium Grid 1 - Accent 311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11">
    <w:name w:val="Grid Table 4 - Accent 31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11">
    <w:name w:val="No List21211"/>
    <w:next w:val="NoList"/>
    <w:uiPriority w:val="99"/>
    <w:unhideWhenUsed/>
    <w:rsid w:val="00C64FC7"/>
  </w:style>
  <w:style w:type="table" w:customStyle="1" w:styleId="MediumGrid1-Accent121211">
    <w:name w:val="Medium Grid 1 - Accent 121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11">
    <w:name w:val="Light Grid - Accent 1121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11">
    <w:name w:val="Light Grid - Accent 521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11">
    <w:name w:val="Light Grid - Accent 122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11">
    <w:name w:val="Light List - Accent 521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11">
    <w:name w:val="Light List - Accent 1121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11">
    <w:name w:val="Light Grid - Accent 132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11">
    <w:name w:val="Medium Grid 1 - Accent 321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11">
    <w:name w:val="Grid Table 4 Accent 31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11">
    <w:name w:val="No List31211"/>
    <w:next w:val="NoList"/>
    <w:uiPriority w:val="99"/>
    <w:unhideWhenUsed/>
    <w:rsid w:val="00C64FC7"/>
  </w:style>
  <w:style w:type="table" w:customStyle="1" w:styleId="MediumGrid1-Accent131211">
    <w:name w:val="Medium Grid 1 - Accent 131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11">
    <w:name w:val="Light Grid - Accent 1131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11">
    <w:name w:val="Light Grid - Accent 531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11">
    <w:name w:val="Light Grid - Accent 123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11">
    <w:name w:val="Light List - Accent 531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11">
    <w:name w:val="Light List - Accent 1131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11">
    <w:name w:val="Light Grid - Accent 133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11">
    <w:name w:val="Medium Grid 1 - Accent 331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11">
    <w:name w:val="Grid Table 4 Accent 32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11">
    <w:name w:val="Table Grid112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unhideWhenUsed/>
    <w:rsid w:val="00C64FC7"/>
  </w:style>
  <w:style w:type="table" w:customStyle="1" w:styleId="MediumGrid1-Accent15211">
    <w:name w:val="Medium Grid 1 - Accent 15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11">
    <w:name w:val="Light Grid - Accent 115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11">
    <w:name w:val="Light Grid - Accent 55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11">
    <w:name w:val="Light Grid - Accent 125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11">
    <w:name w:val="Light List - Accent 55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11">
    <w:name w:val="Light List - Accent 115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11">
    <w:name w:val="Light Grid - Accent 135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11">
    <w:name w:val="Medium Grid 1 - Accent 35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11">
    <w:name w:val="No List12211"/>
    <w:next w:val="NoList"/>
    <w:uiPriority w:val="99"/>
    <w:unhideWhenUsed/>
    <w:rsid w:val="00C64FC7"/>
  </w:style>
  <w:style w:type="numbering" w:customStyle="1" w:styleId="NoList22211">
    <w:name w:val="No List22211"/>
    <w:next w:val="NoList"/>
    <w:uiPriority w:val="99"/>
    <w:unhideWhenUsed/>
    <w:rsid w:val="00C64FC7"/>
  </w:style>
  <w:style w:type="numbering" w:customStyle="1" w:styleId="NoList32211">
    <w:name w:val="No List32211"/>
    <w:next w:val="NoList"/>
    <w:uiPriority w:val="99"/>
    <w:unhideWhenUsed/>
    <w:rsid w:val="00C64FC7"/>
  </w:style>
  <w:style w:type="numbering" w:customStyle="1" w:styleId="NoList6211">
    <w:name w:val="No List6211"/>
    <w:next w:val="NoList"/>
    <w:uiPriority w:val="99"/>
    <w:unhideWhenUsed/>
    <w:rsid w:val="00C64FC7"/>
  </w:style>
  <w:style w:type="table" w:customStyle="1" w:styleId="MediumGrid1-Accent16211">
    <w:name w:val="Medium Grid 1 - Accent 16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11">
    <w:name w:val="Light Grid - Accent 116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11">
    <w:name w:val="Light Grid - Accent 56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11">
    <w:name w:val="Light Grid - Accent 126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11">
    <w:name w:val="Light List - Accent 56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11">
    <w:name w:val="Light List - Accent 116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11">
    <w:name w:val="Light Grid - Accent 136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11">
    <w:name w:val="Medium Grid 1 - Accent 36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11">
    <w:name w:val="No List13211"/>
    <w:next w:val="NoList"/>
    <w:uiPriority w:val="99"/>
    <w:unhideWhenUsed/>
    <w:rsid w:val="00C64FC7"/>
  </w:style>
  <w:style w:type="numbering" w:customStyle="1" w:styleId="NoList23211">
    <w:name w:val="No List23211"/>
    <w:next w:val="NoList"/>
    <w:uiPriority w:val="99"/>
    <w:unhideWhenUsed/>
    <w:rsid w:val="00C64FC7"/>
  </w:style>
  <w:style w:type="numbering" w:customStyle="1" w:styleId="NoList33211">
    <w:name w:val="No List33211"/>
    <w:next w:val="NoList"/>
    <w:uiPriority w:val="99"/>
    <w:unhideWhenUsed/>
    <w:rsid w:val="00C64FC7"/>
  </w:style>
  <w:style w:type="numbering" w:customStyle="1" w:styleId="NoList911">
    <w:name w:val="No List911"/>
    <w:next w:val="NoList"/>
    <w:uiPriority w:val="99"/>
    <w:unhideWhenUsed/>
    <w:rsid w:val="00C64FC7"/>
  </w:style>
  <w:style w:type="table" w:customStyle="1" w:styleId="TableGrid711">
    <w:name w:val="Table Grid7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11">
    <w:name w:val="Medium Grid 3 - Accent 1511"/>
    <w:basedOn w:val="TableNormal"/>
    <w:next w:val="MediumGrid3-Accent1"/>
    <w:uiPriority w:val="69"/>
    <w:locked/>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11">
    <w:name w:val="Medium Grid 1 - Accent 19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11">
    <w:name w:val="Light Grid - Accent 119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11">
    <w:name w:val="Light Grid - Accent 59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11">
    <w:name w:val="Light Grid - Accent 129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11">
    <w:name w:val="Light List - Accent 59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11">
    <w:name w:val="Light List - Accent 119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11">
    <w:name w:val="Light Grid - Accent 139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11">
    <w:name w:val="Medium Grid 1 - Accent 39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11">
    <w:name w:val="No List1611"/>
    <w:next w:val="NoList"/>
    <w:uiPriority w:val="99"/>
    <w:unhideWhenUsed/>
    <w:rsid w:val="00C64FC7"/>
  </w:style>
  <w:style w:type="table" w:customStyle="1" w:styleId="MediumGrid1-Accent11511">
    <w:name w:val="Medium Grid 1 - Accent 11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11">
    <w:name w:val="Light Grid - Accent 11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11">
    <w:name w:val="Light Grid - Accent 515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11">
    <w:name w:val="Light Grid - Accent 12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11">
    <w:name w:val="Light List - Accent 515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11">
    <w:name w:val="Light List - Accent 111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11">
    <w:name w:val="Light Grid - Accent 13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11">
    <w:name w:val="Medium Grid 1 - Accent 31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11">
    <w:name w:val="Grid Table 4 - Accent 3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11">
    <w:name w:val="No List2611"/>
    <w:next w:val="NoList"/>
    <w:uiPriority w:val="99"/>
    <w:unhideWhenUsed/>
    <w:rsid w:val="00C64FC7"/>
  </w:style>
  <w:style w:type="table" w:customStyle="1" w:styleId="MediumGrid1-Accent12511">
    <w:name w:val="Medium Grid 1 - Accent 12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11">
    <w:name w:val="Light Grid - Accent 112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11">
    <w:name w:val="Light Grid - Accent 52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11">
    <w:name w:val="Light Grid - Accent 122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11">
    <w:name w:val="Light List - Accent 52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11">
    <w:name w:val="Light List - Accent 112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11">
    <w:name w:val="Light Grid - Accent 132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11">
    <w:name w:val="Medium Grid 1 - Accent 32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11">
    <w:name w:val="Grid Table 4 Accent 3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11">
    <w:name w:val="No List3611"/>
    <w:next w:val="NoList"/>
    <w:uiPriority w:val="99"/>
    <w:unhideWhenUsed/>
    <w:rsid w:val="00C64FC7"/>
  </w:style>
  <w:style w:type="table" w:customStyle="1" w:styleId="MediumGrid1-Accent13511">
    <w:name w:val="Medium Grid 1 - Accent 13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11">
    <w:name w:val="Light Grid - Accent 113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11">
    <w:name w:val="Light Grid - Accent 53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11">
    <w:name w:val="Light Grid - Accent 123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11">
    <w:name w:val="Light List - Accent 53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11">
    <w:name w:val="Light List - Accent 113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11">
    <w:name w:val="Light Grid - Accent 133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11">
    <w:name w:val="Medium Grid 1 - Accent 33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11">
    <w:name w:val="Grid Table 4 Accent 32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11">
    <w:name w:val="Table Grid15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unhideWhenUsed/>
    <w:rsid w:val="00C64FC7"/>
  </w:style>
  <w:style w:type="table" w:customStyle="1" w:styleId="MediumGrid1-Accent14311">
    <w:name w:val="Medium Grid 1 - Accent 14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11">
    <w:name w:val="Light Grid - Accent 114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11">
    <w:name w:val="Light Grid - Accent 54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11">
    <w:name w:val="Light Grid - Accent 124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11">
    <w:name w:val="Light List - Accent 54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11">
    <w:name w:val="Light List - Accent 114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11">
    <w:name w:val="Light Grid - Accent 134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11">
    <w:name w:val="Medium Grid 1 - Accent 34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11">
    <w:name w:val="Table Grid213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11">
    <w:name w:val="Medium Grid 3 - Accent 113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11">
    <w:name w:val="No List11311"/>
    <w:next w:val="NoList"/>
    <w:uiPriority w:val="99"/>
    <w:unhideWhenUsed/>
    <w:rsid w:val="00C64FC7"/>
  </w:style>
  <w:style w:type="table" w:customStyle="1" w:styleId="MediumGrid1-Accent111311">
    <w:name w:val="Medium Grid 1 - Accent 111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11">
    <w:name w:val="Light Grid - Accent 111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11">
    <w:name w:val="Light Grid - Accent 5113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11">
    <w:name w:val="Light Grid - Accent 121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11">
    <w:name w:val="Light List - Accent 5113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11">
    <w:name w:val="Light List - Accent 1111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11">
    <w:name w:val="Light Grid - Accent 131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11">
    <w:name w:val="Medium Grid 1 - Accent 311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11">
    <w:name w:val="Grid Table 4 - Accent 31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11">
    <w:name w:val="No List21311"/>
    <w:next w:val="NoList"/>
    <w:uiPriority w:val="99"/>
    <w:unhideWhenUsed/>
    <w:rsid w:val="00C64FC7"/>
  </w:style>
  <w:style w:type="table" w:customStyle="1" w:styleId="MediumGrid1-Accent121311">
    <w:name w:val="Medium Grid 1 - Accent 121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11">
    <w:name w:val="Light Grid - Accent 1121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11">
    <w:name w:val="Light Grid - Accent 521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11">
    <w:name w:val="Light Grid - Accent 122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11">
    <w:name w:val="Light List - Accent 521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11">
    <w:name w:val="Light List - Accent 1121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11">
    <w:name w:val="Light Grid - Accent 132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11">
    <w:name w:val="Medium Grid 1 - Accent 321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11">
    <w:name w:val="Grid Table 4 Accent 31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11">
    <w:name w:val="No List31311"/>
    <w:next w:val="NoList"/>
    <w:uiPriority w:val="99"/>
    <w:unhideWhenUsed/>
    <w:rsid w:val="00C64FC7"/>
  </w:style>
  <w:style w:type="table" w:customStyle="1" w:styleId="MediumGrid1-Accent131311">
    <w:name w:val="Medium Grid 1 - Accent 131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11">
    <w:name w:val="Light Grid - Accent 1131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11">
    <w:name w:val="Light Grid - Accent 531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11">
    <w:name w:val="Light Grid - Accent 123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11">
    <w:name w:val="Light List - Accent 531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11">
    <w:name w:val="Light List - Accent 1131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11">
    <w:name w:val="Light Grid - Accent 133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11">
    <w:name w:val="Medium Grid 1 - Accent 331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11">
    <w:name w:val="Grid Table 4 Accent 32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11">
    <w:name w:val="Table Grid113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1">
    <w:name w:val="No List5311"/>
    <w:next w:val="NoList"/>
    <w:uiPriority w:val="99"/>
    <w:unhideWhenUsed/>
    <w:rsid w:val="00C64FC7"/>
  </w:style>
  <w:style w:type="table" w:customStyle="1" w:styleId="MediumGrid1-Accent15311">
    <w:name w:val="Medium Grid 1 - Accent 15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11">
    <w:name w:val="Light Grid - Accent 115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11">
    <w:name w:val="Light Grid - Accent 55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11">
    <w:name w:val="Light Grid - Accent 125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11">
    <w:name w:val="Light List - Accent 55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11">
    <w:name w:val="Light List - Accent 115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11">
    <w:name w:val="Light Grid - Accent 135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11">
    <w:name w:val="Medium Grid 1 - Accent 35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11">
    <w:name w:val="No List12311"/>
    <w:next w:val="NoList"/>
    <w:uiPriority w:val="99"/>
    <w:unhideWhenUsed/>
    <w:rsid w:val="00C64FC7"/>
  </w:style>
  <w:style w:type="numbering" w:customStyle="1" w:styleId="NoList22311">
    <w:name w:val="No List22311"/>
    <w:next w:val="NoList"/>
    <w:uiPriority w:val="99"/>
    <w:unhideWhenUsed/>
    <w:rsid w:val="00C64FC7"/>
  </w:style>
  <w:style w:type="numbering" w:customStyle="1" w:styleId="NoList32311">
    <w:name w:val="No List32311"/>
    <w:next w:val="NoList"/>
    <w:uiPriority w:val="99"/>
    <w:unhideWhenUsed/>
    <w:rsid w:val="00C64FC7"/>
  </w:style>
  <w:style w:type="numbering" w:customStyle="1" w:styleId="NoList6311">
    <w:name w:val="No List6311"/>
    <w:next w:val="NoList"/>
    <w:uiPriority w:val="99"/>
    <w:unhideWhenUsed/>
    <w:rsid w:val="00C64FC7"/>
  </w:style>
  <w:style w:type="table" w:customStyle="1" w:styleId="MediumGrid1-Accent16311">
    <w:name w:val="Medium Grid 1 - Accent 16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11">
    <w:name w:val="Light Grid - Accent 116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11">
    <w:name w:val="Light Grid - Accent 56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11">
    <w:name w:val="Light Grid - Accent 126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11">
    <w:name w:val="Light List - Accent 56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11">
    <w:name w:val="Light List - Accent 116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11">
    <w:name w:val="Light Grid - Accent 136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11">
    <w:name w:val="Medium Grid 1 - Accent 36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11">
    <w:name w:val="No List13311"/>
    <w:next w:val="NoList"/>
    <w:uiPriority w:val="99"/>
    <w:unhideWhenUsed/>
    <w:rsid w:val="00C64FC7"/>
  </w:style>
  <w:style w:type="numbering" w:customStyle="1" w:styleId="NoList23311">
    <w:name w:val="No List23311"/>
    <w:next w:val="NoList"/>
    <w:uiPriority w:val="99"/>
    <w:unhideWhenUsed/>
    <w:rsid w:val="00C64FC7"/>
  </w:style>
  <w:style w:type="numbering" w:customStyle="1" w:styleId="NoList33311">
    <w:name w:val="No List33311"/>
    <w:next w:val="NoList"/>
    <w:uiPriority w:val="99"/>
    <w:unhideWhenUsed/>
    <w:rsid w:val="00C64FC7"/>
  </w:style>
  <w:style w:type="numbering" w:customStyle="1" w:styleId="NoList1011">
    <w:name w:val="No List1011"/>
    <w:next w:val="NoList"/>
    <w:uiPriority w:val="99"/>
    <w:unhideWhenUsed/>
    <w:rsid w:val="00C64FC7"/>
  </w:style>
  <w:style w:type="table" w:customStyle="1" w:styleId="TableGrid811">
    <w:name w:val="Table Grid8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11">
    <w:name w:val="Medium Grid 3 - Accent 16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11">
    <w:name w:val="Medium Grid 1 - Accent 110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11">
    <w:name w:val="Light Grid - Accent 1110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11">
    <w:name w:val="Light Grid - Accent 510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11">
    <w:name w:val="Light Grid - Accent 1210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11">
    <w:name w:val="Light List - Accent 510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11">
    <w:name w:val="Light List - Accent 1110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11">
    <w:name w:val="Light Grid - Accent 1310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11">
    <w:name w:val="Medium Grid 1 - Accent 310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11">
    <w:name w:val="No List1711"/>
    <w:next w:val="NoList"/>
    <w:uiPriority w:val="99"/>
    <w:unhideWhenUsed/>
    <w:rsid w:val="00C64FC7"/>
  </w:style>
  <w:style w:type="table" w:customStyle="1" w:styleId="MediumGrid1-Accent11611">
    <w:name w:val="Medium Grid 1 - Accent 116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11">
    <w:name w:val="Light Grid - Accent 111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11">
    <w:name w:val="Light Grid - Accent 516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11">
    <w:name w:val="Light Grid - Accent 121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11">
    <w:name w:val="Light List - Accent 516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11">
    <w:name w:val="Light List - Accent 1116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11">
    <w:name w:val="Light Grid - Accent 131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11">
    <w:name w:val="Medium Grid 1 - Accent 316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11">
    <w:name w:val="Grid Table 4 - Accent 316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11">
    <w:name w:val="No List2711"/>
    <w:next w:val="NoList"/>
    <w:uiPriority w:val="99"/>
    <w:unhideWhenUsed/>
    <w:rsid w:val="00C64FC7"/>
  </w:style>
  <w:style w:type="table" w:customStyle="1" w:styleId="MediumGrid1-Accent12611">
    <w:name w:val="Medium Grid 1 - Accent 126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11">
    <w:name w:val="Light Grid - Accent 1126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11">
    <w:name w:val="Light Grid - Accent 526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11">
    <w:name w:val="Light Grid - Accent 122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11">
    <w:name w:val="Light List - Accent 526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11">
    <w:name w:val="Light List - Accent 1126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11">
    <w:name w:val="Light Grid - Accent 132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11">
    <w:name w:val="Medium Grid 1 - Accent 326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11">
    <w:name w:val="Grid Table 4 Accent 316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11">
    <w:name w:val="No List3711"/>
    <w:next w:val="NoList"/>
    <w:uiPriority w:val="99"/>
    <w:unhideWhenUsed/>
    <w:rsid w:val="00C64FC7"/>
  </w:style>
  <w:style w:type="table" w:customStyle="1" w:styleId="MediumGrid1-Accent13611">
    <w:name w:val="Medium Grid 1 - Accent 136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11">
    <w:name w:val="Light Grid - Accent 1136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11">
    <w:name w:val="Light Grid - Accent 536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11">
    <w:name w:val="Light Grid - Accent 123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11">
    <w:name w:val="Light List - Accent 536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11">
    <w:name w:val="Light List - Accent 1136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11">
    <w:name w:val="Light Grid - Accent 133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11">
    <w:name w:val="Medium Grid 1 - Accent 336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11">
    <w:name w:val="Grid Table 4 Accent 326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11">
    <w:name w:val="Table Grid16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1">
    <w:name w:val="No List4411"/>
    <w:next w:val="NoList"/>
    <w:uiPriority w:val="99"/>
    <w:unhideWhenUsed/>
    <w:rsid w:val="00C64FC7"/>
  </w:style>
  <w:style w:type="table" w:customStyle="1" w:styleId="MediumGrid1-Accent14411">
    <w:name w:val="Medium Grid 1 - Accent 14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11">
    <w:name w:val="Light Grid - Accent 114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11">
    <w:name w:val="Light Grid - Accent 54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11">
    <w:name w:val="Light Grid - Accent 124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11">
    <w:name w:val="Light List - Accent 54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11">
    <w:name w:val="Light List - Accent 114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11">
    <w:name w:val="Light Grid - Accent 134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11">
    <w:name w:val="Medium Grid 1 - Accent 34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11">
    <w:name w:val="Table Grid214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11">
    <w:name w:val="Medium Grid 3 - Accent 114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11">
    <w:name w:val="No List11411"/>
    <w:next w:val="NoList"/>
    <w:uiPriority w:val="99"/>
    <w:unhideWhenUsed/>
    <w:rsid w:val="00C64FC7"/>
  </w:style>
  <w:style w:type="table" w:customStyle="1" w:styleId="MediumGrid1-Accent111411">
    <w:name w:val="Medium Grid 1 - Accent 111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11">
    <w:name w:val="Light Grid - Accent 111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11">
    <w:name w:val="Light Grid - Accent 5114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11">
    <w:name w:val="Light Grid - Accent 121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11">
    <w:name w:val="Light List - Accent 5114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11">
    <w:name w:val="Light List - Accent 1111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11">
    <w:name w:val="Light Grid - Accent 131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11">
    <w:name w:val="Medium Grid 1 - Accent 311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11">
    <w:name w:val="Grid Table 4 - Accent 31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11">
    <w:name w:val="No List21411"/>
    <w:next w:val="NoList"/>
    <w:uiPriority w:val="99"/>
    <w:unhideWhenUsed/>
    <w:rsid w:val="00C64FC7"/>
  </w:style>
  <w:style w:type="table" w:customStyle="1" w:styleId="MediumGrid1-Accent121411">
    <w:name w:val="Medium Grid 1 - Accent 121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11">
    <w:name w:val="Light Grid - Accent 1121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11">
    <w:name w:val="Light Grid - Accent 521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11">
    <w:name w:val="Light Grid - Accent 122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11">
    <w:name w:val="Light List - Accent 521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11">
    <w:name w:val="Light List - Accent 1121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11">
    <w:name w:val="Light Grid - Accent 132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11">
    <w:name w:val="Medium Grid 1 - Accent 321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11">
    <w:name w:val="Grid Table 4 Accent 31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11">
    <w:name w:val="No List31411"/>
    <w:next w:val="NoList"/>
    <w:uiPriority w:val="99"/>
    <w:unhideWhenUsed/>
    <w:rsid w:val="00C64FC7"/>
  </w:style>
  <w:style w:type="table" w:customStyle="1" w:styleId="MediumGrid1-Accent131411">
    <w:name w:val="Medium Grid 1 - Accent 131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11">
    <w:name w:val="Light Grid - Accent 1131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11">
    <w:name w:val="Light Grid - Accent 531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11">
    <w:name w:val="Light Grid - Accent 123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11">
    <w:name w:val="Light List - Accent 531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11">
    <w:name w:val="Light List - Accent 1131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11">
    <w:name w:val="Light Grid - Accent 133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11">
    <w:name w:val="Medium Grid 1 - Accent 331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11">
    <w:name w:val="Grid Table 4 Accent 32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11">
    <w:name w:val="Table Grid114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1">
    <w:name w:val="No List5411"/>
    <w:next w:val="NoList"/>
    <w:uiPriority w:val="99"/>
    <w:unhideWhenUsed/>
    <w:rsid w:val="00C64FC7"/>
  </w:style>
  <w:style w:type="table" w:customStyle="1" w:styleId="MediumGrid1-Accent15411">
    <w:name w:val="Medium Grid 1 - Accent 15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11">
    <w:name w:val="Light Grid - Accent 115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11">
    <w:name w:val="Light Grid - Accent 55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11">
    <w:name w:val="Light Grid - Accent 125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11">
    <w:name w:val="Light List - Accent 55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11">
    <w:name w:val="Light List - Accent 115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11">
    <w:name w:val="Light Grid - Accent 135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11">
    <w:name w:val="Medium Grid 1 - Accent 35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11">
    <w:name w:val="No List12411"/>
    <w:next w:val="NoList"/>
    <w:uiPriority w:val="99"/>
    <w:unhideWhenUsed/>
    <w:rsid w:val="00C64FC7"/>
  </w:style>
  <w:style w:type="numbering" w:customStyle="1" w:styleId="NoList22411">
    <w:name w:val="No List22411"/>
    <w:next w:val="NoList"/>
    <w:uiPriority w:val="99"/>
    <w:unhideWhenUsed/>
    <w:rsid w:val="00C64FC7"/>
  </w:style>
  <w:style w:type="numbering" w:customStyle="1" w:styleId="NoList32411">
    <w:name w:val="No List32411"/>
    <w:next w:val="NoList"/>
    <w:uiPriority w:val="99"/>
    <w:unhideWhenUsed/>
    <w:rsid w:val="00C64FC7"/>
  </w:style>
  <w:style w:type="numbering" w:customStyle="1" w:styleId="NoList6411">
    <w:name w:val="No List6411"/>
    <w:next w:val="NoList"/>
    <w:uiPriority w:val="99"/>
    <w:unhideWhenUsed/>
    <w:rsid w:val="00C64FC7"/>
  </w:style>
  <w:style w:type="table" w:customStyle="1" w:styleId="MediumGrid1-Accent16411">
    <w:name w:val="Medium Grid 1 - Accent 16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11">
    <w:name w:val="Light Grid - Accent 116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11">
    <w:name w:val="Light Grid - Accent 56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11">
    <w:name w:val="Light Grid - Accent 126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11">
    <w:name w:val="Light List - Accent 56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11">
    <w:name w:val="Light List - Accent 116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11">
    <w:name w:val="Light Grid - Accent 136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11">
    <w:name w:val="Medium Grid 1 - Accent 36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11">
    <w:name w:val="No List13411"/>
    <w:next w:val="NoList"/>
    <w:uiPriority w:val="99"/>
    <w:unhideWhenUsed/>
    <w:rsid w:val="00C64FC7"/>
  </w:style>
  <w:style w:type="numbering" w:customStyle="1" w:styleId="NoList23411">
    <w:name w:val="No List23411"/>
    <w:next w:val="NoList"/>
    <w:uiPriority w:val="99"/>
    <w:unhideWhenUsed/>
    <w:rsid w:val="00C64FC7"/>
  </w:style>
  <w:style w:type="numbering" w:customStyle="1" w:styleId="NoList33411">
    <w:name w:val="No List33411"/>
    <w:next w:val="NoList"/>
    <w:uiPriority w:val="99"/>
    <w:unhideWhenUsed/>
    <w:rsid w:val="00C64FC7"/>
  </w:style>
  <w:style w:type="numbering" w:customStyle="1" w:styleId="NoList1811">
    <w:name w:val="No List1811"/>
    <w:next w:val="NoList"/>
    <w:uiPriority w:val="99"/>
    <w:unhideWhenUsed/>
    <w:rsid w:val="00C64FC7"/>
  </w:style>
  <w:style w:type="table" w:customStyle="1" w:styleId="TableGrid911">
    <w:name w:val="Table Grid9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11">
    <w:name w:val="Medium Grid 3 - Accent 17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11">
    <w:name w:val="Medium Grid 1 - Accent 117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11">
    <w:name w:val="Light Grid - Accent 1117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11">
    <w:name w:val="Light Grid - Accent 517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11">
    <w:name w:val="Light Grid - Accent 1217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11">
    <w:name w:val="Light List - Accent 51711"/>
    <w:basedOn w:val="TableNormal"/>
    <w:next w:val="LightList-Accent5"/>
    <w:uiPriority w:val="61"/>
    <w:locked/>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11">
    <w:name w:val="Light List - Accent 1117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11">
    <w:name w:val="Light Grid - Accent 131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11">
    <w:name w:val="Medium Grid 1 - Accent 317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11">
    <w:name w:val="No List1911"/>
    <w:next w:val="NoList"/>
    <w:uiPriority w:val="99"/>
    <w:unhideWhenUsed/>
    <w:rsid w:val="00C64FC7"/>
  </w:style>
  <w:style w:type="table" w:customStyle="1" w:styleId="MediumGrid1-Accent11811">
    <w:name w:val="Medium Grid 1 - Accent 118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11">
    <w:name w:val="Light Grid - Accent 1118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11">
    <w:name w:val="Light Grid - Accent 518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11">
    <w:name w:val="Light Grid - Accent 1218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11">
    <w:name w:val="Light List - Accent 518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11">
    <w:name w:val="Light List - Accent 1118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11">
    <w:name w:val="Light Grid - Accent 1318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11">
    <w:name w:val="Medium Grid 1 - Accent 318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11">
    <w:name w:val="Grid Table 4 - Accent 317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11">
    <w:name w:val="No List2811"/>
    <w:next w:val="NoList"/>
    <w:uiPriority w:val="99"/>
    <w:unhideWhenUsed/>
    <w:rsid w:val="00C64FC7"/>
  </w:style>
  <w:style w:type="table" w:customStyle="1" w:styleId="MediumGrid1-Accent12711">
    <w:name w:val="Medium Grid 1 - Accent 127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11">
    <w:name w:val="Light Grid - Accent 1127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11">
    <w:name w:val="Light Grid - Accent 527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11">
    <w:name w:val="Light Grid - Accent 122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11">
    <w:name w:val="Light List - Accent 527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11">
    <w:name w:val="Light List - Accent 1127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11">
    <w:name w:val="Light Grid - Accent 132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11">
    <w:name w:val="Medium Grid 1 - Accent 327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11">
    <w:name w:val="Grid Table 4 Accent 317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11">
    <w:name w:val="No List3811"/>
    <w:next w:val="NoList"/>
    <w:uiPriority w:val="99"/>
    <w:unhideWhenUsed/>
    <w:rsid w:val="00C64FC7"/>
  </w:style>
  <w:style w:type="table" w:customStyle="1" w:styleId="MediumGrid1-Accent13711">
    <w:name w:val="Medium Grid 1 - Accent 137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11">
    <w:name w:val="Light Grid - Accent 1137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11">
    <w:name w:val="Light Grid - Accent 537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11">
    <w:name w:val="Light Grid - Accent 123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11">
    <w:name w:val="Light List - Accent 537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11">
    <w:name w:val="Light List - Accent 1137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11">
    <w:name w:val="Light Grid - Accent 133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11">
    <w:name w:val="Medium Grid 1 - Accent 337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11">
    <w:name w:val="Grid Table 4 Accent 327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11">
    <w:name w:val="Table Grid17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1">
    <w:name w:val="No List4511"/>
    <w:next w:val="NoList"/>
    <w:uiPriority w:val="99"/>
    <w:unhideWhenUsed/>
    <w:rsid w:val="00C64FC7"/>
  </w:style>
  <w:style w:type="table" w:customStyle="1" w:styleId="MediumGrid1-Accent14511">
    <w:name w:val="Medium Grid 1 - Accent 14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11">
    <w:name w:val="Light Grid - Accent 114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11">
    <w:name w:val="Light Grid - Accent 54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11">
    <w:name w:val="Light Grid - Accent 124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11">
    <w:name w:val="Light List - Accent 54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11">
    <w:name w:val="Light List - Accent 114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11">
    <w:name w:val="Light Grid - Accent 134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11">
    <w:name w:val="Medium Grid 1 - Accent 34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11">
    <w:name w:val="Table Grid215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11">
    <w:name w:val="Medium Grid 3 - Accent 115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11">
    <w:name w:val="No List11511"/>
    <w:next w:val="NoList"/>
    <w:uiPriority w:val="99"/>
    <w:unhideWhenUsed/>
    <w:rsid w:val="00C64FC7"/>
  </w:style>
  <w:style w:type="table" w:customStyle="1" w:styleId="MediumGrid1-Accent111511">
    <w:name w:val="Medium Grid 1 - Accent 111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11">
    <w:name w:val="Light Grid - Accent 111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11">
    <w:name w:val="Light Grid - Accent 5115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11">
    <w:name w:val="Light Grid - Accent 121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11">
    <w:name w:val="Light List - Accent 5115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11">
    <w:name w:val="Light List - Accent 1111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11">
    <w:name w:val="Light Grid - Accent 131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11">
    <w:name w:val="Medium Grid 1 - Accent 311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11">
    <w:name w:val="Grid Table 4 - Accent 31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11">
    <w:name w:val="No List21511"/>
    <w:next w:val="NoList"/>
    <w:uiPriority w:val="99"/>
    <w:unhideWhenUsed/>
    <w:rsid w:val="00C64FC7"/>
  </w:style>
  <w:style w:type="table" w:customStyle="1" w:styleId="MediumGrid1-Accent121511">
    <w:name w:val="Medium Grid 1 - Accent 121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11">
    <w:name w:val="Light Grid - Accent 1121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11">
    <w:name w:val="Light Grid - Accent 521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11">
    <w:name w:val="Light Grid - Accent 122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11">
    <w:name w:val="Light List - Accent 521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11">
    <w:name w:val="Light List - Accent 1121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11">
    <w:name w:val="Light Grid - Accent 132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11">
    <w:name w:val="Medium Grid 1 - Accent 321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11">
    <w:name w:val="Grid Table 4 Accent 31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11">
    <w:name w:val="No List31511"/>
    <w:next w:val="NoList"/>
    <w:uiPriority w:val="99"/>
    <w:unhideWhenUsed/>
    <w:rsid w:val="00C64FC7"/>
  </w:style>
  <w:style w:type="table" w:customStyle="1" w:styleId="MediumGrid1-Accent131511">
    <w:name w:val="Medium Grid 1 - Accent 131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11">
    <w:name w:val="Light Grid - Accent 1131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11">
    <w:name w:val="Light Grid - Accent 531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11">
    <w:name w:val="Light Grid - Accent 123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11">
    <w:name w:val="Light List - Accent 531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11">
    <w:name w:val="Light List - Accent 1131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11">
    <w:name w:val="Light Grid - Accent 133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11">
    <w:name w:val="Medium Grid 1 - Accent 331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11">
    <w:name w:val="Grid Table 4 Accent 32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11">
    <w:name w:val="Table Grid115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1">
    <w:name w:val="No List5511"/>
    <w:next w:val="NoList"/>
    <w:uiPriority w:val="99"/>
    <w:unhideWhenUsed/>
    <w:rsid w:val="00C64FC7"/>
  </w:style>
  <w:style w:type="table" w:customStyle="1" w:styleId="MediumGrid1-Accent15511">
    <w:name w:val="Medium Grid 1 - Accent 15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11">
    <w:name w:val="Light Grid - Accent 115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11">
    <w:name w:val="Light Grid - Accent 55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11">
    <w:name w:val="Light Grid - Accent 125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11">
    <w:name w:val="Light List - Accent 55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11">
    <w:name w:val="Light List - Accent 115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11">
    <w:name w:val="Light Grid - Accent 135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11">
    <w:name w:val="Medium Grid 1 - Accent 35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11">
    <w:name w:val="No List12511"/>
    <w:next w:val="NoList"/>
    <w:uiPriority w:val="99"/>
    <w:unhideWhenUsed/>
    <w:rsid w:val="00C64FC7"/>
  </w:style>
  <w:style w:type="numbering" w:customStyle="1" w:styleId="NoList22511">
    <w:name w:val="No List22511"/>
    <w:next w:val="NoList"/>
    <w:uiPriority w:val="99"/>
    <w:unhideWhenUsed/>
    <w:rsid w:val="00C64FC7"/>
  </w:style>
  <w:style w:type="numbering" w:customStyle="1" w:styleId="NoList32511">
    <w:name w:val="No List32511"/>
    <w:next w:val="NoList"/>
    <w:uiPriority w:val="99"/>
    <w:unhideWhenUsed/>
    <w:rsid w:val="00C64FC7"/>
  </w:style>
  <w:style w:type="numbering" w:customStyle="1" w:styleId="NoList6511">
    <w:name w:val="No List6511"/>
    <w:next w:val="NoList"/>
    <w:uiPriority w:val="99"/>
    <w:unhideWhenUsed/>
    <w:rsid w:val="00C64FC7"/>
  </w:style>
  <w:style w:type="table" w:customStyle="1" w:styleId="MediumGrid1-Accent16511">
    <w:name w:val="Medium Grid 1 - Accent 16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11">
    <w:name w:val="Light Grid - Accent 116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11">
    <w:name w:val="Light Grid - Accent 56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11">
    <w:name w:val="Light Grid - Accent 126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11">
    <w:name w:val="Light List - Accent 56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11">
    <w:name w:val="Light List - Accent 116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11">
    <w:name w:val="Light Grid - Accent 136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11">
    <w:name w:val="Medium Grid 1 - Accent 36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11">
    <w:name w:val="No List13511"/>
    <w:next w:val="NoList"/>
    <w:uiPriority w:val="99"/>
    <w:unhideWhenUsed/>
    <w:rsid w:val="00C64FC7"/>
  </w:style>
  <w:style w:type="numbering" w:customStyle="1" w:styleId="NoList23511">
    <w:name w:val="No List23511"/>
    <w:next w:val="NoList"/>
    <w:uiPriority w:val="99"/>
    <w:unhideWhenUsed/>
    <w:rsid w:val="00C64FC7"/>
  </w:style>
  <w:style w:type="numbering" w:customStyle="1" w:styleId="NoList33511">
    <w:name w:val="No List33511"/>
    <w:next w:val="NoList"/>
    <w:uiPriority w:val="99"/>
    <w:unhideWhenUsed/>
    <w:rsid w:val="00C64FC7"/>
  </w:style>
  <w:style w:type="numbering" w:customStyle="1" w:styleId="NoList40">
    <w:name w:val="No List40"/>
    <w:next w:val="NoList"/>
    <w:uiPriority w:val="99"/>
    <w:unhideWhenUsed/>
    <w:rsid w:val="00C64FC7"/>
  </w:style>
  <w:style w:type="table" w:customStyle="1" w:styleId="TableGrid20">
    <w:name w:val="Table Grid20"/>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0">
    <w:name w:val="Medium Grid 3 - Accent 110"/>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30">
    <w:name w:val="Medium Grid 1 - Accent 130"/>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30">
    <w:name w:val="Light Grid - Accent 1130"/>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30">
    <w:name w:val="Light Grid - Accent 530"/>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30">
    <w:name w:val="Light Grid - Accent 1230"/>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30">
    <w:name w:val="Light List - Accent 530"/>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30">
    <w:name w:val="Light List - Accent 1130"/>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30">
    <w:name w:val="Light Grid - Accent 133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30">
    <w:name w:val="Medium Grid 1 - Accent 33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9">
    <w:name w:val="No List119"/>
    <w:next w:val="NoList"/>
    <w:uiPriority w:val="99"/>
    <w:unhideWhenUsed/>
    <w:rsid w:val="00C64FC7"/>
  </w:style>
  <w:style w:type="table" w:customStyle="1" w:styleId="MediumGrid1-Accent1119">
    <w:name w:val="Medium Grid 1 - Accent 1119"/>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9">
    <w:name w:val="Light Grid - Accent 1111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9">
    <w:name w:val="Light Grid - Accent 5119"/>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9">
    <w:name w:val="Light Grid - Accent 1211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9">
    <w:name w:val="Light List - Accent 5119"/>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9">
    <w:name w:val="Light List - Accent 11119"/>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9">
    <w:name w:val="Light Grid - Accent 1311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9">
    <w:name w:val="Medium Grid 1 - Accent 3119"/>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0">
    <w:name w:val="Grid Table 4 - Accent 3110"/>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8">
    <w:name w:val="No List218"/>
    <w:next w:val="NoList"/>
    <w:uiPriority w:val="99"/>
    <w:unhideWhenUsed/>
    <w:rsid w:val="00C64FC7"/>
  </w:style>
  <w:style w:type="table" w:customStyle="1" w:styleId="MediumGrid1-Accent1210">
    <w:name w:val="Medium Grid 1 - Accent 1210"/>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0">
    <w:name w:val="Light Grid - Accent 11210"/>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0">
    <w:name w:val="Light Grid - Accent 5210"/>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0">
    <w:name w:val="Light Grid - Accent 122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0">
    <w:name w:val="Light List - Accent 5210"/>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0">
    <w:name w:val="Light List - Accent 11210"/>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0">
    <w:name w:val="Light Grid - Accent 132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0">
    <w:name w:val="Medium Grid 1 - Accent 321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0">
    <w:name w:val="Grid Table 4 Accent 3110"/>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8">
    <w:name w:val="No List318"/>
    <w:next w:val="NoList"/>
    <w:uiPriority w:val="99"/>
    <w:unhideWhenUsed/>
    <w:rsid w:val="00C64FC7"/>
  </w:style>
  <w:style w:type="table" w:customStyle="1" w:styleId="MediumGrid1-Accent1310">
    <w:name w:val="Medium Grid 1 - Accent 1310"/>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0">
    <w:name w:val="Light Grid - Accent 11310"/>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0">
    <w:name w:val="Light Grid - Accent 5310"/>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0">
    <w:name w:val="Light Grid - Accent 123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0">
    <w:name w:val="Light List - Accent 5310"/>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0">
    <w:name w:val="Light List - Accent 11310"/>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0">
    <w:name w:val="Light Grid - Accent 133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0">
    <w:name w:val="Medium Grid 1 - Accent 331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0">
    <w:name w:val="Grid Table 4 Accent 3210"/>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8">
    <w:name w:val="Table Grid118"/>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unhideWhenUsed/>
    <w:rsid w:val="00C64FC7"/>
  </w:style>
  <w:style w:type="table" w:customStyle="1" w:styleId="MediumGrid1-Accent148">
    <w:name w:val="Medium Grid 1 - Accent 14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8">
    <w:name w:val="Light Grid - Accent 1148"/>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8">
    <w:name w:val="Light Grid - Accent 54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8">
    <w:name w:val="Light Grid - Accent 124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8">
    <w:name w:val="Light List - Accent 54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8">
    <w:name w:val="Light List - Accent 114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8">
    <w:name w:val="Light Grid - Accent 134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8">
    <w:name w:val="Medium Grid 1 - Accent 34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3">
    <w:name w:val="Table Grid3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8">
    <w:name w:val="Medium Grid 3 - Accent 118"/>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0">
    <w:name w:val="No List1110"/>
    <w:next w:val="NoList"/>
    <w:uiPriority w:val="99"/>
    <w:unhideWhenUsed/>
    <w:rsid w:val="00C64FC7"/>
  </w:style>
  <w:style w:type="table" w:customStyle="1" w:styleId="MediumGrid1-Accent11110">
    <w:name w:val="Medium Grid 1 - Accent 11110"/>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0">
    <w:name w:val="Light Grid - Accent 1111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0">
    <w:name w:val="Light Grid - Accent 51110"/>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0">
    <w:name w:val="Light Grid - Accent 1211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0">
    <w:name w:val="Light List - Accent 51110"/>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0">
    <w:name w:val="Light List - Accent 111110"/>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0">
    <w:name w:val="Light Grid - Accent 1311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0">
    <w:name w:val="Medium Grid 1 - Accent 3111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8">
    <w:name w:val="Grid Table 4 - Accent 3118"/>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9">
    <w:name w:val="No List219"/>
    <w:next w:val="NoList"/>
    <w:uiPriority w:val="99"/>
    <w:unhideWhenUsed/>
    <w:rsid w:val="00C64FC7"/>
  </w:style>
  <w:style w:type="table" w:customStyle="1" w:styleId="MediumGrid1-Accent1218">
    <w:name w:val="Medium Grid 1 - Accent 121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8">
    <w:name w:val="Light Grid - Accent 11218"/>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8">
    <w:name w:val="Light Grid - Accent 521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8">
    <w:name w:val="Light Grid - Accent 122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8">
    <w:name w:val="Light List - Accent 521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8">
    <w:name w:val="Light List - Accent 1121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8">
    <w:name w:val="Light Grid - Accent 132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8">
    <w:name w:val="Medium Grid 1 - Accent 321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8">
    <w:name w:val="Grid Table 4 Accent 3118"/>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9">
    <w:name w:val="No List319"/>
    <w:next w:val="NoList"/>
    <w:uiPriority w:val="99"/>
    <w:unhideWhenUsed/>
    <w:rsid w:val="00C64FC7"/>
  </w:style>
  <w:style w:type="table" w:customStyle="1" w:styleId="MediumGrid1-Accent1318">
    <w:name w:val="Medium Grid 1 - Accent 131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8">
    <w:name w:val="Light Grid - Accent 11318"/>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8">
    <w:name w:val="Light Grid - Accent 531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8">
    <w:name w:val="Light Grid - Accent 123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8">
    <w:name w:val="Light List - Accent 531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8">
    <w:name w:val="Light List - Accent 1131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8">
    <w:name w:val="Light Grid - Accent 133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8">
    <w:name w:val="Medium Grid 1 - Accent 331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8">
    <w:name w:val="Grid Table 4 Accent 3218"/>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9">
    <w:name w:val="Table Grid119"/>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unhideWhenUsed/>
    <w:rsid w:val="00C64FC7"/>
  </w:style>
  <w:style w:type="table" w:customStyle="1" w:styleId="TableGrid43">
    <w:name w:val="Table Grid43"/>
    <w:basedOn w:val="TableNormal"/>
    <w:next w:val="TableGrid"/>
    <w:uiPriority w:val="5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3">
    <w:name w:val="Medium Grid 3 - Accent 12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8">
    <w:name w:val="Medium Grid 1 - Accent 158"/>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8">
    <w:name w:val="Light Grid - Accent 1158"/>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8">
    <w:name w:val="Light Grid - Accent 558"/>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8">
    <w:name w:val="Light Grid - Accent 1258"/>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8">
    <w:name w:val="Light List - Accent 558"/>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8">
    <w:name w:val="Light List - Accent 1158"/>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8">
    <w:name w:val="Light Grid - Accent 135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8">
    <w:name w:val="Medium Grid 1 - Accent 35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8">
    <w:name w:val="No List128"/>
    <w:next w:val="NoList"/>
    <w:uiPriority w:val="99"/>
    <w:unhideWhenUsed/>
    <w:rsid w:val="00C64FC7"/>
  </w:style>
  <w:style w:type="table" w:customStyle="1" w:styleId="MediumGrid1-Accent1123">
    <w:name w:val="Medium Grid 1 - Accent 11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3">
    <w:name w:val="Light Grid - Accent 11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3">
    <w:name w:val="Light Grid - Accent 512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3">
    <w:name w:val="Light Grid - Accent 12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3">
    <w:name w:val="Light List - Accent 512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3">
    <w:name w:val="Light List - Accent 111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3">
    <w:name w:val="Light Grid - Accent 13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3">
    <w:name w:val="Medium Grid 1 - Accent 31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3">
    <w:name w:val="Grid Table 4 - Accent 3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8">
    <w:name w:val="No List228"/>
    <w:next w:val="NoList"/>
    <w:uiPriority w:val="99"/>
    <w:unhideWhenUsed/>
    <w:rsid w:val="00C64FC7"/>
  </w:style>
  <w:style w:type="table" w:customStyle="1" w:styleId="MediumGrid1-Accent1223">
    <w:name w:val="Medium Grid 1 - Accent 12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3">
    <w:name w:val="Light Grid - Accent 112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3">
    <w:name w:val="Light Grid - Accent 52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3">
    <w:name w:val="Light Grid - Accent 122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3">
    <w:name w:val="Light List - Accent 52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3">
    <w:name w:val="Light List - Accent 112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3">
    <w:name w:val="Light Grid - Accent 132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3">
    <w:name w:val="Medium Grid 1 - Accent 32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3">
    <w:name w:val="Grid Table 4 Accent 3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8">
    <w:name w:val="No List328"/>
    <w:next w:val="NoList"/>
    <w:uiPriority w:val="99"/>
    <w:unhideWhenUsed/>
    <w:rsid w:val="00C64FC7"/>
  </w:style>
  <w:style w:type="table" w:customStyle="1" w:styleId="MediumGrid1-Accent1323">
    <w:name w:val="Medium Grid 1 - Accent 13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3">
    <w:name w:val="Light Grid - Accent 113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3">
    <w:name w:val="Light Grid - Accent 53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3">
    <w:name w:val="Light Grid - Accent 123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3">
    <w:name w:val="Light List - Accent 53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3">
    <w:name w:val="Light List - Accent 113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3">
    <w:name w:val="Light Grid - Accent 133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3">
    <w:name w:val="Medium Grid 1 - Accent 33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3">
    <w:name w:val="Grid Table 4 Accent 32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3">
    <w:name w:val="Table Grid12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uiPriority w:val="3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unhideWhenUsed/>
    <w:rsid w:val="00C64FC7"/>
  </w:style>
  <w:style w:type="table" w:customStyle="1" w:styleId="MediumGrid1-Accent168">
    <w:name w:val="Medium Grid 1 - Accent 16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8">
    <w:name w:val="Light Grid - Accent 1168"/>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8">
    <w:name w:val="Light Grid - Accent 56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8">
    <w:name w:val="Light Grid - Accent 126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8">
    <w:name w:val="Light List - Accent 56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8">
    <w:name w:val="Light List - Accent 116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8">
    <w:name w:val="Light Grid - Accent 136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8">
    <w:name w:val="Medium Grid 1 - Accent 36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8">
    <w:name w:val="No List138"/>
    <w:next w:val="NoList"/>
    <w:uiPriority w:val="99"/>
    <w:unhideWhenUsed/>
    <w:rsid w:val="00C64FC7"/>
  </w:style>
  <w:style w:type="numbering" w:customStyle="1" w:styleId="NoList238">
    <w:name w:val="No List238"/>
    <w:next w:val="NoList"/>
    <w:uiPriority w:val="99"/>
    <w:unhideWhenUsed/>
    <w:rsid w:val="00C64FC7"/>
  </w:style>
  <w:style w:type="numbering" w:customStyle="1" w:styleId="NoList338">
    <w:name w:val="No List338"/>
    <w:next w:val="NoList"/>
    <w:uiPriority w:val="99"/>
    <w:unhideWhenUsed/>
    <w:rsid w:val="00C64FC7"/>
  </w:style>
  <w:style w:type="numbering" w:customStyle="1" w:styleId="NoList73">
    <w:name w:val="No List73"/>
    <w:next w:val="NoList"/>
    <w:uiPriority w:val="99"/>
    <w:unhideWhenUsed/>
    <w:rsid w:val="00C64FC7"/>
  </w:style>
  <w:style w:type="table" w:customStyle="1" w:styleId="TableGrid53">
    <w:name w:val="Table Grid5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3">
    <w:name w:val="Medium Grid 3 - Accent 13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3">
    <w:name w:val="Medium Grid 1 - Accent 17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3">
    <w:name w:val="Light Grid - Accent 117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3">
    <w:name w:val="Light Grid - Accent 57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3">
    <w:name w:val="Light Grid - Accent 127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3">
    <w:name w:val="Light List - Accent 57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3">
    <w:name w:val="Light List - Accent 117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3">
    <w:name w:val="Light Grid - Accent 13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3">
    <w:name w:val="Medium Grid 1 - Accent 37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3">
    <w:name w:val="No List143"/>
    <w:next w:val="NoList"/>
    <w:uiPriority w:val="99"/>
    <w:unhideWhenUsed/>
    <w:rsid w:val="00C64FC7"/>
  </w:style>
  <w:style w:type="table" w:customStyle="1" w:styleId="MediumGrid1-Accent1133">
    <w:name w:val="Medium Grid 1 - Accent 11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3">
    <w:name w:val="Light Grid - Accent 11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3">
    <w:name w:val="Light Grid - Accent 513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3">
    <w:name w:val="Light Grid - Accent 12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3">
    <w:name w:val="Light List - Accent 513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3">
    <w:name w:val="Light List - Accent 111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3">
    <w:name w:val="Light Grid - Accent 13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3">
    <w:name w:val="Medium Grid 1 - Accent 31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3">
    <w:name w:val="Grid Table 4 - Accent 3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3">
    <w:name w:val="No List243"/>
    <w:next w:val="NoList"/>
    <w:uiPriority w:val="99"/>
    <w:unhideWhenUsed/>
    <w:rsid w:val="00C64FC7"/>
  </w:style>
  <w:style w:type="table" w:customStyle="1" w:styleId="MediumGrid1-Accent1233">
    <w:name w:val="Medium Grid 1 - Accent 12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3">
    <w:name w:val="Light Grid - Accent 112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3">
    <w:name w:val="Light Grid - Accent 52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3">
    <w:name w:val="Light Grid - Accent 122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3">
    <w:name w:val="Light List - Accent 52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3">
    <w:name w:val="Light List - Accent 112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3">
    <w:name w:val="Light Grid - Accent 132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3">
    <w:name w:val="Medium Grid 1 - Accent 32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3">
    <w:name w:val="Grid Table 4 Accent 3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3">
    <w:name w:val="No List343"/>
    <w:next w:val="NoList"/>
    <w:uiPriority w:val="99"/>
    <w:unhideWhenUsed/>
    <w:rsid w:val="00C64FC7"/>
  </w:style>
  <w:style w:type="table" w:customStyle="1" w:styleId="MediumGrid1-Accent1333">
    <w:name w:val="Medium Grid 1 - Accent 13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3">
    <w:name w:val="Light Grid - Accent 113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3">
    <w:name w:val="Light Grid - Accent 53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3">
    <w:name w:val="Light Grid - Accent 123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3">
    <w:name w:val="Light List - Accent 53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3">
    <w:name w:val="Light List - Accent 113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3">
    <w:name w:val="Light Grid - Accent 133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3">
    <w:name w:val="Medium Grid 1 - Accent 33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3">
    <w:name w:val="Grid Table 4 Accent 32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3">
    <w:name w:val="Table Grid13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unhideWhenUsed/>
    <w:rsid w:val="00C64FC7"/>
  </w:style>
  <w:style w:type="table" w:customStyle="1" w:styleId="MediumGrid1-Accent1413">
    <w:name w:val="Medium Grid 1 - Accent 14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3">
    <w:name w:val="Light Grid - Accent 114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3">
    <w:name w:val="Light Grid - Accent 54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3">
    <w:name w:val="Light Grid - Accent 124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3">
    <w:name w:val="Light List - Accent 54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3">
    <w:name w:val="Light List - Accent 114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3">
    <w:name w:val="Light Grid - Accent 134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3">
    <w:name w:val="Medium Grid 1 - Accent 34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3">
    <w:name w:val="Table Grid211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3">
    <w:name w:val="Medium Grid 3 - Accent 111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3">
    <w:name w:val="No List1113"/>
    <w:next w:val="NoList"/>
    <w:uiPriority w:val="99"/>
    <w:unhideWhenUsed/>
    <w:rsid w:val="00C64FC7"/>
  </w:style>
  <w:style w:type="table" w:customStyle="1" w:styleId="MediumGrid1-Accent11113">
    <w:name w:val="Medium Grid 1 - Accent 111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3">
    <w:name w:val="Light Grid - Accent 111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3">
    <w:name w:val="Light Grid - Accent 5111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3">
    <w:name w:val="Light Grid - Accent 121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3">
    <w:name w:val="Light List - Accent 5111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3">
    <w:name w:val="Light List - Accent 1111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3">
    <w:name w:val="Light Grid - Accent 131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3">
    <w:name w:val="Medium Grid 1 - Accent 311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3">
    <w:name w:val="Grid Table 4 - Accent 3111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3">
    <w:name w:val="No List2113"/>
    <w:next w:val="NoList"/>
    <w:uiPriority w:val="99"/>
    <w:unhideWhenUsed/>
    <w:rsid w:val="00C64FC7"/>
  </w:style>
  <w:style w:type="table" w:customStyle="1" w:styleId="MediumGrid1-Accent12113">
    <w:name w:val="Medium Grid 1 - Accent 121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3">
    <w:name w:val="Light Grid - Accent 1121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3">
    <w:name w:val="Light Grid - Accent 521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3">
    <w:name w:val="Light Grid - Accent 122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3">
    <w:name w:val="Light List - Accent 521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3">
    <w:name w:val="Light List - Accent 1121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3">
    <w:name w:val="Light Grid - Accent 132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3">
    <w:name w:val="Medium Grid 1 - Accent 321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3">
    <w:name w:val="Grid Table 4 Accent 3111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3">
    <w:name w:val="No List3113"/>
    <w:next w:val="NoList"/>
    <w:uiPriority w:val="99"/>
    <w:unhideWhenUsed/>
    <w:rsid w:val="00C64FC7"/>
  </w:style>
  <w:style w:type="table" w:customStyle="1" w:styleId="MediumGrid1-Accent13113">
    <w:name w:val="Medium Grid 1 - Accent 131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3">
    <w:name w:val="Light Grid - Accent 1131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3">
    <w:name w:val="Light Grid - Accent 531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3">
    <w:name w:val="Light Grid - Accent 123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3">
    <w:name w:val="Light List - Accent 531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3">
    <w:name w:val="Light List - Accent 1131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3">
    <w:name w:val="Light Grid - Accent 133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3">
    <w:name w:val="Medium Grid 1 - Accent 331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3">
    <w:name w:val="Grid Table 4 Accent 3211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3">
    <w:name w:val="Table Grid111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unhideWhenUsed/>
    <w:rsid w:val="00C64FC7"/>
  </w:style>
  <w:style w:type="table" w:customStyle="1" w:styleId="MediumGrid1-Accent1513">
    <w:name w:val="Medium Grid 1 - Accent 15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3">
    <w:name w:val="Light Grid - Accent 115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3">
    <w:name w:val="Light Grid - Accent 55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3">
    <w:name w:val="Light Grid - Accent 125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3">
    <w:name w:val="Light List - Accent 55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3">
    <w:name w:val="Light List - Accent 115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3">
    <w:name w:val="Light Grid - Accent 135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3">
    <w:name w:val="Medium Grid 1 - Accent 35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3">
    <w:name w:val="No List1213"/>
    <w:next w:val="NoList"/>
    <w:uiPriority w:val="99"/>
    <w:unhideWhenUsed/>
    <w:rsid w:val="00C64FC7"/>
  </w:style>
  <w:style w:type="numbering" w:customStyle="1" w:styleId="NoList2213">
    <w:name w:val="No List2213"/>
    <w:next w:val="NoList"/>
    <w:uiPriority w:val="99"/>
    <w:unhideWhenUsed/>
    <w:rsid w:val="00C64FC7"/>
  </w:style>
  <w:style w:type="numbering" w:customStyle="1" w:styleId="NoList3213">
    <w:name w:val="No List3213"/>
    <w:next w:val="NoList"/>
    <w:uiPriority w:val="99"/>
    <w:unhideWhenUsed/>
    <w:rsid w:val="00C64FC7"/>
  </w:style>
  <w:style w:type="numbering" w:customStyle="1" w:styleId="NoList613">
    <w:name w:val="No List613"/>
    <w:next w:val="NoList"/>
    <w:uiPriority w:val="99"/>
    <w:unhideWhenUsed/>
    <w:rsid w:val="00C64FC7"/>
  </w:style>
  <w:style w:type="table" w:customStyle="1" w:styleId="MediumGrid1-Accent1613">
    <w:name w:val="Medium Grid 1 - Accent 16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3">
    <w:name w:val="Light Grid - Accent 116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3">
    <w:name w:val="Light Grid - Accent 56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3">
    <w:name w:val="Light Grid - Accent 126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3">
    <w:name w:val="Light List - Accent 56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3">
    <w:name w:val="Light List - Accent 116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3">
    <w:name w:val="Light Grid - Accent 136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3">
    <w:name w:val="Medium Grid 1 - Accent 36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3">
    <w:name w:val="No List1313"/>
    <w:next w:val="NoList"/>
    <w:uiPriority w:val="99"/>
    <w:unhideWhenUsed/>
    <w:rsid w:val="00C64FC7"/>
  </w:style>
  <w:style w:type="numbering" w:customStyle="1" w:styleId="NoList2313">
    <w:name w:val="No List2313"/>
    <w:next w:val="NoList"/>
    <w:uiPriority w:val="99"/>
    <w:unhideWhenUsed/>
    <w:rsid w:val="00C64FC7"/>
  </w:style>
  <w:style w:type="numbering" w:customStyle="1" w:styleId="NoList3313">
    <w:name w:val="No List3313"/>
    <w:next w:val="NoList"/>
    <w:uiPriority w:val="99"/>
    <w:unhideWhenUsed/>
    <w:rsid w:val="00C64FC7"/>
  </w:style>
  <w:style w:type="numbering" w:customStyle="1" w:styleId="NoList83">
    <w:name w:val="No List83"/>
    <w:next w:val="NoList"/>
    <w:uiPriority w:val="99"/>
    <w:unhideWhenUsed/>
    <w:rsid w:val="00C64FC7"/>
  </w:style>
  <w:style w:type="table" w:customStyle="1" w:styleId="TableGrid63">
    <w:name w:val="Table Grid6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3">
    <w:name w:val="Medium Grid 3 - Accent 14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3">
    <w:name w:val="Medium Grid 1 - Accent 18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3">
    <w:name w:val="Light Grid - Accent 118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3">
    <w:name w:val="Light Grid - Accent 58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3">
    <w:name w:val="Light Grid - Accent 128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3">
    <w:name w:val="Light List - Accent 58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3">
    <w:name w:val="Light List - Accent 118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3">
    <w:name w:val="Light Grid - Accent 138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3">
    <w:name w:val="Medium Grid 1 - Accent 38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3">
    <w:name w:val="No List153"/>
    <w:next w:val="NoList"/>
    <w:uiPriority w:val="99"/>
    <w:unhideWhenUsed/>
    <w:rsid w:val="00C64FC7"/>
  </w:style>
  <w:style w:type="table" w:customStyle="1" w:styleId="MediumGrid1-Accent1143">
    <w:name w:val="Medium Grid 1 - Accent 11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3">
    <w:name w:val="Light Grid - Accent 11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3">
    <w:name w:val="Light Grid - Accent 514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3">
    <w:name w:val="Light Grid - Accent 12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3">
    <w:name w:val="Light List - Accent 514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3">
    <w:name w:val="Light List - Accent 111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3">
    <w:name w:val="Light Grid - Accent 13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3">
    <w:name w:val="Medium Grid 1 - Accent 31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3">
    <w:name w:val="Grid Table 4 - Accent 3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3">
    <w:name w:val="No List253"/>
    <w:next w:val="NoList"/>
    <w:uiPriority w:val="99"/>
    <w:unhideWhenUsed/>
    <w:rsid w:val="00C64FC7"/>
  </w:style>
  <w:style w:type="table" w:customStyle="1" w:styleId="MediumGrid1-Accent1243">
    <w:name w:val="Medium Grid 1 - Accent 12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3">
    <w:name w:val="Light Grid - Accent 112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3">
    <w:name w:val="Light Grid - Accent 52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3">
    <w:name w:val="Light Grid - Accent 122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3">
    <w:name w:val="Light List - Accent 52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3">
    <w:name w:val="Light List - Accent 112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3">
    <w:name w:val="Light Grid - Accent 132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3">
    <w:name w:val="Medium Grid 1 - Accent 32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3">
    <w:name w:val="Grid Table 4 Accent 3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3">
    <w:name w:val="No List353"/>
    <w:next w:val="NoList"/>
    <w:uiPriority w:val="99"/>
    <w:unhideWhenUsed/>
    <w:rsid w:val="00C64FC7"/>
  </w:style>
  <w:style w:type="table" w:customStyle="1" w:styleId="MediumGrid1-Accent1343">
    <w:name w:val="Medium Grid 1 - Accent 13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3">
    <w:name w:val="Light Grid - Accent 113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3">
    <w:name w:val="Light Grid - Accent 53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3">
    <w:name w:val="Light Grid - Accent 123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3">
    <w:name w:val="Light List - Accent 53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3">
    <w:name w:val="Light List - Accent 113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3">
    <w:name w:val="Light Grid - Accent 133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3">
    <w:name w:val="Medium Grid 1 - Accent 33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3">
    <w:name w:val="Grid Table 4 Accent 32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3">
    <w:name w:val="Table Grid14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unhideWhenUsed/>
    <w:rsid w:val="00C64FC7"/>
  </w:style>
  <w:style w:type="table" w:customStyle="1" w:styleId="MediumGrid1-Accent1423">
    <w:name w:val="Medium Grid 1 - Accent 14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3">
    <w:name w:val="Light Grid - Accent 114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3">
    <w:name w:val="Light Grid - Accent 54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3">
    <w:name w:val="Light Grid - Accent 124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3">
    <w:name w:val="Light List - Accent 54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3">
    <w:name w:val="Light List - Accent 114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3">
    <w:name w:val="Light Grid - Accent 134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3">
    <w:name w:val="Medium Grid 1 - Accent 34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3">
    <w:name w:val="Table Grid212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3">
    <w:name w:val="Medium Grid 3 - Accent 112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3">
    <w:name w:val="No List1123"/>
    <w:next w:val="NoList"/>
    <w:uiPriority w:val="99"/>
    <w:unhideWhenUsed/>
    <w:rsid w:val="00C64FC7"/>
  </w:style>
  <w:style w:type="table" w:customStyle="1" w:styleId="MediumGrid1-Accent11123">
    <w:name w:val="Medium Grid 1 - Accent 111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3">
    <w:name w:val="Light Grid - Accent 111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3">
    <w:name w:val="Light Grid - Accent 5112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3">
    <w:name w:val="Light Grid - Accent 121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3">
    <w:name w:val="Light List - Accent 5112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3">
    <w:name w:val="Light List - Accent 1111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3">
    <w:name w:val="Light Grid - Accent 131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3">
    <w:name w:val="Medium Grid 1 - Accent 311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3">
    <w:name w:val="Grid Table 4 - Accent 31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3">
    <w:name w:val="No List2123"/>
    <w:next w:val="NoList"/>
    <w:uiPriority w:val="99"/>
    <w:unhideWhenUsed/>
    <w:rsid w:val="00C64FC7"/>
  </w:style>
  <w:style w:type="table" w:customStyle="1" w:styleId="MediumGrid1-Accent12123">
    <w:name w:val="Medium Grid 1 - Accent 121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3">
    <w:name w:val="Light Grid - Accent 1121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3">
    <w:name w:val="Light Grid - Accent 521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3">
    <w:name w:val="Light Grid - Accent 122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3">
    <w:name w:val="Light List - Accent 521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3">
    <w:name w:val="Light List - Accent 1121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3">
    <w:name w:val="Light Grid - Accent 132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3">
    <w:name w:val="Medium Grid 1 - Accent 321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3">
    <w:name w:val="Grid Table 4 Accent 31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3">
    <w:name w:val="No List3123"/>
    <w:next w:val="NoList"/>
    <w:uiPriority w:val="99"/>
    <w:unhideWhenUsed/>
    <w:rsid w:val="00C64FC7"/>
  </w:style>
  <w:style w:type="table" w:customStyle="1" w:styleId="MediumGrid1-Accent13123">
    <w:name w:val="Medium Grid 1 - Accent 131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3">
    <w:name w:val="Light Grid - Accent 1131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3">
    <w:name w:val="Light Grid - Accent 531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3">
    <w:name w:val="Light Grid - Accent 123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3">
    <w:name w:val="Light List - Accent 531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3">
    <w:name w:val="Light List - Accent 1131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3">
    <w:name w:val="Light Grid - Accent 133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3">
    <w:name w:val="Medium Grid 1 - Accent 331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3">
    <w:name w:val="Grid Table 4 Accent 32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3">
    <w:name w:val="Table Grid112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unhideWhenUsed/>
    <w:rsid w:val="00C64FC7"/>
  </w:style>
  <w:style w:type="table" w:customStyle="1" w:styleId="MediumGrid1-Accent1523">
    <w:name w:val="Medium Grid 1 - Accent 15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3">
    <w:name w:val="Light Grid - Accent 115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3">
    <w:name w:val="Light Grid - Accent 55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3">
    <w:name w:val="Light Grid - Accent 125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3">
    <w:name w:val="Light List - Accent 55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3">
    <w:name w:val="Light List - Accent 115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3">
    <w:name w:val="Light Grid - Accent 135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3">
    <w:name w:val="Medium Grid 1 - Accent 35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3">
    <w:name w:val="No List1223"/>
    <w:next w:val="NoList"/>
    <w:uiPriority w:val="99"/>
    <w:unhideWhenUsed/>
    <w:rsid w:val="00C64FC7"/>
  </w:style>
  <w:style w:type="numbering" w:customStyle="1" w:styleId="NoList2223">
    <w:name w:val="No List2223"/>
    <w:next w:val="NoList"/>
    <w:uiPriority w:val="99"/>
    <w:unhideWhenUsed/>
    <w:rsid w:val="00C64FC7"/>
  </w:style>
  <w:style w:type="numbering" w:customStyle="1" w:styleId="NoList3223">
    <w:name w:val="No List3223"/>
    <w:next w:val="NoList"/>
    <w:uiPriority w:val="99"/>
    <w:unhideWhenUsed/>
    <w:rsid w:val="00C64FC7"/>
  </w:style>
  <w:style w:type="numbering" w:customStyle="1" w:styleId="NoList623">
    <w:name w:val="No List623"/>
    <w:next w:val="NoList"/>
    <w:uiPriority w:val="99"/>
    <w:unhideWhenUsed/>
    <w:rsid w:val="00C64FC7"/>
  </w:style>
  <w:style w:type="table" w:customStyle="1" w:styleId="MediumGrid1-Accent1623">
    <w:name w:val="Medium Grid 1 - Accent 16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3">
    <w:name w:val="Light Grid - Accent 116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3">
    <w:name w:val="Light Grid - Accent 56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3">
    <w:name w:val="Light Grid - Accent 126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3">
    <w:name w:val="Light List - Accent 56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3">
    <w:name w:val="Light List - Accent 116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3">
    <w:name w:val="Light Grid - Accent 136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3">
    <w:name w:val="Medium Grid 1 - Accent 36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3">
    <w:name w:val="No List1323"/>
    <w:next w:val="NoList"/>
    <w:uiPriority w:val="99"/>
    <w:unhideWhenUsed/>
    <w:rsid w:val="00C64FC7"/>
  </w:style>
  <w:style w:type="numbering" w:customStyle="1" w:styleId="NoList2323">
    <w:name w:val="No List2323"/>
    <w:next w:val="NoList"/>
    <w:uiPriority w:val="99"/>
    <w:unhideWhenUsed/>
    <w:rsid w:val="00C64FC7"/>
  </w:style>
  <w:style w:type="numbering" w:customStyle="1" w:styleId="NoList3323">
    <w:name w:val="No List3323"/>
    <w:next w:val="NoList"/>
    <w:uiPriority w:val="99"/>
    <w:unhideWhenUsed/>
    <w:rsid w:val="00C64FC7"/>
  </w:style>
  <w:style w:type="numbering" w:customStyle="1" w:styleId="NoList93">
    <w:name w:val="No List93"/>
    <w:next w:val="NoList"/>
    <w:uiPriority w:val="99"/>
    <w:unhideWhenUsed/>
    <w:rsid w:val="00C64FC7"/>
  </w:style>
  <w:style w:type="table" w:customStyle="1" w:styleId="TableGrid73">
    <w:name w:val="Table Grid7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3">
    <w:name w:val="Medium Grid 3 - Accent 15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3">
    <w:name w:val="Medium Grid 1 - Accent 19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3">
    <w:name w:val="Light Grid - Accent 119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3">
    <w:name w:val="Light Grid - Accent 59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3">
    <w:name w:val="Light Grid - Accent 129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3">
    <w:name w:val="Light List - Accent 59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3">
    <w:name w:val="Light List - Accent 119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3">
    <w:name w:val="Light Grid - Accent 139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3">
    <w:name w:val="Medium Grid 1 - Accent 39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3">
    <w:name w:val="No List163"/>
    <w:next w:val="NoList"/>
    <w:uiPriority w:val="99"/>
    <w:unhideWhenUsed/>
    <w:rsid w:val="00C64FC7"/>
  </w:style>
  <w:style w:type="table" w:customStyle="1" w:styleId="MediumGrid1-Accent1153">
    <w:name w:val="Medium Grid 1 - Accent 11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3">
    <w:name w:val="Light Grid - Accent 11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3">
    <w:name w:val="Light Grid - Accent 515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3">
    <w:name w:val="Light Grid - Accent 12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3">
    <w:name w:val="Light List - Accent 515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3">
    <w:name w:val="Light List - Accent 111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3">
    <w:name w:val="Light Grid - Accent 13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3">
    <w:name w:val="Medium Grid 1 - Accent 31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3">
    <w:name w:val="Grid Table 4 - Accent 3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3">
    <w:name w:val="No List263"/>
    <w:next w:val="NoList"/>
    <w:uiPriority w:val="99"/>
    <w:unhideWhenUsed/>
    <w:rsid w:val="00C64FC7"/>
  </w:style>
  <w:style w:type="table" w:customStyle="1" w:styleId="MediumGrid1-Accent1253">
    <w:name w:val="Medium Grid 1 - Accent 12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3">
    <w:name w:val="Light Grid - Accent 112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3">
    <w:name w:val="Light Grid - Accent 52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3">
    <w:name w:val="Light Grid - Accent 122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3">
    <w:name w:val="Light List - Accent 52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3">
    <w:name w:val="Light List - Accent 112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3">
    <w:name w:val="Light Grid - Accent 132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3">
    <w:name w:val="Medium Grid 1 - Accent 32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3">
    <w:name w:val="Grid Table 4 Accent 3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3">
    <w:name w:val="No List363"/>
    <w:next w:val="NoList"/>
    <w:uiPriority w:val="99"/>
    <w:unhideWhenUsed/>
    <w:rsid w:val="00C64FC7"/>
  </w:style>
  <w:style w:type="table" w:customStyle="1" w:styleId="MediumGrid1-Accent1353">
    <w:name w:val="Medium Grid 1 - Accent 13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3">
    <w:name w:val="Light Grid - Accent 113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3">
    <w:name w:val="Light Grid - Accent 53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3">
    <w:name w:val="Light Grid - Accent 123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3">
    <w:name w:val="Light List - Accent 53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3">
    <w:name w:val="Light List - Accent 113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3">
    <w:name w:val="Light Grid - Accent 133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3">
    <w:name w:val="Medium Grid 1 - Accent 33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3">
    <w:name w:val="Grid Table 4 Accent 32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3">
    <w:name w:val="Table Grid15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unhideWhenUsed/>
    <w:rsid w:val="00C64FC7"/>
  </w:style>
  <w:style w:type="table" w:customStyle="1" w:styleId="MediumGrid1-Accent1433">
    <w:name w:val="Medium Grid 1 - Accent 14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3">
    <w:name w:val="Light Grid - Accent 114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3">
    <w:name w:val="Light Grid - Accent 54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3">
    <w:name w:val="Light Grid - Accent 124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3">
    <w:name w:val="Light List - Accent 54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3">
    <w:name w:val="Light List - Accent 114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3">
    <w:name w:val="Light Grid - Accent 134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3">
    <w:name w:val="Medium Grid 1 - Accent 34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3">
    <w:name w:val="Table Grid213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3">
    <w:name w:val="Medium Grid 3 - Accent 113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3">
    <w:name w:val="No List1133"/>
    <w:next w:val="NoList"/>
    <w:uiPriority w:val="99"/>
    <w:unhideWhenUsed/>
    <w:rsid w:val="00C64FC7"/>
  </w:style>
  <w:style w:type="table" w:customStyle="1" w:styleId="MediumGrid1-Accent11133">
    <w:name w:val="Medium Grid 1 - Accent 111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3">
    <w:name w:val="Light Grid - Accent 111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3">
    <w:name w:val="Light Grid - Accent 5113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3">
    <w:name w:val="Light Grid - Accent 121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3">
    <w:name w:val="Light List - Accent 5113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3">
    <w:name w:val="Light List - Accent 1111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3">
    <w:name w:val="Light Grid - Accent 131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3">
    <w:name w:val="Medium Grid 1 - Accent 311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3">
    <w:name w:val="Grid Table 4 - Accent 31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3">
    <w:name w:val="No List2133"/>
    <w:next w:val="NoList"/>
    <w:uiPriority w:val="99"/>
    <w:unhideWhenUsed/>
    <w:rsid w:val="00C64FC7"/>
  </w:style>
  <w:style w:type="table" w:customStyle="1" w:styleId="MediumGrid1-Accent12133">
    <w:name w:val="Medium Grid 1 - Accent 121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3">
    <w:name w:val="Light Grid - Accent 1121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3">
    <w:name w:val="Light Grid - Accent 521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3">
    <w:name w:val="Light Grid - Accent 122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3">
    <w:name w:val="Light List - Accent 521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3">
    <w:name w:val="Light List - Accent 1121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3">
    <w:name w:val="Light Grid - Accent 132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3">
    <w:name w:val="Medium Grid 1 - Accent 321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3">
    <w:name w:val="Grid Table 4 Accent 31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3">
    <w:name w:val="No List3133"/>
    <w:next w:val="NoList"/>
    <w:uiPriority w:val="99"/>
    <w:unhideWhenUsed/>
    <w:rsid w:val="00C64FC7"/>
  </w:style>
  <w:style w:type="table" w:customStyle="1" w:styleId="MediumGrid1-Accent13133">
    <w:name w:val="Medium Grid 1 - Accent 131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3">
    <w:name w:val="Light Grid - Accent 1131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3">
    <w:name w:val="Light Grid - Accent 531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3">
    <w:name w:val="Light Grid - Accent 123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3">
    <w:name w:val="Light List - Accent 531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3">
    <w:name w:val="Light List - Accent 1131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3">
    <w:name w:val="Light Grid - Accent 133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3">
    <w:name w:val="Medium Grid 1 - Accent 331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3">
    <w:name w:val="Grid Table 4 Accent 32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3">
    <w:name w:val="Table Grid113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unhideWhenUsed/>
    <w:rsid w:val="00C64FC7"/>
  </w:style>
  <w:style w:type="table" w:customStyle="1" w:styleId="MediumGrid1-Accent1533">
    <w:name w:val="Medium Grid 1 - Accent 15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3">
    <w:name w:val="Light Grid - Accent 115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3">
    <w:name w:val="Light Grid - Accent 55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3">
    <w:name w:val="Light Grid - Accent 125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3">
    <w:name w:val="Light List - Accent 55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3">
    <w:name w:val="Light List - Accent 115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3">
    <w:name w:val="Light Grid - Accent 135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3">
    <w:name w:val="Medium Grid 1 - Accent 35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3">
    <w:name w:val="No List1233"/>
    <w:next w:val="NoList"/>
    <w:uiPriority w:val="99"/>
    <w:unhideWhenUsed/>
    <w:rsid w:val="00C64FC7"/>
  </w:style>
  <w:style w:type="numbering" w:customStyle="1" w:styleId="NoList2233">
    <w:name w:val="No List2233"/>
    <w:next w:val="NoList"/>
    <w:uiPriority w:val="99"/>
    <w:unhideWhenUsed/>
    <w:rsid w:val="00C64FC7"/>
  </w:style>
  <w:style w:type="numbering" w:customStyle="1" w:styleId="NoList3233">
    <w:name w:val="No List3233"/>
    <w:next w:val="NoList"/>
    <w:uiPriority w:val="99"/>
    <w:unhideWhenUsed/>
    <w:rsid w:val="00C64FC7"/>
  </w:style>
  <w:style w:type="numbering" w:customStyle="1" w:styleId="NoList633">
    <w:name w:val="No List633"/>
    <w:next w:val="NoList"/>
    <w:uiPriority w:val="99"/>
    <w:unhideWhenUsed/>
    <w:rsid w:val="00C64FC7"/>
  </w:style>
  <w:style w:type="table" w:customStyle="1" w:styleId="MediumGrid1-Accent1633">
    <w:name w:val="Medium Grid 1 - Accent 16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3">
    <w:name w:val="Light Grid - Accent 116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3">
    <w:name w:val="Light Grid - Accent 56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3">
    <w:name w:val="Light Grid - Accent 126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3">
    <w:name w:val="Light List - Accent 56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3">
    <w:name w:val="Light List - Accent 116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3">
    <w:name w:val="Light Grid - Accent 136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3">
    <w:name w:val="Medium Grid 1 - Accent 36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3">
    <w:name w:val="No List1333"/>
    <w:next w:val="NoList"/>
    <w:uiPriority w:val="99"/>
    <w:unhideWhenUsed/>
    <w:rsid w:val="00C64FC7"/>
  </w:style>
  <w:style w:type="numbering" w:customStyle="1" w:styleId="NoList2333">
    <w:name w:val="No List2333"/>
    <w:next w:val="NoList"/>
    <w:uiPriority w:val="99"/>
    <w:unhideWhenUsed/>
    <w:rsid w:val="00C64FC7"/>
  </w:style>
  <w:style w:type="numbering" w:customStyle="1" w:styleId="NoList3333">
    <w:name w:val="No List3333"/>
    <w:next w:val="NoList"/>
    <w:uiPriority w:val="99"/>
    <w:unhideWhenUsed/>
    <w:rsid w:val="00C64FC7"/>
  </w:style>
  <w:style w:type="numbering" w:customStyle="1" w:styleId="NoList103">
    <w:name w:val="No List103"/>
    <w:next w:val="NoList"/>
    <w:uiPriority w:val="99"/>
    <w:unhideWhenUsed/>
    <w:rsid w:val="00C64FC7"/>
  </w:style>
  <w:style w:type="table" w:customStyle="1" w:styleId="TableGrid83">
    <w:name w:val="Table Grid8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3">
    <w:name w:val="Medium Grid 3 - Accent 16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3">
    <w:name w:val="Medium Grid 1 - Accent 110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3">
    <w:name w:val="Light Grid - Accent 1110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3">
    <w:name w:val="Light Grid - Accent 510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3">
    <w:name w:val="Light Grid - Accent 1210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3">
    <w:name w:val="Light List - Accent 510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3">
    <w:name w:val="Light List - Accent 1110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3">
    <w:name w:val="Light Grid - Accent 1310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3">
    <w:name w:val="Medium Grid 1 - Accent 310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3">
    <w:name w:val="No List173"/>
    <w:next w:val="NoList"/>
    <w:uiPriority w:val="99"/>
    <w:unhideWhenUsed/>
    <w:rsid w:val="00C64FC7"/>
  </w:style>
  <w:style w:type="table" w:customStyle="1" w:styleId="MediumGrid1-Accent1163">
    <w:name w:val="Medium Grid 1 - Accent 116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3">
    <w:name w:val="Light Grid - Accent 111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3">
    <w:name w:val="Light Grid - Accent 516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3">
    <w:name w:val="Light Grid - Accent 121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3">
    <w:name w:val="Light List - Accent 516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3">
    <w:name w:val="Light List - Accent 1116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3">
    <w:name w:val="Light Grid - Accent 131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3">
    <w:name w:val="Medium Grid 1 - Accent 316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3">
    <w:name w:val="Grid Table 4 - Accent 316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3">
    <w:name w:val="No List273"/>
    <w:next w:val="NoList"/>
    <w:uiPriority w:val="99"/>
    <w:unhideWhenUsed/>
    <w:rsid w:val="00C64FC7"/>
  </w:style>
  <w:style w:type="table" w:customStyle="1" w:styleId="MediumGrid1-Accent1263">
    <w:name w:val="Medium Grid 1 - Accent 126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3">
    <w:name w:val="Light Grid - Accent 1126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3">
    <w:name w:val="Light Grid - Accent 526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3">
    <w:name w:val="Light Grid - Accent 122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3">
    <w:name w:val="Light List - Accent 526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3">
    <w:name w:val="Light List - Accent 1126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3">
    <w:name w:val="Light Grid - Accent 132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3">
    <w:name w:val="Medium Grid 1 - Accent 326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3">
    <w:name w:val="Grid Table 4 Accent 316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3">
    <w:name w:val="No List373"/>
    <w:next w:val="NoList"/>
    <w:uiPriority w:val="99"/>
    <w:unhideWhenUsed/>
    <w:rsid w:val="00C64FC7"/>
  </w:style>
  <w:style w:type="table" w:customStyle="1" w:styleId="MediumGrid1-Accent1363">
    <w:name w:val="Medium Grid 1 - Accent 136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3">
    <w:name w:val="Light Grid - Accent 1136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3">
    <w:name w:val="Light Grid - Accent 536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3">
    <w:name w:val="Light Grid - Accent 123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3">
    <w:name w:val="Light List - Accent 536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3">
    <w:name w:val="Light List - Accent 1136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3">
    <w:name w:val="Light Grid - Accent 133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3">
    <w:name w:val="Medium Grid 1 - Accent 336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3">
    <w:name w:val="Grid Table 4 Accent 326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3">
    <w:name w:val="Table Grid16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unhideWhenUsed/>
    <w:rsid w:val="00C64FC7"/>
  </w:style>
  <w:style w:type="table" w:customStyle="1" w:styleId="MediumGrid1-Accent1443">
    <w:name w:val="Medium Grid 1 - Accent 14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3">
    <w:name w:val="Light Grid - Accent 114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3">
    <w:name w:val="Light Grid - Accent 54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3">
    <w:name w:val="Light Grid - Accent 124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3">
    <w:name w:val="Light List - Accent 54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3">
    <w:name w:val="Light List - Accent 114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3">
    <w:name w:val="Light Grid - Accent 134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3">
    <w:name w:val="Medium Grid 1 - Accent 34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3">
    <w:name w:val="Table Grid214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3">
    <w:name w:val="Medium Grid 3 - Accent 114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3">
    <w:name w:val="No List1143"/>
    <w:next w:val="NoList"/>
    <w:uiPriority w:val="99"/>
    <w:unhideWhenUsed/>
    <w:rsid w:val="00C64FC7"/>
  </w:style>
  <w:style w:type="table" w:customStyle="1" w:styleId="MediumGrid1-Accent11143">
    <w:name w:val="Medium Grid 1 - Accent 111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3">
    <w:name w:val="Light Grid - Accent 111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3">
    <w:name w:val="Light Grid - Accent 5114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3">
    <w:name w:val="Light Grid - Accent 121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3">
    <w:name w:val="Light List - Accent 5114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3">
    <w:name w:val="Light List - Accent 1111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3">
    <w:name w:val="Light Grid - Accent 131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3">
    <w:name w:val="Medium Grid 1 - Accent 311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3">
    <w:name w:val="Grid Table 4 - Accent 31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3">
    <w:name w:val="No List2143"/>
    <w:next w:val="NoList"/>
    <w:uiPriority w:val="99"/>
    <w:unhideWhenUsed/>
    <w:rsid w:val="00C64FC7"/>
  </w:style>
  <w:style w:type="table" w:customStyle="1" w:styleId="MediumGrid1-Accent12143">
    <w:name w:val="Medium Grid 1 - Accent 121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3">
    <w:name w:val="Light Grid - Accent 1121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3">
    <w:name w:val="Light Grid - Accent 521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3">
    <w:name w:val="Light Grid - Accent 122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3">
    <w:name w:val="Light List - Accent 521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3">
    <w:name w:val="Light List - Accent 1121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3">
    <w:name w:val="Light Grid - Accent 132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3">
    <w:name w:val="Medium Grid 1 - Accent 321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3">
    <w:name w:val="Grid Table 4 Accent 31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3">
    <w:name w:val="No List3143"/>
    <w:next w:val="NoList"/>
    <w:uiPriority w:val="99"/>
    <w:unhideWhenUsed/>
    <w:rsid w:val="00C64FC7"/>
  </w:style>
  <w:style w:type="table" w:customStyle="1" w:styleId="MediumGrid1-Accent13143">
    <w:name w:val="Medium Grid 1 - Accent 131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3">
    <w:name w:val="Light Grid - Accent 1131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3">
    <w:name w:val="Light Grid - Accent 531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3">
    <w:name w:val="Light Grid - Accent 123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3">
    <w:name w:val="Light List - Accent 531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3">
    <w:name w:val="Light List - Accent 1131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3">
    <w:name w:val="Light Grid - Accent 133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3">
    <w:name w:val="Medium Grid 1 - Accent 331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3">
    <w:name w:val="Grid Table 4 Accent 32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3">
    <w:name w:val="Table Grid114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unhideWhenUsed/>
    <w:rsid w:val="00C64FC7"/>
  </w:style>
  <w:style w:type="table" w:customStyle="1" w:styleId="MediumGrid1-Accent1543">
    <w:name w:val="Medium Grid 1 - Accent 15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3">
    <w:name w:val="Light Grid - Accent 115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3">
    <w:name w:val="Light Grid - Accent 55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3">
    <w:name w:val="Light Grid - Accent 125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3">
    <w:name w:val="Light List - Accent 55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3">
    <w:name w:val="Light List - Accent 115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3">
    <w:name w:val="Light Grid - Accent 135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3">
    <w:name w:val="Medium Grid 1 - Accent 35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3">
    <w:name w:val="No List1243"/>
    <w:next w:val="NoList"/>
    <w:uiPriority w:val="99"/>
    <w:unhideWhenUsed/>
    <w:rsid w:val="00C64FC7"/>
  </w:style>
  <w:style w:type="numbering" w:customStyle="1" w:styleId="NoList2243">
    <w:name w:val="No List2243"/>
    <w:next w:val="NoList"/>
    <w:uiPriority w:val="99"/>
    <w:unhideWhenUsed/>
    <w:rsid w:val="00C64FC7"/>
  </w:style>
  <w:style w:type="numbering" w:customStyle="1" w:styleId="NoList3243">
    <w:name w:val="No List3243"/>
    <w:next w:val="NoList"/>
    <w:uiPriority w:val="99"/>
    <w:unhideWhenUsed/>
    <w:rsid w:val="00C64FC7"/>
  </w:style>
  <w:style w:type="numbering" w:customStyle="1" w:styleId="NoList643">
    <w:name w:val="No List643"/>
    <w:next w:val="NoList"/>
    <w:uiPriority w:val="99"/>
    <w:unhideWhenUsed/>
    <w:rsid w:val="00C64FC7"/>
  </w:style>
  <w:style w:type="table" w:customStyle="1" w:styleId="MediumGrid1-Accent1643">
    <w:name w:val="Medium Grid 1 - Accent 16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3">
    <w:name w:val="Light Grid - Accent 116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3">
    <w:name w:val="Light Grid - Accent 56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3">
    <w:name w:val="Light Grid - Accent 126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3">
    <w:name w:val="Light List - Accent 56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3">
    <w:name w:val="Light List - Accent 116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3">
    <w:name w:val="Light Grid - Accent 136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3">
    <w:name w:val="Medium Grid 1 - Accent 36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3">
    <w:name w:val="No List1343"/>
    <w:next w:val="NoList"/>
    <w:uiPriority w:val="99"/>
    <w:unhideWhenUsed/>
    <w:rsid w:val="00C64FC7"/>
  </w:style>
  <w:style w:type="numbering" w:customStyle="1" w:styleId="NoList2343">
    <w:name w:val="No List2343"/>
    <w:next w:val="NoList"/>
    <w:uiPriority w:val="99"/>
    <w:unhideWhenUsed/>
    <w:rsid w:val="00C64FC7"/>
  </w:style>
  <w:style w:type="numbering" w:customStyle="1" w:styleId="NoList3343">
    <w:name w:val="No List3343"/>
    <w:next w:val="NoList"/>
    <w:uiPriority w:val="99"/>
    <w:unhideWhenUsed/>
    <w:rsid w:val="00C64FC7"/>
  </w:style>
  <w:style w:type="numbering" w:customStyle="1" w:styleId="NoList183">
    <w:name w:val="No List183"/>
    <w:next w:val="NoList"/>
    <w:uiPriority w:val="99"/>
    <w:unhideWhenUsed/>
    <w:rsid w:val="00C64FC7"/>
  </w:style>
  <w:style w:type="table" w:customStyle="1" w:styleId="TableGrid93">
    <w:name w:val="Table Grid9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3">
    <w:name w:val="Medium Grid 3 - Accent 17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3">
    <w:name w:val="Medium Grid 1 - Accent 117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3">
    <w:name w:val="Light Grid - Accent 1117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3">
    <w:name w:val="Light Grid - Accent 517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3">
    <w:name w:val="Light Grid - Accent 1217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3">
    <w:name w:val="Light List - Accent 517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3">
    <w:name w:val="Light List - Accent 1117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3">
    <w:name w:val="Light Grid - Accent 131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3">
    <w:name w:val="Medium Grid 1 - Accent 317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3">
    <w:name w:val="No List193"/>
    <w:next w:val="NoList"/>
    <w:uiPriority w:val="99"/>
    <w:unhideWhenUsed/>
    <w:rsid w:val="00C64FC7"/>
  </w:style>
  <w:style w:type="table" w:customStyle="1" w:styleId="MediumGrid1-Accent1183">
    <w:name w:val="Medium Grid 1 - Accent 118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3">
    <w:name w:val="Light Grid - Accent 1118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3">
    <w:name w:val="Light Grid - Accent 518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3">
    <w:name w:val="Light Grid - Accent 1218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3">
    <w:name w:val="Light List - Accent 518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3">
    <w:name w:val="Light List - Accent 1118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3">
    <w:name w:val="Light Grid - Accent 1318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3">
    <w:name w:val="Medium Grid 1 - Accent 318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3">
    <w:name w:val="Grid Table 4 - Accent 317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3">
    <w:name w:val="No List283"/>
    <w:next w:val="NoList"/>
    <w:uiPriority w:val="99"/>
    <w:unhideWhenUsed/>
    <w:rsid w:val="00C64FC7"/>
  </w:style>
  <w:style w:type="table" w:customStyle="1" w:styleId="MediumGrid1-Accent1273">
    <w:name w:val="Medium Grid 1 - Accent 127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3">
    <w:name w:val="Light Grid - Accent 1127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3">
    <w:name w:val="Light Grid - Accent 527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3">
    <w:name w:val="Light Grid - Accent 122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3">
    <w:name w:val="Light List - Accent 527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3">
    <w:name w:val="Light List - Accent 1127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3">
    <w:name w:val="Light Grid - Accent 132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3">
    <w:name w:val="Medium Grid 1 - Accent 327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3">
    <w:name w:val="Grid Table 4 Accent 317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3">
    <w:name w:val="No List383"/>
    <w:next w:val="NoList"/>
    <w:uiPriority w:val="99"/>
    <w:unhideWhenUsed/>
    <w:rsid w:val="00C64FC7"/>
  </w:style>
  <w:style w:type="table" w:customStyle="1" w:styleId="MediumGrid1-Accent1373">
    <w:name w:val="Medium Grid 1 - Accent 137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3">
    <w:name w:val="Light Grid - Accent 1137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3">
    <w:name w:val="Light Grid - Accent 537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3">
    <w:name w:val="Light Grid - Accent 123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3">
    <w:name w:val="Light List - Accent 537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3">
    <w:name w:val="Light List - Accent 1137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3">
    <w:name w:val="Light Grid - Accent 133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3">
    <w:name w:val="Medium Grid 1 - Accent 337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3">
    <w:name w:val="Grid Table 4 Accent 327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3">
    <w:name w:val="Table Grid17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3">
    <w:name w:val="Table Grid26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3">
    <w:name w:val="No List453"/>
    <w:next w:val="NoList"/>
    <w:uiPriority w:val="99"/>
    <w:unhideWhenUsed/>
    <w:rsid w:val="00C64FC7"/>
  </w:style>
  <w:style w:type="table" w:customStyle="1" w:styleId="MediumGrid1-Accent1453">
    <w:name w:val="Medium Grid 1 - Accent 14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3">
    <w:name w:val="Light Grid - Accent 114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3">
    <w:name w:val="Light Grid - Accent 54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3">
    <w:name w:val="Light Grid - Accent 124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3">
    <w:name w:val="Light List - Accent 54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3">
    <w:name w:val="Light List - Accent 114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3">
    <w:name w:val="Light Grid - Accent 134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3">
    <w:name w:val="Medium Grid 1 - Accent 34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3">
    <w:name w:val="Table Grid215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3">
    <w:name w:val="Medium Grid 3 - Accent 115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3">
    <w:name w:val="No List1153"/>
    <w:next w:val="NoList"/>
    <w:uiPriority w:val="99"/>
    <w:unhideWhenUsed/>
    <w:rsid w:val="00C64FC7"/>
  </w:style>
  <w:style w:type="table" w:customStyle="1" w:styleId="MediumGrid1-Accent11153">
    <w:name w:val="Medium Grid 1 - Accent 111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3">
    <w:name w:val="Light Grid - Accent 111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3">
    <w:name w:val="Light Grid - Accent 5115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3">
    <w:name w:val="Light Grid - Accent 121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3">
    <w:name w:val="Light List - Accent 5115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3">
    <w:name w:val="Light List - Accent 1111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3">
    <w:name w:val="Light Grid - Accent 131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3">
    <w:name w:val="Medium Grid 1 - Accent 311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3">
    <w:name w:val="Grid Table 4 - Accent 31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3">
    <w:name w:val="No List2153"/>
    <w:next w:val="NoList"/>
    <w:uiPriority w:val="99"/>
    <w:unhideWhenUsed/>
    <w:rsid w:val="00C64FC7"/>
  </w:style>
  <w:style w:type="table" w:customStyle="1" w:styleId="MediumGrid1-Accent12153">
    <w:name w:val="Medium Grid 1 - Accent 121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3">
    <w:name w:val="Light Grid - Accent 1121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3">
    <w:name w:val="Light Grid - Accent 521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3">
    <w:name w:val="Light Grid - Accent 122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3">
    <w:name w:val="Light List - Accent 521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3">
    <w:name w:val="Light List - Accent 1121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3">
    <w:name w:val="Light Grid - Accent 132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3">
    <w:name w:val="Medium Grid 1 - Accent 321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3">
    <w:name w:val="Grid Table 4 Accent 31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3">
    <w:name w:val="No List3153"/>
    <w:next w:val="NoList"/>
    <w:uiPriority w:val="99"/>
    <w:unhideWhenUsed/>
    <w:rsid w:val="00C64FC7"/>
  </w:style>
  <w:style w:type="table" w:customStyle="1" w:styleId="MediumGrid1-Accent13153">
    <w:name w:val="Medium Grid 1 - Accent 131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3">
    <w:name w:val="Light Grid - Accent 1131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3">
    <w:name w:val="Light Grid - Accent 531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3">
    <w:name w:val="Light Grid - Accent 123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3">
    <w:name w:val="Light List - Accent 531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3">
    <w:name w:val="Light List - Accent 1131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3">
    <w:name w:val="Light Grid - Accent 133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3">
    <w:name w:val="Medium Grid 1 - Accent 331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3">
    <w:name w:val="Grid Table 4 Accent 32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3">
    <w:name w:val="Table Grid115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3">
    <w:name w:val="No List553"/>
    <w:next w:val="NoList"/>
    <w:uiPriority w:val="99"/>
    <w:unhideWhenUsed/>
    <w:rsid w:val="00C64FC7"/>
  </w:style>
  <w:style w:type="table" w:customStyle="1" w:styleId="MediumGrid1-Accent1553">
    <w:name w:val="Medium Grid 1 - Accent 15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3">
    <w:name w:val="Light Grid - Accent 115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3">
    <w:name w:val="Light Grid - Accent 55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3">
    <w:name w:val="Light Grid - Accent 125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3">
    <w:name w:val="Light List - Accent 55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3">
    <w:name w:val="Light List - Accent 115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3">
    <w:name w:val="Light Grid - Accent 135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3">
    <w:name w:val="Medium Grid 1 - Accent 35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3">
    <w:name w:val="No List1253"/>
    <w:next w:val="NoList"/>
    <w:uiPriority w:val="99"/>
    <w:unhideWhenUsed/>
    <w:rsid w:val="00C64FC7"/>
  </w:style>
  <w:style w:type="numbering" w:customStyle="1" w:styleId="NoList2253">
    <w:name w:val="No List2253"/>
    <w:next w:val="NoList"/>
    <w:uiPriority w:val="99"/>
    <w:unhideWhenUsed/>
    <w:rsid w:val="00C64FC7"/>
  </w:style>
  <w:style w:type="numbering" w:customStyle="1" w:styleId="NoList3253">
    <w:name w:val="No List3253"/>
    <w:next w:val="NoList"/>
    <w:uiPriority w:val="99"/>
    <w:unhideWhenUsed/>
    <w:rsid w:val="00C64FC7"/>
  </w:style>
  <w:style w:type="numbering" w:customStyle="1" w:styleId="NoList653">
    <w:name w:val="No List653"/>
    <w:next w:val="NoList"/>
    <w:uiPriority w:val="99"/>
    <w:unhideWhenUsed/>
    <w:rsid w:val="00C64FC7"/>
  </w:style>
  <w:style w:type="table" w:customStyle="1" w:styleId="MediumGrid1-Accent1653">
    <w:name w:val="Medium Grid 1 - Accent 16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3">
    <w:name w:val="Light Grid - Accent 116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3">
    <w:name w:val="Light Grid - Accent 56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3">
    <w:name w:val="Light Grid - Accent 126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3">
    <w:name w:val="Light List - Accent 56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3">
    <w:name w:val="Light List - Accent 116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3">
    <w:name w:val="Light Grid - Accent 136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3">
    <w:name w:val="Medium Grid 1 - Accent 36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3">
    <w:name w:val="No List1353"/>
    <w:next w:val="NoList"/>
    <w:uiPriority w:val="99"/>
    <w:unhideWhenUsed/>
    <w:rsid w:val="00C64FC7"/>
  </w:style>
  <w:style w:type="numbering" w:customStyle="1" w:styleId="NoList2353">
    <w:name w:val="No List2353"/>
    <w:next w:val="NoList"/>
    <w:uiPriority w:val="99"/>
    <w:unhideWhenUsed/>
    <w:rsid w:val="00C64FC7"/>
  </w:style>
  <w:style w:type="numbering" w:customStyle="1" w:styleId="NoList3353">
    <w:name w:val="No List3353"/>
    <w:next w:val="NoList"/>
    <w:uiPriority w:val="99"/>
    <w:unhideWhenUsed/>
    <w:rsid w:val="00C64FC7"/>
  </w:style>
  <w:style w:type="numbering" w:customStyle="1" w:styleId="NoList202">
    <w:name w:val="No List202"/>
    <w:next w:val="NoList"/>
    <w:uiPriority w:val="99"/>
    <w:unhideWhenUsed/>
    <w:rsid w:val="00C64FC7"/>
  </w:style>
  <w:style w:type="table" w:customStyle="1" w:styleId="TableGrid102">
    <w:name w:val="Table Grid10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82">
    <w:name w:val="Medium Grid 3 - Accent 18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92">
    <w:name w:val="Medium Grid 1 - Accent 119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92">
    <w:name w:val="Light Grid - Accent 1119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92">
    <w:name w:val="Light Grid - Accent 519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92">
    <w:name w:val="Light Grid - Accent 1219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92">
    <w:name w:val="Light List - Accent 519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92">
    <w:name w:val="Light List - Accent 1119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92">
    <w:name w:val="Light Grid - Accent 1319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92">
    <w:name w:val="Medium Grid 1 - Accent 319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02">
    <w:name w:val="No List1102"/>
    <w:next w:val="NoList"/>
    <w:uiPriority w:val="99"/>
    <w:unhideWhenUsed/>
    <w:rsid w:val="00C64FC7"/>
  </w:style>
  <w:style w:type="table" w:customStyle="1" w:styleId="MediumGrid1-Accent11102">
    <w:name w:val="Medium Grid 1 - Accent 1110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02">
    <w:name w:val="Light Grid - Accent 11110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02">
    <w:name w:val="Light Grid - Accent 5110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02">
    <w:name w:val="Light Grid - Accent 12110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02">
    <w:name w:val="Light List - Accent 5110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02">
    <w:name w:val="Light List - Accent 11110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02">
    <w:name w:val="Light Grid - Accent 13110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02">
    <w:name w:val="Medium Grid 1 - Accent 3110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82">
    <w:name w:val="Grid Table 4 - Accent 318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92">
    <w:name w:val="No List292"/>
    <w:next w:val="NoList"/>
    <w:uiPriority w:val="99"/>
    <w:unhideWhenUsed/>
    <w:rsid w:val="00C64FC7"/>
  </w:style>
  <w:style w:type="table" w:customStyle="1" w:styleId="MediumGrid1-Accent1282">
    <w:name w:val="Medium Grid 1 - Accent 128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82">
    <w:name w:val="Light Grid - Accent 1128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82">
    <w:name w:val="Light Grid - Accent 528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82">
    <w:name w:val="Light Grid - Accent 122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82">
    <w:name w:val="Light List - Accent 528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82">
    <w:name w:val="Light List - Accent 1128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82">
    <w:name w:val="Light Grid - Accent 132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82">
    <w:name w:val="Medium Grid 1 - Accent 328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82">
    <w:name w:val="Grid Table 4 Accent 318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92">
    <w:name w:val="No List392"/>
    <w:next w:val="NoList"/>
    <w:uiPriority w:val="99"/>
    <w:unhideWhenUsed/>
    <w:rsid w:val="00C64FC7"/>
  </w:style>
  <w:style w:type="table" w:customStyle="1" w:styleId="MediumGrid1-Accent1382">
    <w:name w:val="Medium Grid 1 - Accent 138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82">
    <w:name w:val="Light Grid - Accent 1138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82">
    <w:name w:val="Light Grid - Accent 538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82">
    <w:name w:val="Light Grid - Accent 123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82">
    <w:name w:val="Light List - Accent 538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82">
    <w:name w:val="Light List - Accent 1138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82">
    <w:name w:val="Light Grid - Accent 133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82">
    <w:name w:val="Medium Grid 1 - Accent 338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82">
    <w:name w:val="Grid Table 4 Accent 328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82">
    <w:name w:val="Table Grid18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2">
    <w:name w:val="No List462"/>
    <w:next w:val="NoList"/>
    <w:uiPriority w:val="99"/>
    <w:unhideWhenUsed/>
    <w:rsid w:val="00C64FC7"/>
  </w:style>
  <w:style w:type="table" w:customStyle="1" w:styleId="MediumGrid1-Accent1462">
    <w:name w:val="Medium Grid 1 - Accent 14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62">
    <w:name w:val="Light Grid - Accent 114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62">
    <w:name w:val="Light Grid - Accent 54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62">
    <w:name w:val="Light Grid - Accent 124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62">
    <w:name w:val="Light List - Accent 54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62">
    <w:name w:val="Light List - Accent 114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62">
    <w:name w:val="Light Grid - Accent 134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62">
    <w:name w:val="Medium Grid 1 - Accent 34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12">
    <w:name w:val="Table Grid3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62">
    <w:name w:val="Medium Grid 3 - Accent 116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62">
    <w:name w:val="No List1162"/>
    <w:next w:val="NoList"/>
    <w:uiPriority w:val="99"/>
    <w:unhideWhenUsed/>
    <w:rsid w:val="00C64FC7"/>
  </w:style>
  <w:style w:type="table" w:customStyle="1" w:styleId="MediumGrid1-Accent11162">
    <w:name w:val="Medium Grid 1 - Accent 111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62">
    <w:name w:val="Light Grid - Accent 111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62">
    <w:name w:val="Light Grid - Accent 5116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62">
    <w:name w:val="Light Grid - Accent 121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62">
    <w:name w:val="Light List - Accent 5116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62">
    <w:name w:val="Light List - Accent 1111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62">
    <w:name w:val="Light Grid - Accent 131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62">
    <w:name w:val="Medium Grid 1 - Accent 311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62">
    <w:name w:val="Grid Table 4 - Accent 31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62">
    <w:name w:val="No List2162"/>
    <w:next w:val="NoList"/>
    <w:uiPriority w:val="99"/>
    <w:unhideWhenUsed/>
    <w:rsid w:val="00C64FC7"/>
  </w:style>
  <w:style w:type="table" w:customStyle="1" w:styleId="MediumGrid1-Accent12162">
    <w:name w:val="Medium Grid 1 - Accent 121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62">
    <w:name w:val="Light Grid - Accent 1121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62">
    <w:name w:val="Light Grid - Accent 521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62">
    <w:name w:val="Light Grid - Accent 122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62">
    <w:name w:val="Light List - Accent 521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62">
    <w:name w:val="Light List - Accent 1121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62">
    <w:name w:val="Light Grid - Accent 132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62">
    <w:name w:val="Medium Grid 1 - Accent 321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62">
    <w:name w:val="Grid Table 4 Accent 31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62">
    <w:name w:val="No List3162"/>
    <w:next w:val="NoList"/>
    <w:uiPriority w:val="99"/>
    <w:unhideWhenUsed/>
    <w:rsid w:val="00C64FC7"/>
  </w:style>
  <w:style w:type="table" w:customStyle="1" w:styleId="MediumGrid1-Accent13162">
    <w:name w:val="Medium Grid 1 - Accent 131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62">
    <w:name w:val="Light Grid - Accent 1131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62">
    <w:name w:val="Light Grid - Accent 531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62">
    <w:name w:val="Light Grid - Accent 123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62">
    <w:name w:val="Light List - Accent 531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62">
    <w:name w:val="Light List - Accent 1131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62">
    <w:name w:val="Light Grid - Accent 133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62">
    <w:name w:val="Medium Grid 1 - Accent 331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62">
    <w:name w:val="Grid Table 4 Accent 32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62">
    <w:name w:val="Table Grid116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2">
    <w:name w:val="No List562"/>
    <w:next w:val="NoList"/>
    <w:uiPriority w:val="99"/>
    <w:unhideWhenUsed/>
    <w:rsid w:val="00C64FC7"/>
  </w:style>
  <w:style w:type="table" w:customStyle="1" w:styleId="TableGrid412">
    <w:name w:val="Table Grid412"/>
    <w:basedOn w:val="TableNormal"/>
    <w:next w:val="TableGrid"/>
    <w:uiPriority w:val="5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12">
    <w:name w:val="Medium Grid 3 - Accent 12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62">
    <w:name w:val="Medium Grid 1 - Accent 156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62">
    <w:name w:val="Light Grid - Accent 1156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62">
    <w:name w:val="Light Grid - Accent 556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62">
    <w:name w:val="Light Grid - Accent 1256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62">
    <w:name w:val="Light List - Accent 556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62">
    <w:name w:val="Light List - Accent 1156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62">
    <w:name w:val="Light Grid - Accent 135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62">
    <w:name w:val="Medium Grid 1 - Accent 35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62">
    <w:name w:val="No List1262"/>
    <w:next w:val="NoList"/>
    <w:uiPriority w:val="99"/>
    <w:unhideWhenUsed/>
    <w:rsid w:val="00C64FC7"/>
  </w:style>
  <w:style w:type="table" w:customStyle="1" w:styleId="MediumGrid1-Accent11212">
    <w:name w:val="Medium Grid 1 - Accent 11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12">
    <w:name w:val="Light Grid - Accent 11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12">
    <w:name w:val="Light Grid - Accent 512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12">
    <w:name w:val="Light Grid - Accent 12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12">
    <w:name w:val="Light List - Accent 512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2">
    <w:name w:val="Light List - Accent 111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12">
    <w:name w:val="Light Grid - Accent 13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12">
    <w:name w:val="Medium Grid 1 - Accent 31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12">
    <w:name w:val="Grid Table 4 - Accent 3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62">
    <w:name w:val="No List2262"/>
    <w:next w:val="NoList"/>
    <w:uiPriority w:val="99"/>
    <w:unhideWhenUsed/>
    <w:rsid w:val="00C64FC7"/>
  </w:style>
  <w:style w:type="table" w:customStyle="1" w:styleId="MediumGrid1-Accent12212">
    <w:name w:val="Medium Grid 1 - Accent 12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12">
    <w:name w:val="Light Grid - Accent 112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12">
    <w:name w:val="Light Grid - Accent 52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12">
    <w:name w:val="Light Grid - Accent 122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12">
    <w:name w:val="Light List - Accent 52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12">
    <w:name w:val="Light List - Accent 112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12">
    <w:name w:val="Light Grid - Accent 132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12">
    <w:name w:val="Medium Grid 1 - Accent 32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12">
    <w:name w:val="Grid Table 4 Accent 3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62">
    <w:name w:val="No List3262"/>
    <w:next w:val="NoList"/>
    <w:uiPriority w:val="99"/>
    <w:unhideWhenUsed/>
    <w:rsid w:val="00C64FC7"/>
  </w:style>
  <w:style w:type="table" w:customStyle="1" w:styleId="MediumGrid1-Accent13212">
    <w:name w:val="Medium Grid 1 - Accent 13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12">
    <w:name w:val="Light Grid - Accent 113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12">
    <w:name w:val="Light Grid - Accent 53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12">
    <w:name w:val="Light Grid - Accent 123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12">
    <w:name w:val="Light List - Accent 53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12">
    <w:name w:val="Light List - Accent 113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12">
    <w:name w:val="Light Grid - Accent 133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12">
    <w:name w:val="Medium Grid 1 - Accent 33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12">
    <w:name w:val="Grid Table 4 Accent 32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12">
    <w:name w:val="Table Grid12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 Grid2162"/>
    <w:basedOn w:val="TableNormal"/>
    <w:next w:val="TableGrid"/>
    <w:uiPriority w:val="3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2">
    <w:name w:val="No List662"/>
    <w:next w:val="NoList"/>
    <w:uiPriority w:val="99"/>
    <w:unhideWhenUsed/>
    <w:rsid w:val="00C64FC7"/>
  </w:style>
  <w:style w:type="table" w:customStyle="1" w:styleId="MediumGrid1-Accent1662">
    <w:name w:val="Medium Grid 1 - Accent 16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62">
    <w:name w:val="Light Grid - Accent 116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62">
    <w:name w:val="Light Grid - Accent 56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62">
    <w:name w:val="Light Grid - Accent 126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62">
    <w:name w:val="Light List - Accent 56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62">
    <w:name w:val="Light List - Accent 116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62">
    <w:name w:val="Light Grid - Accent 136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62">
    <w:name w:val="Medium Grid 1 - Accent 36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62">
    <w:name w:val="No List1362"/>
    <w:next w:val="NoList"/>
    <w:uiPriority w:val="99"/>
    <w:unhideWhenUsed/>
    <w:rsid w:val="00C64FC7"/>
  </w:style>
  <w:style w:type="numbering" w:customStyle="1" w:styleId="NoList2362">
    <w:name w:val="No List2362"/>
    <w:next w:val="NoList"/>
    <w:uiPriority w:val="99"/>
    <w:unhideWhenUsed/>
    <w:rsid w:val="00C64FC7"/>
  </w:style>
  <w:style w:type="numbering" w:customStyle="1" w:styleId="NoList3362">
    <w:name w:val="No List3362"/>
    <w:next w:val="NoList"/>
    <w:uiPriority w:val="99"/>
    <w:unhideWhenUsed/>
    <w:rsid w:val="00C64FC7"/>
  </w:style>
  <w:style w:type="numbering" w:customStyle="1" w:styleId="NoList712">
    <w:name w:val="No List712"/>
    <w:next w:val="NoList"/>
    <w:uiPriority w:val="99"/>
    <w:unhideWhenUsed/>
    <w:rsid w:val="00C64FC7"/>
  </w:style>
  <w:style w:type="table" w:customStyle="1" w:styleId="TableGrid512">
    <w:name w:val="Table Grid5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12">
    <w:name w:val="Medium Grid 3 - Accent 13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12">
    <w:name w:val="Medium Grid 1 - Accent 17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12">
    <w:name w:val="Light Grid - Accent 1171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12">
    <w:name w:val="Light Grid - Accent 57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12">
    <w:name w:val="Light Grid - Accent 1271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12">
    <w:name w:val="Light List - Accent 57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12">
    <w:name w:val="Light List - Accent 1171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12">
    <w:name w:val="Light Grid - Accent 137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12">
    <w:name w:val="Medium Grid 1 - Accent 37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12">
    <w:name w:val="No List1412"/>
    <w:next w:val="NoList"/>
    <w:uiPriority w:val="99"/>
    <w:unhideWhenUsed/>
    <w:rsid w:val="00C64FC7"/>
  </w:style>
  <w:style w:type="table" w:customStyle="1" w:styleId="MediumGrid1-Accent11312">
    <w:name w:val="Medium Grid 1 - Accent 11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12">
    <w:name w:val="Light Grid - Accent 11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12">
    <w:name w:val="Light Grid - Accent 513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12">
    <w:name w:val="Light Grid - Accent 12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12">
    <w:name w:val="Light List - Accent 513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12">
    <w:name w:val="Light List - Accent 111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12">
    <w:name w:val="Light Grid - Accent 13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12">
    <w:name w:val="Medium Grid 1 - Accent 31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12">
    <w:name w:val="Grid Table 4 - Accent 3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12">
    <w:name w:val="No List2412"/>
    <w:next w:val="NoList"/>
    <w:uiPriority w:val="99"/>
    <w:unhideWhenUsed/>
    <w:rsid w:val="00C64FC7"/>
  </w:style>
  <w:style w:type="table" w:customStyle="1" w:styleId="MediumGrid1-Accent12312">
    <w:name w:val="Medium Grid 1 - Accent 12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12">
    <w:name w:val="Light Grid - Accent 112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12">
    <w:name w:val="Light Grid - Accent 52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12">
    <w:name w:val="Light Grid - Accent 122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12">
    <w:name w:val="Light List - Accent 52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12">
    <w:name w:val="Light List - Accent 112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12">
    <w:name w:val="Light Grid - Accent 132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12">
    <w:name w:val="Medium Grid 1 - Accent 32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12">
    <w:name w:val="Grid Table 4 Accent 3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12">
    <w:name w:val="No List3412"/>
    <w:next w:val="NoList"/>
    <w:uiPriority w:val="99"/>
    <w:unhideWhenUsed/>
    <w:rsid w:val="00C64FC7"/>
  </w:style>
  <w:style w:type="table" w:customStyle="1" w:styleId="MediumGrid1-Accent13312">
    <w:name w:val="Medium Grid 1 - Accent 13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12">
    <w:name w:val="Light Grid - Accent 113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12">
    <w:name w:val="Light Grid - Accent 53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12">
    <w:name w:val="Light Grid - Accent 123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12">
    <w:name w:val="Light List - Accent 53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12">
    <w:name w:val="Light List - Accent 113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12">
    <w:name w:val="Light Grid - Accent 133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12">
    <w:name w:val="Medium Grid 1 - Accent 33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12">
    <w:name w:val="Grid Table 4 Accent 32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2">
    <w:name w:val="Table Grid13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2">
    <w:name w:val="No List4112"/>
    <w:next w:val="NoList"/>
    <w:uiPriority w:val="99"/>
    <w:unhideWhenUsed/>
    <w:rsid w:val="00C64FC7"/>
  </w:style>
  <w:style w:type="table" w:customStyle="1" w:styleId="MediumGrid1-Accent14112">
    <w:name w:val="Medium Grid 1 - Accent 14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12">
    <w:name w:val="Light Grid - Accent 114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12">
    <w:name w:val="Light Grid - Accent 54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12">
    <w:name w:val="Light Grid - Accent 124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12">
    <w:name w:val="Light List - Accent 54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12">
    <w:name w:val="Light List - Accent 114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12">
    <w:name w:val="Light Grid - Accent 134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12">
    <w:name w:val="Medium Grid 1 - Accent 34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12">
    <w:name w:val="Table Grid211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12">
    <w:name w:val="Medium Grid 3 - Accent 111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2">
    <w:name w:val="No List11112"/>
    <w:next w:val="NoList"/>
    <w:uiPriority w:val="99"/>
    <w:unhideWhenUsed/>
    <w:rsid w:val="00C64FC7"/>
  </w:style>
  <w:style w:type="table" w:customStyle="1" w:styleId="MediumGrid1-Accent111112">
    <w:name w:val="Medium Grid 1 - Accent 111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12">
    <w:name w:val="Light Grid - Accent 111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12">
    <w:name w:val="Light Grid - Accent 5111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12">
    <w:name w:val="Light Grid - Accent 121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12">
    <w:name w:val="Light List - Accent 5111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12">
    <w:name w:val="Light List - Accent 1111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12">
    <w:name w:val="Light Grid - Accent 131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12">
    <w:name w:val="Medium Grid 1 - Accent 311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12">
    <w:name w:val="Grid Table 4 - Accent 31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12">
    <w:name w:val="No List21112"/>
    <w:next w:val="NoList"/>
    <w:uiPriority w:val="99"/>
    <w:unhideWhenUsed/>
    <w:rsid w:val="00C64FC7"/>
  </w:style>
  <w:style w:type="table" w:customStyle="1" w:styleId="MediumGrid1-Accent121112">
    <w:name w:val="Medium Grid 1 - Accent 121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12">
    <w:name w:val="Light Grid - Accent 1121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12">
    <w:name w:val="Light Grid - Accent 521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12">
    <w:name w:val="Light Grid - Accent 122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12">
    <w:name w:val="Light List - Accent 521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12">
    <w:name w:val="Light List - Accent 1121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12">
    <w:name w:val="Light Grid - Accent 132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12">
    <w:name w:val="Medium Grid 1 - Accent 321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12">
    <w:name w:val="Grid Table 4 Accent 31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12">
    <w:name w:val="No List31112"/>
    <w:next w:val="NoList"/>
    <w:uiPriority w:val="99"/>
    <w:unhideWhenUsed/>
    <w:rsid w:val="00C64FC7"/>
  </w:style>
  <w:style w:type="table" w:customStyle="1" w:styleId="MediumGrid1-Accent131112">
    <w:name w:val="Medium Grid 1 - Accent 131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12">
    <w:name w:val="Light Grid - Accent 1131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12">
    <w:name w:val="Light Grid - Accent 531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12">
    <w:name w:val="Light Grid - Accent 123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12">
    <w:name w:val="Light List - Accent 531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12">
    <w:name w:val="Light List - Accent 1131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12">
    <w:name w:val="Light Grid - Accent 133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12">
    <w:name w:val="Medium Grid 1 - Accent 331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12">
    <w:name w:val="Grid Table 4 Accent 32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12">
    <w:name w:val="Table Grid111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2">
    <w:name w:val="No List5112"/>
    <w:next w:val="NoList"/>
    <w:uiPriority w:val="99"/>
    <w:unhideWhenUsed/>
    <w:rsid w:val="00C64FC7"/>
  </w:style>
  <w:style w:type="table" w:customStyle="1" w:styleId="MediumGrid1-Accent15112">
    <w:name w:val="Medium Grid 1 - Accent 15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12">
    <w:name w:val="Light Grid - Accent 115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12">
    <w:name w:val="Light Grid - Accent 55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12">
    <w:name w:val="Light Grid - Accent 125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12">
    <w:name w:val="Light List - Accent 55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12">
    <w:name w:val="Light List - Accent 115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12">
    <w:name w:val="Light Grid - Accent 135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12">
    <w:name w:val="Medium Grid 1 - Accent 35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12">
    <w:name w:val="No List12112"/>
    <w:next w:val="NoList"/>
    <w:uiPriority w:val="99"/>
    <w:unhideWhenUsed/>
    <w:rsid w:val="00C64FC7"/>
  </w:style>
  <w:style w:type="numbering" w:customStyle="1" w:styleId="NoList22112">
    <w:name w:val="No List22112"/>
    <w:next w:val="NoList"/>
    <w:uiPriority w:val="99"/>
    <w:unhideWhenUsed/>
    <w:rsid w:val="00C64FC7"/>
  </w:style>
  <w:style w:type="numbering" w:customStyle="1" w:styleId="NoList32112">
    <w:name w:val="No List32112"/>
    <w:next w:val="NoList"/>
    <w:uiPriority w:val="99"/>
    <w:unhideWhenUsed/>
    <w:rsid w:val="00C64FC7"/>
  </w:style>
  <w:style w:type="numbering" w:customStyle="1" w:styleId="NoList6112">
    <w:name w:val="No List6112"/>
    <w:next w:val="NoList"/>
    <w:uiPriority w:val="99"/>
    <w:unhideWhenUsed/>
    <w:rsid w:val="00C64FC7"/>
  </w:style>
  <w:style w:type="table" w:customStyle="1" w:styleId="MediumGrid1-Accent16112">
    <w:name w:val="Medium Grid 1 - Accent 16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12">
    <w:name w:val="Light Grid - Accent 116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12">
    <w:name w:val="Light Grid - Accent 56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12">
    <w:name w:val="Light Grid - Accent 126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12">
    <w:name w:val="Light List - Accent 56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12">
    <w:name w:val="Light List - Accent 116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12">
    <w:name w:val="Light Grid - Accent 136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12">
    <w:name w:val="Medium Grid 1 - Accent 36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12">
    <w:name w:val="No List13112"/>
    <w:next w:val="NoList"/>
    <w:uiPriority w:val="99"/>
    <w:unhideWhenUsed/>
    <w:rsid w:val="00C64FC7"/>
  </w:style>
  <w:style w:type="numbering" w:customStyle="1" w:styleId="NoList23112">
    <w:name w:val="No List23112"/>
    <w:next w:val="NoList"/>
    <w:uiPriority w:val="99"/>
    <w:unhideWhenUsed/>
    <w:rsid w:val="00C64FC7"/>
  </w:style>
  <w:style w:type="numbering" w:customStyle="1" w:styleId="NoList33112">
    <w:name w:val="No List33112"/>
    <w:next w:val="NoList"/>
    <w:uiPriority w:val="99"/>
    <w:unhideWhenUsed/>
    <w:rsid w:val="00C64FC7"/>
  </w:style>
  <w:style w:type="numbering" w:customStyle="1" w:styleId="NoList812">
    <w:name w:val="No List812"/>
    <w:next w:val="NoList"/>
    <w:uiPriority w:val="99"/>
    <w:unhideWhenUsed/>
    <w:rsid w:val="00C64FC7"/>
  </w:style>
  <w:style w:type="table" w:customStyle="1" w:styleId="TableGrid612">
    <w:name w:val="Table Grid6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12">
    <w:name w:val="Medium Grid 3 - Accent 14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12">
    <w:name w:val="Medium Grid 1 - Accent 18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12">
    <w:name w:val="Light Grid - Accent 1181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12">
    <w:name w:val="Light Grid - Accent 58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12">
    <w:name w:val="Light Grid - Accent 1281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12">
    <w:name w:val="Light List - Accent 58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12">
    <w:name w:val="Light List - Accent 1181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12">
    <w:name w:val="Light Grid - Accent 138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12">
    <w:name w:val="Medium Grid 1 - Accent 38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12">
    <w:name w:val="No List1512"/>
    <w:next w:val="NoList"/>
    <w:uiPriority w:val="99"/>
    <w:unhideWhenUsed/>
    <w:rsid w:val="00C64FC7"/>
  </w:style>
  <w:style w:type="table" w:customStyle="1" w:styleId="MediumGrid1-Accent11412">
    <w:name w:val="Medium Grid 1 - Accent 11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12">
    <w:name w:val="Light Grid - Accent 11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12">
    <w:name w:val="Light Grid - Accent 514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12">
    <w:name w:val="Light Grid - Accent 12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12">
    <w:name w:val="Light List - Accent 514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12">
    <w:name w:val="Light List - Accent 111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12">
    <w:name w:val="Light Grid - Accent 13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12">
    <w:name w:val="Medium Grid 1 - Accent 31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12">
    <w:name w:val="Grid Table 4 - Accent 314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12">
    <w:name w:val="No List2512"/>
    <w:next w:val="NoList"/>
    <w:uiPriority w:val="99"/>
    <w:unhideWhenUsed/>
    <w:rsid w:val="00C64FC7"/>
  </w:style>
  <w:style w:type="table" w:customStyle="1" w:styleId="MediumGrid1-Accent12412">
    <w:name w:val="Medium Grid 1 - Accent 12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12">
    <w:name w:val="Light Grid - Accent 112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12">
    <w:name w:val="Light Grid - Accent 52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12">
    <w:name w:val="Light Grid - Accent 122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12">
    <w:name w:val="Light List - Accent 52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12">
    <w:name w:val="Light List - Accent 112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12">
    <w:name w:val="Light Grid - Accent 132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12">
    <w:name w:val="Medium Grid 1 - Accent 32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12">
    <w:name w:val="Grid Table 4 Accent 314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12">
    <w:name w:val="No List3512"/>
    <w:next w:val="NoList"/>
    <w:uiPriority w:val="99"/>
    <w:unhideWhenUsed/>
    <w:rsid w:val="00C64FC7"/>
  </w:style>
  <w:style w:type="table" w:customStyle="1" w:styleId="MediumGrid1-Accent13412">
    <w:name w:val="Medium Grid 1 - Accent 13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12">
    <w:name w:val="Light Grid - Accent 113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12">
    <w:name w:val="Light Grid - Accent 53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12">
    <w:name w:val="Light Grid - Accent 123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12">
    <w:name w:val="Light List - Accent 53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12">
    <w:name w:val="Light List - Accent 113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12">
    <w:name w:val="Light Grid - Accent 133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12">
    <w:name w:val="Medium Grid 1 - Accent 33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12">
    <w:name w:val="Grid Table 4 Accent 324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12">
    <w:name w:val="Table Grid14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unhideWhenUsed/>
    <w:rsid w:val="00C64FC7"/>
  </w:style>
  <w:style w:type="table" w:customStyle="1" w:styleId="MediumGrid1-Accent14212">
    <w:name w:val="Medium Grid 1 - Accent 14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12">
    <w:name w:val="Light Grid - Accent 114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12">
    <w:name w:val="Light Grid - Accent 54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12">
    <w:name w:val="Light Grid - Accent 124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12">
    <w:name w:val="Light List - Accent 54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12">
    <w:name w:val="Light List - Accent 114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12">
    <w:name w:val="Light Grid - Accent 134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12">
    <w:name w:val="Medium Grid 1 - Accent 34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12">
    <w:name w:val="Table Grid212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12">
    <w:name w:val="Medium Grid 3 - Accent 112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12">
    <w:name w:val="No List11212"/>
    <w:next w:val="NoList"/>
    <w:uiPriority w:val="99"/>
    <w:unhideWhenUsed/>
    <w:rsid w:val="00C64FC7"/>
  </w:style>
  <w:style w:type="table" w:customStyle="1" w:styleId="MediumGrid1-Accent111212">
    <w:name w:val="Medium Grid 1 - Accent 111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12">
    <w:name w:val="Light Grid - Accent 111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12">
    <w:name w:val="Light Grid - Accent 5112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12">
    <w:name w:val="Light Grid - Accent 121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12">
    <w:name w:val="Light List - Accent 5112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12">
    <w:name w:val="Light List - Accent 1111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12">
    <w:name w:val="Light Grid - Accent 131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12">
    <w:name w:val="Medium Grid 1 - Accent 311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12">
    <w:name w:val="Grid Table 4 - Accent 31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12">
    <w:name w:val="No List21212"/>
    <w:next w:val="NoList"/>
    <w:uiPriority w:val="99"/>
    <w:unhideWhenUsed/>
    <w:rsid w:val="00C64FC7"/>
  </w:style>
  <w:style w:type="table" w:customStyle="1" w:styleId="MediumGrid1-Accent121212">
    <w:name w:val="Medium Grid 1 - Accent 121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12">
    <w:name w:val="Light Grid - Accent 1121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12">
    <w:name w:val="Light Grid - Accent 521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12">
    <w:name w:val="Light Grid - Accent 122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12">
    <w:name w:val="Light List - Accent 521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12">
    <w:name w:val="Light List - Accent 1121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12">
    <w:name w:val="Light Grid - Accent 132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12">
    <w:name w:val="Medium Grid 1 - Accent 321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12">
    <w:name w:val="Grid Table 4 Accent 31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12">
    <w:name w:val="No List31212"/>
    <w:next w:val="NoList"/>
    <w:uiPriority w:val="99"/>
    <w:unhideWhenUsed/>
    <w:rsid w:val="00C64FC7"/>
  </w:style>
  <w:style w:type="table" w:customStyle="1" w:styleId="MediumGrid1-Accent131212">
    <w:name w:val="Medium Grid 1 - Accent 131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12">
    <w:name w:val="Light Grid - Accent 1131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12">
    <w:name w:val="Light Grid - Accent 531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12">
    <w:name w:val="Light Grid - Accent 123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12">
    <w:name w:val="Light List - Accent 531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12">
    <w:name w:val="Light List - Accent 1131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12">
    <w:name w:val="Light Grid - Accent 133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12">
    <w:name w:val="Medium Grid 1 - Accent 331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12">
    <w:name w:val="Grid Table 4 Accent 32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12">
    <w:name w:val="Table Grid112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unhideWhenUsed/>
    <w:rsid w:val="00C64FC7"/>
  </w:style>
  <w:style w:type="table" w:customStyle="1" w:styleId="MediumGrid1-Accent15212">
    <w:name w:val="Medium Grid 1 - Accent 15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12">
    <w:name w:val="Light Grid - Accent 115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12">
    <w:name w:val="Light Grid - Accent 55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12">
    <w:name w:val="Light Grid - Accent 125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12">
    <w:name w:val="Light List - Accent 55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12">
    <w:name w:val="Light List - Accent 115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12">
    <w:name w:val="Light Grid - Accent 135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12">
    <w:name w:val="Medium Grid 1 - Accent 35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12">
    <w:name w:val="No List12212"/>
    <w:next w:val="NoList"/>
    <w:uiPriority w:val="99"/>
    <w:unhideWhenUsed/>
    <w:rsid w:val="00C64FC7"/>
  </w:style>
  <w:style w:type="numbering" w:customStyle="1" w:styleId="NoList22212">
    <w:name w:val="No List22212"/>
    <w:next w:val="NoList"/>
    <w:uiPriority w:val="99"/>
    <w:unhideWhenUsed/>
    <w:rsid w:val="00C64FC7"/>
  </w:style>
  <w:style w:type="numbering" w:customStyle="1" w:styleId="NoList32212">
    <w:name w:val="No List32212"/>
    <w:next w:val="NoList"/>
    <w:uiPriority w:val="99"/>
    <w:unhideWhenUsed/>
    <w:rsid w:val="00C64FC7"/>
  </w:style>
  <w:style w:type="numbering" w:customStyle="1" w:styleId="NoList6212">
    <w:name w:val="No List6212"/>
    <w:next w:val="NoList"/>
    <w:uiPriority w:val="99"/>
    <w:unhideWhenUsed/>
    <w:rsid w:val="00C64FC7"/>
  </w:style>
  <w:style w:type="table" w:customStyle="1" w:styleId="MediumGrid1-Accent16212">
    <w:name w:val="Medium Grid 1 - Accent 16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12">
    <w:name w:val="Light Grid - Accent 116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12">
    <w:name w:val="Light Grid - Accent 56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12">
    <w:name w:val="Light Grid - Accent 126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12">
    <w:name w:val="Light List - Accent 56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12">
    <w:name w:val="Light List - Accent 116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12">
    <w:name w:val="Light Grid - Accent 136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12">
    <w:name w:val="Medium Grid 1 - Accent 36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12">
    <w:name w:val="No List13212"/>
    <w:next w:val="NoList"/>
    <w:uiPriority w:val="99"/>
    <w:unhideWhenUsed/>
    <w:rsid w:val="00C64FC7"/>
  </w:style>
  <w:style w:type="numbering" w:customStyle="1" w:styleId="NoList23212">
    <w:name w:val="No List23212"/>
    <w:next w:val="NoList"/>
    <w:uiPriority w:val="99"/>
    <w:unhideWhenUsed/>
    <w:rsid w:val="00C64FC7"/>
  </w:style>
  <w:style w:type="numbering" w:customStyle="1" w:styleId="NoList33212">
    <w:name w:val="No List33212"/>
    <w:next w:val="NoList"/>
    <w:uiPriority w:val="99"/>
    <w:unhideWhenUsed/>
    <w:rsid w:val="00C64FC7"/>
  </w:style>
  <w:style w:type="numbering" w:customStyle="1" w:styleId="NoList912">
    <w:name w:val="No List912"/>
    <w:next w:val="NoList"/>
    <w:uiPriority w:val="99"/>
    <w:unhideWhenUsed/>
    <w:rsid w:val="00C64FC7"/>
  </w:style>
  <w:style w:type="table" w:customStyle="1" w:styleId="TableGrid712">
    <w:name w:val="Table Grid7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12">
    <w:name w:val="Medium Grid 3 - Accent 1512"/>
    <w:basedOn w:val="TableNormal"/>
    <w:next w:val="MediumGrid3-Accent1"/>
    <w:uiPriority w:val="69"/>
    <w:locked/>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12">
    <w:name w:val="Medium Grid 1 - Accent 19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12">
    <w:name w:val="Light Grid - Accent 1191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12">
    <w:name w:val="Light Grid - Accent 59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12">
    <w:name w:val="Light Grid - Accent 1291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12">
    <w:name w:val="Light List - Accent 59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12">
    <w:name w:val="Light List - Accent 1191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12">
    <w:name w:val="Light Grid - Accent 139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12">
    <w:name w:val="Medium Grid 1 - Accent 39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12">
    <w:name w:val="No List1612"/>
    <w:next w:val="NoList"/>
    <w:uiPriority w:val="99"/>
    <w:unhideWhenUsed/>
    <w:rsid w:val="00C64FC7"/>
  </w:style>
  <w:style w:type="table" w:customStyle="1" w:styleId="MediumGrid1-Accent11512">
    <w:name w:val="Medium Grid 1 - Accent 115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12">
    <w:name w:val="Light Grid - Accent 111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12">
    <w:name w:val="Light Grid - Accent 515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12">
    <w:name w:val="Light Grid - Accent 121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12">
    <w:name w:val="Light List - Accent 515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12">
    <w:name w:val="Light List - Accent 1115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12">
    <w:name w:val="Light Grid - Accent 131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12">
    <w:name w:val="Medium Grid 1 - Accent 315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12">
    <w:name w:val="Grid Table 4 - Accent 315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12">
    <w:name w:val="No List2612"/>
    <w:next w:val="NoList"/>
    <w:uiPriority w:val="99"/>
    <w:unhideWhenUsed/>
    <w:rsid w:val="00C64FC7"/>
  </w:style>
  <w:style w:type="table" w:customStyle="1" w:styleId="MediumGrid1-Accent12512">
    <w:name w:val="Medium Grid 1 - Accent 125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12">
    <w:name w:val="Light Grid - Accent 1125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12">
    <w:name w:val="Light Grid - Accent 525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12">
    <w:name w:val="Light Grid - Accent 122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12">
    <w:name w:val="Light List - Accent 525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12">
    <w:name w:val="Light List - Accent 1125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12">
    <w:name w:val="Light Grid - Accent 132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12">
    <w:name w:val="Medium Grid 1 - Accent 325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12">
    <w:name w:val="Grid Table 4 Accent 315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12">
    <w:name w:val="No List3612"/>
    <w:next w:val="NoList"/>
    <w:uiPriority w:val="99"/>
    <w:unhideWhenUsed/>
    <w:rsid w:val="00C64FC7"/>
  </w:style>
  <w:style w:type="table" w:customStyle="1" w:styleId="MediumGrid1-Accent13512">
    <w:name w:val="Medium Grid 1 - Accent 135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12">
    <w:name w:val="Light Grid - Accent 1135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12">
    <w:name w:val="Light Grid - Accent 535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12">
    <w:name w:val="Light Grid - Accent 123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12">
    <w:name w:val="Light List - Accent 535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12">
    <w:name w:val="Light List - Accent 1135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12">
    <w:name w:val="Light Grid - Accent 133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12">
    <w:name w:val="Medium Grid 1 - Accent 335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12">
    <w:name w:val="Grid Table 4 Accent 325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12">
    <w:name w:val="Table Grid15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2">
    <w:name w:val="No List4312"/>
    <w:next w:val="NoList"/>
    <w:uiPriority w:val="99"/>
    <w:unhideWhenUsed/>
    <w:rsid w:val="00C64FC7"/>
  </w:style>
  <w:style w:type="table" w:customStyle="1" w:styleId="MediumGrid1-Accent14312">
    <w:name w:val="Medium Grid 1 - Accent 14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12">
    <w:name w:val="Light Grid - Accent 114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12">
    <w:name w:val="Light Grid - Accent 54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12">
    <w:name w:val="Light Grid - Accent 124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12">
    <w:name w:val="Light List - Accent 54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12">
    <w:name w:val="Light List - Accent 114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12">
    <w:name w:val="Light Grid - Accent 134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12">
    <w:name w:val="Medium Grid 1 - Accent 34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12">
    <w:name w:val="Table Grid213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12">
    <w:name w:val="Medium Grid 3 - Accent 113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12">
    <w:name w:val="No List11312"/>
    <w:next w:val="NoList"/>
    <w:uiPriority w:val="99"/>
    <w:unhideWhenUsed/>
    <w:rsid w:val="00C64FC7"/>
  </w:style>
  <w:style w:type="table" w:customStyle="1" w:styleId="MediumGrid1-Accent111312">
    <w:name w:val="Medium Grid 1 - Accent 111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12">
    <w:name w:val="Light Grid - Accent 111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12">
    <w:name w:val="Light Grid - Accent 5113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12">
    <w:name w:val="Light Grid - Accent 121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12">
    <w:name w:val="Light List - Accent 5113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12">
    <w:name w:val="Light List - Accent 1111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12">
    <w:name w:val="Light Grid - Accent 131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12">
    <w:name w:val="Medium Grid 1 - Accent 311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12">
    <w:name w:val="Grid Table 4 - Accent 31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12">
    <w:name w:val="No List21312"/>
    <w:next w:val="NoList"/>
    <w:uiPriority w:val="99"/>
    <w:unhideWhenUsed/>
    <w:rsid w:val="00C64FC7"/>
  </w:style>
  <w:style w:type="table" w:customStyle="1" w:styleId="MediumGrid1-Accent121312">
    <w:name w:val="Medium Grid 1 - Accent 121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12">
    <w:name w:val="Light Grid - Accent 1121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12">
    <w:name w:val="Light Grid - Accent 521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12">
    <w:name w:val="Light Grid - Accent 122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12">
    <w:name w:val="Light List - Accent 521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12">
    <w:name w:val="Light List - Accent 1121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12">
    <w:name w:val="Light Grid - Accent 132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12">
    <w:name w:val="Medium Grid 1 - Accent 321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12">
    <w:name w:val="Grid Table 4 Accent 31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12">
    <w:name w:val="No List31312"/>
    <w:next w:val="NoList"/>
    <w:uiPriority w:val="99"/>
    <w:unhideWhenUsed/>
    <w:rsid w:val="00C64FC7"/>
  </w:style>
  <w:style w:type="table" w:customStyle="1" w:styleId="MediumGrid1-Accent131312">
    <w:name w:val="Medium Grid 1 - Accent 131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12">
    <w:name w:val="Light Grid - Accent 1131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12">
    <w:name w:val="Light Grid - Accent 531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12">
    <w:name w:val="Light Grid - Accent 123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12">
    <w:name w:val="Light List - Accent 531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12">
    <w:name w:val="Light List - Accent 1131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12">
    <w:name w:val="Light Grid - Accent 133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12">
    <w:name w:val="Medium Grid 1 - Accent 331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12">
    <w:name w:val="Grid Table 4 Accent 32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12">
    <w:name w:val="Table Grid113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2">
    <w:name w:val="No List5312"/>
    <w:next w:val="NoList"/>
    <w:uiPriority w:val="99"/>
    <w:unhideWhenUsed/>
    <w:rsid w:val="00C64FC7"/>
  </w:style>
  <w:style w:type="table" w:customStyle="1" w:styleId="MediumGrid1-Accent15312">
    <w:name w:val="Medium Grid 1 - Accent 15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12">
    <w:name w:val="Light Grid - Accent 115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12">
    <w:name w:val="Light Grid - Accent 55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12">
    <w:name w:val="Light Grid - Accent 125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12">
    <w:name w:val="Light List - Accent 55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12">
    <w:name w:val="Light List - Accent 115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12">
    <w:name w:val="Light Grid - Accent 135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12">
    <w:name w:val="Medium Grid 1 - Accent 35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12">
    <w:name w:val="No List12312"/>
    <w:next w:val="NoList"/>
    <w:uiPriority w:val="99"/>
    <w:unhideWhenUsed/>
    <w:rsid w:val="00C64FC7"/>
  </w:style>
  <w:style w:type="numbering" w:customStyle="1" w:styleId="NoList22312">
    <w:name w:val="No List22312"/>
    <w:next w:val="NoList"/>
    <w:uiPriority w:val="99"/>
    <w:unhideWhenUsed/>
    <w:rsid w:val="00C64FC7"/>
  </w:style>
  <w:style w:type="numbering" w:customStyle="1" w:styleId="NoList32312">
    <w:name w:val="No List32312"/>
    <w:next w:val="NoList"/>
    <w:uiPriority w:val="99"/>
    <w:unhideWhenUsed/>
    <w:rsid w:val="00C64FC7"/>
  </w:style>
  <w:style w:type="numbering" w:customStyle="1" w:styleId="NoList6312">
    <w:name w:val="No List6312"/>
    <w:next w:val="NoList"/>
    <w:uiPriority w:val="99"/>
    <w:unhideWhenUsed/>
    <w:rsid w:val="00C64FC7"/>
  </w:style>
  <w:style w:type="table" w:customStyle="1" w:styleId="MediumGrid1-Accent16312">
    <w:name w:val="Medium Grid 1 - Accent 16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12">
    <w:name w:val="Light Grid - Accent 116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12">
    <w:name w:val="Light Grid - Accent 56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12">
    <w:name w:val="Light Grid - Accent 126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12">
    <w:name w:val="Light List - Accent 56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12">
    <w:name w:val="Light List - Accent 116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12">
    <w:name w:val="Light Grid - Accent 136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12">
    <w:name w:val="Medium Grid 1 - Accent 36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12">
    <w:name w:val="No List13312"/>
    <w:next w:val="NoList"/>
    <w:uiPriority w:val="99"/>
    <w:unhideWhenUsed/>
    <w:rsid w:val="00C64FC7"/>
  </w:style>
  <w:style w:type="numbering" w:customStyle="1" w:styleId="NoList23312">
    <w:name w:val="No List23312"/>
    <w:next w:val="NoList"/>
    <w:uiPriority w:val="99"/>
    <w:unhideWhenUsed/>
    <w:rsid w:val="00C64FC7"/>
  </w:style>
  <w:style w:type="numbering" w:customStyle="1" w:styleId="NoList33312">
    <w:name w:val="No List33312"/>
    <w:next w:val="NoList"/>
    <w:uiPriority w:val="99"/>
    <w:unhideWhenUsed/>
    <w:rsid w:val="00C64FC7"/>
  </w:style>
  <w:style w:type="numbering" w:customStyle="1" w:styleId="NoList1012">
    <w:name w:val="No List1012"/>
    <w:next w:val="NoList"/>
    <w:uiPriority w:val="99"/>
    <w:unhideWhenUsed/>
    <w:rsid w:val="00C64FC7"/>
  </w:style>
  <w:style w:type="table" w:customStyle="1" w:styleId="TableGrid812">
    <w:name w:val="Table Grid8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12">
    <w:name w:val="Medium Grid 3 - Accent 16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12">
    <w:name w:val="Medium Grid 1 - Accent 110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12">
    <w:name w:val="Light Grid - Accent 11101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12">
    <w:name w:val="Light Grid - Accent 510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12">
    <w:name w:val="Light Grid - Accent 12101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12">
    <w:name w:val="Light List - Accent 510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12">
    <w:name w:val="Light List - Accent 11101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12">
    <w:name w:val="Light Grid - Accent 1310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12">
    <w:name w:val="Medium Grid 1 - Accent 310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12">
    <w:name w:val="No List1712"/>
    <w:next w:val="NoList"/>
    <w:uiPriority w:val="99"/>
    <w:unhideWhenUsed/>
    <w:rsid w:val="00C64FC7"/>
  </w:style>
  <w:style w:type="table" w:customStyle="1" w:styleId="MediumGrid1-Accent11612">
    <w:name w:val="Medium Grid 1 - Accent 116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12">
    <w:name w:val="Light Grid - Accent 111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12">
    <w:name w:val="Light Grid - Accent 516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12">
    <w:name w:val="Light Grid - Accent 121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12">
    <w:name w:val="Light List - Accent 516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12">
    <w:name w:val="Light List - Accent 1116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12">
    <w:name w:val="Light Grid - Accent 131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12">
    <w:name w:val="Medium Grid 1 - Accent 316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12">
    <w:name w:val="Grid Table 4 - Accent 316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12">
    <w:name w:val="No List2712"/>
    <w:next w:val="NoList"/>
    <w:uiPriority w:val="99"/>
    <w:unhideWhenUsed/>
    <w:rsid w:val="00C64FC7"/>
  </w:style>
  <w:style w:type="table" w:customStyle="1" w:styleId="MediumGrid1-Accent12612">
    <w:name w:val="Medium Grid 1 - Accent 126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12">
    <w:name w:val="Light Grid - Accent 1126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12">
    <w:name w:val="Light Grid - Accent 526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12">
    <w:name w:val="Light Grid - Accent 122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12">
    <w:name w:val="Light List - Accent 526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12">
    <w:name w:val="Light List - Accent 1126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12">
    <w:name w:val="Light Grid - Accent 132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12">
    <w:name w:val="Medium Grid 1 - Accent 326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12">
    <w:name w:val="Grid Table 4 Accent 316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12">
    <w:name w:val="No List3712"/>
    <w:next w:val="NoList"/>
    <w:uiPriority w:val="99"/>
    <w:unhideWhenUsed/>
    <w:rsid w:val="00C64FC7"/>
  </w:style>
  <w:style w:type="table" w:customStyle="1" w:styleId="MediumGrid1-Accent13612">
    <w:name w:val="Medium Grid 1 - Accent 136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12">
    <w:name w:val="Light Grid - Accent 1136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12">
    <w:name w:val="Light Grid - Accent 536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12">
    <w:name w:val="Light Grid - Accent 123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12">
    <w:name w:val="Light List - Accent 536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12">
    <w:name w:val="Light List - Accent 1136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12">
    <w:name w:val="Light Grid - Accent 133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12">
    <w:name w:val="Medium Grid 1 - Accent 336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12">
    <w:name w:val="Grid Table 4 Accent 326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12">
    <w:name w:val="Table Grid16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2">
    <w:name w:val="Table Grid251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2">
    <w:name w:val="No List4412"/>
    <w:next w:val="NoList"/>
    <w:uiPriority w:val="99"/>
    <w:unhideWhenUsed/>
    <w:rsid w:val="00C64FC7"/>
  </w:style>
  <w:style w:type="table" w:customStyle="1" w:styleId="MediumGrid1-Accent14412">
    <w:name w:val="Medium Grid 1 - Accent 14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12">
    <w:name w:val="Light Grid - Accent 114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12">
    <w:name w:val="Light Grid - Accent 54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12">
    <w:name w:val="Light Grid - Accent 124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12">
    <w:name w:val="Light List - Accent 54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12">
    <w:name w:val="Light List - Accent 114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12">
    <w:name w:val="Light Grid - Accent 134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12">
    <w:name w:val="Medium Grid 1 - Accent 34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12">
    <w:name w:val="Table Grid214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12">
    <w:name w:val="Medium Grid 3 - Accent 114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12">
    <w:name w:val="No List11412"/>
    <w:next w:val="NoList"/>
    <w:uiPriority w:val="99"/>
    <w:unhideWhenUsed/>
    <w:rsid w:val="00C64FC7"/>
  </w:style>
  <w:style w:type="table" w:customStyle="1" w:styleId="MediumGrid1-Accent111412">
    <w:name w:val="Medium Grid 1 - Accent 111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12">
    <w:name w:val="Light Grid - Accent 111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12">
    <w:name w:val="Light Grid - Accent 5114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12">
    <w:name w:val="Light Grid - Accent 121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12">
    <w:name w:val="Light List - Accent 5114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12">
    <w:name w:val="Light List - Accent 1111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12">
    <w:name w:val="Light Grid - Accent 131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SemiLight SemiConde" w:eastAsia="Times New Roman" w:hAnsi="Bahnschrift SemiLight SemiCon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SemiLight SemiConde" w:eastAsia="Times New Roman" w:hAnsi="Bahnschrift SemiLight SemiCon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SemiLight SemiConde" w:eastAsia="Times New Roman" w:hAnsi="Bahnschrift SemiLight SemiConde" w:cs="Times New Roman"/>
        <w:b/>
        <w:bCs/>
      </w:rPr>
    </w:tblStylePr>
    <w:tblStylePr w:type="lastCol">
      <w:rPr>
        <w:rFonts w:ascii="Bahnschrift SemiLight SemiConde" w:eastAsia="Times New Roman" w:hAnsi="Bahnschrift SemiLight SemiCon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12">
    <w:name w:val="Medium Grid 1 - Accent 311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12">
    <w:name w:val="Grid Table 4 - Accent 3114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12">
    <w:name w:val="No List21412"/>
    <w:next w:val="NoList"/>
    <w:uiPriority w:val="99"/>
    <w:semiHidden/>
    <w:unhideWhenUsed/>
    <w:rsid w:val="00C64FC7"/>
  </w:style>
  <w:style w:type="table" w:customStyle="1" w:styleId="MediumGrid1-Accent121412">
    <w:name w:val="Medium Grid 1 - Accent 121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12">
    <w:name w:val="Light Grid - Accent 1121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12">
    <w:name w:val="Light Grid - Accent 521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12">
    <w:name w:val="Light Grid - Accent 122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12">
    <w:name w:val="Light List - Accent 521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8900">
      <w:bodyDiv w:val="1"/>
      <w:marLeft w:val="0"/>
      <w:marRight w:val="0"/>
      <w:marTop w:val="0"/>
      <w:marBottom w:val="0"/>
      <w:divBdr>
        <w:top w:val="none" w:sz="0" w:space="0" w:color="auto"/>
        <w:left w:val="none" w:sz="0" w:space="0" w:color="auto"/>
        <w:bottom w:val="none" w:sz="0" w:space="0" w:color="auto"/>
        <w:right w:val="none" w:sz="0" w:space="0" w:color="auto"/>
      </w:divBdr>
    </w:div>
    <w:div w:id="9843139">
      <w:bodyDiv w:val="1"/>
      <w:marLeft w:val="0"/>
      <w:marRight w:val="0"/>
      <w:marTop w:val="0"/>
      <w:marBottom w:val="0"/>
      <w:divBdr>
        <w:top w:val="none" w:sz="0" w:space="0" w:color="auto"/>
        <w:left w:val="none" w:sz="0" w:space="0" w:color="auto"/>
        <w:bottom w:val="none" w:sz="0" w:space="0" w:color="auto"/>
        <w:right w:val="none" w:sz="0" w:space="0" w:color="auto"/>
      </w:divBdr>
    </w:div>
    <w:div w:id="10227050">
      <w:bodyDiv w:val="1"/>
      <w:marLeft w:val="0"/>
      <w:marRight w:val="0"/>
      <w:marTop w:val="0"/>
      <w:marBottom w:val="0"/>
      <w:divBdr>
        <w:top w:val="none" w:sz="0" w:space="0" w:color="auto"/>
        <w:left w:val="none" w:sz="0" w:space="0" w:color="auto"/>
        <w:bottom w:val="none" w:sz="0" w:space="0" w:color="auto"/>
        <w:right w:val="none" w:sz="0" w:space="0" w:color="auto"/>
      </w:divBdr>
    </w:div>
    <w:div w:id="10881054">
      <w:bodyDiv w:val="1"/>
      <w:marLeft w:val="0"/>
      <w:marRight w:val="0"/>
      <w:marTop w:val="0"/>
      <w:marBottom w:val="0"/>
      <w:divBdr>
        <w:top w:val="none" w:sz="0" w:space="0" w:color="auto"/>
        <w:left w:val="none" w:sz="0" w:space="0" w:color="auto"/>
        <w:bottom w:val="none" w:sz="0" w:space="0" w:color="auto"/>
        <w:right w:val="none" w:sz="0" w:space="0" w:color="auto"/>
      </w:divBdr>
    </w:div>
    <w:div w:id="11609932">
      <w:bodyDiv w:val="1"/>
      <w:marLeft w:val="0"/>
      <w:marRight w:val="0"/>
      <w:marTop w:val="0"/>
      <w:marBottom w:val="0"/>
      <w:divBdr>
        <w:top w:val="none" w:sz="0" w:space="0" w:color="auto"/>
        <w:left w:val="none" w:sz="0" w:space="0" w:color="auto"/>
        <w:bottom w:val="none" w:sz="0" w:space="0" w:color="auto"/>
        <w:right w:val="none" w:sz="0" w:space="0" w:color="auto"/>
      </w:divBdr>
    </w:div>
    <w:div w:id="12388553">
      <w:bodyDiv w:val="1"/>
      <w:marLeft w:val="0"/>
      <w:marRight w:val="0"/>
      <w:marTop w:val="0"/>
      <w:marBottom w:val="0"/>
      <w:divBdr>
        <w:top w:val="none" w:sz="0" w:space="0" w:color="auto"/>
        <w:left w:val="none" w:sz="0" w:space="0" w:color="auto"/>
        <w:bottom w:val="none" w:sz="0" w:space="0" w:color="auto"/>
        <w:right w:val="none" w:sz="0" w:space="0" w:color="auto"/>
      </w:divBdr>
    </w:div>
    <w:div w:id="13310316">
      <w:bodyDiv w:val="1"/>
      <w:marLeft w:val="0"/>
      <w:marRight w:val="0"/>
      <w:marTop w:val="0"/>
      <w:marBottom w:val="0"/>
      <w:divBdr>
        <w:top w:val="none" w:sz="0" w:space="0" w:color="auto"/>
        <w:left w:val="none" w:sz="0" w:space="0" w:color="auto"/>
        <w:bottom w:val="none" w:sz="0" w:space="0" w:color="auto"/>
        <w:right w:val="none" w:sz="0" w:space="0" w:color="auto"/>
      </w:divBdr>
    </w:div>
    <w:div w:id="13578146">
      <w:bodyDiv w:val="1"/>
      <w:marLeft w:val="0"/>
      <w:marRight w:val="0"/>
      <w:marTop w:val="0"/>
      <w:marBottom w:val="0"/>
      <w:divBdr>
        <w:top w:val="none" w:sz="0" w:space="0" w:color="auto"/>
        <w:left w:val="none" w:sz="0" w:space="0" w:color="auto"/>
        <w:bottom w:val="none" w:sz="0" w:space="0" w:color="auto"/>
        <w:right w:val="none" w:sz="0" w:space="0" w:color="auto"/>
      </w:divBdr>
      <w:divsChild>
        <w:div w:id="2105369961">
          <w:marLeft w:val="0"/>
          <w:marRight w:val="0"/>
          <w:marTop w:val="0"/>
          <w:marBottom w:val="0"/>
          <w:divBdr>
            <w:top w:val="none" w:sz="0" w:space="0" w:color="auto"/>
            <w:left w:val="none" w:sz="0" w:space="0" w:color="auto"/>
            <w:bottom w:val="none" w:sz="0" w:space="0" w:color="auto"/>
            <w:right w:val="none" w:sz="0" w:space="0" w:color="auto"/>
          </w:divBdr>
        </w:div>
      </w:divsChild>
    </w:div>
    <w:div w:id="14576221">
      <w:bodyDiv w:val="1"/>
      <w:marLeft w:val="0"/>
      <w:marRight w:val="0"/>
      <w:marTop w:val="0"/>
      <w:marBottom w:val="0"/>
      <w:divBdr>
        <w:top w:val="none" w:sz="0" w:space="0" w:color="auto"/>
        <w:left w:val="none" w:sz="0" w:space="0" w:color="auto"/>
        <w:bottom w:val="none" w:sz="0" w:space="0" w:color="auto"/>
        <w:right w:val="none" w:sz="0" w:space="0" w:color="auto"/>
      </w:divBdr>
    </w:div>
    <w:div w:id="17707175">
      <w:bodyDiv w:val="1"/>
      <w:marLeft w:val="0"/>
      <w:marRight w:val="0"/>
      <w:marTop w:val="0"/>
      <w:marBottom w:val="0"/>
      <w:divBdr>
        <w:top w:val="none" w:sz="0" w:space="0" w:color="auto"/>
        <w:left w:val="none" w:sz="0" w:space="0" w:color="auto"/>
        <w:bottom w:val="none" w:sz="0" w:space="0" w:color="auto"/>
        <w:right w:val="none" w:sz="0" w:space="0" w:color="auto"/>
      </w:divBdr>
    </w:div>
    <w:div w:id="19207987">
      <w:bodyDiv w:val="1"/>
      <w:marLeft w:val="0"/>
      <w:marRight w:val="0"/>
      <w:marTop w:val="0"/>
      <w:marBottom w:val="0"/>
      <w:divBdr>
        <w:top w:val="none" w:sz="0" w:space="0" w:color="auto"/>
        <w:left w:val="none" w:sz="0" w:space="0" w:color="auto"/>
        <w:bottom w:val="none" w:sz="0" w:space="0" w:color="auto"/>
        <w:right w:val="none" w:sz="0" w:space="0" w:color="auto"/>
      </w:divBdr>
    </w:div>
    <w:div w:id="19475855">
      <w:bodyDiv w:val="1"/>
      <w:marLeft w:val="0"/>
      <w:marRight w:val="0"/>
      <w:marTop w:val="0"/>
      <w:marBottom w:val="0"/>
      <w:divBdr>
        <w:top w:val="none" w:sz="0" w:space="0" w:color="auto"/>
        <w:left w:val="none" w:sz="0" w:space="0" w:color="auto"/>
        <w:bottom w:val="none" w:sz="0" w:space="0" w:color="auto"/>
        <w:right w:val="none" w:sz="0" w:space="0" w:color="auto"/>
      </w:divBdr>
    </w:div>
    <w:div w:id="21442526">
      <w:bodyDiv w:val="1"/>
      <w:marLeft w:val="0"/>
      <w:marRight w:val="0"/>
      <w:marTop w:val="0"/>
      <w:marBottom w:val="0"/>
      <w:divBdr>
        <w:top w:val="none" w:sz="0" w:space="0" w:color="auto"/>
        <w:left w:val="none" w:sz="0" w:space="0" w:color="auto"/>
        <w:bottom w:val="none" w:sz="0" w:space="0" w:color="auto"/>
        <w:right w:val="none" w:sz="0" w:space="0" w:color="auto"/>
      </w:divBdr>
    </w:div>
    <w:div w:id="26377685">
      <w:bodyDiv w:val="1"/>
      <w:marLeft w:val="0"/>
      <w:marRight w:val="0"/>
      <w:marTop w:val="0"/>
      <w:marBottom w:val="0"/>
      <w:divBdr>
        <w:top w:val="none" w:sz="0" w:space="0" w:color="auto"/>
        <w:left w:val="none" w:sz="0" w:space="0" w:color="auto"/>
        <w:bottom w:val="none" w:sz="0" w:space="0" w:color="auto"/>
        <w:right w:val="none" w:sz="0" w:space="0" w:color="auto"/>
      </w:divBdr>
    </w:div>
    <w:div w:id="28579509">
      <w:bodyDiv w:val="1"/>
      <w:marLeft w:val="0"/>
      <w:marRight w:val="0"/>
      <w:marTop w:val="0"/>
      <w:marBottom w:val="0"/>
      <w:divBdr>
        <w:top w:val="none" w:sz="0" w:space="0" w:color="auto"/>
        <w:left w:val="none" w:sz="0" w:space="0" w:color="auto"/>
        <w:bottom w:val="none" w:sz="0" w:space="0" w:color="auto"/>
        <w:right w:val="none" w:sz="0" w:space="0" w:color="auto"/>
      </w:divBdr>
    </w:div>
    <w:div w:id="30031797">
      <w:bodyDiv w:val="1"/>
      <w:marLeft w:val="0"/>
      <w:marRight w:val="0"/>
      <w:marTop w:val="0"/>
      <w:marBottom w:val="0"/>
      <w:divBdr>
        <w:top w:val="none" w:sz="0" w:space="0" w:color="auto"/>
        <w:left w:val="none" w:sz="0" w:space="0" w:color="auto"/>
        <w:bottom w:val="none" w:sz="0" w:space="0" w:color="auto"/>
        <w:right w:val="none" w:sz="0" w:space="0" w:color="auto"/>
      </w:divBdr>
    </w:div>
    <w:div w:id="30688402">
      <w:bodyDiv w:val="1"/>
      <w:marLeft w:val="0"/>
      <w:marRight w:val="0"/>
      <w:marTop w:val="0"/>
      <w:marBottom w:val="0"/>
      <w:divBdr>
        <w:top w:val="none" w:sz="0" w:space="0" w:color="auto"/>
        <w:left w:val="none" w:sz="0" w:space="0" w:color="auto"/>
        <w:bottom w:val="none" w:sz="0" w:space="0" w:color="auto"/>
        <w:right w:val="none" w:sz="0" w:space="0" w:color="auto"/>
      </w:divBdr>
    </w:div>
    <w:div w:id="31350755">
      <w:bodyDiv w:val="1"/>
      <w:marLeft w:val="0"/>
      <w:marRight w:val="0"/>
      <w:marTop w:val="0"/>
      <w:marBottom w:val="0"/>
      <w:divBdr>
        <w:top w:val="none" w:sz="0" w:space="0" w:color="auto"/>
        <w:left w:val="none" w:sz="0" w:space="0" w:color="auto"/>
        <w:bottom w:val="none" w:sz="0" w:space="0" w:color="auto"/>
        <w:right w:val="none" w:sz="0" w:space="0" w:color="auto"/>
      </w:divBdr>
    </w:div>
    <w:div w:id="32584182">
      <w:bodyDiv w:val="1"/>
      <w:marLeft w:val="0"/>
      <w:marRight w:val="0"/>
      <w:marTop w:val="0"/>
      <w:marBottom w:val="0"/>
      <w:divBdr>
        <w:top w:val="none" w:sz="0" w:space="0" w:color="auto"/>
        <w:left w:val="none" w:sz="0" w:space="0" w:color="auto"/>
        <w:bottom w:val="none" w:sz="0" w:space="0" w:color="auto"/>
        <w:right w:val="none" w:sz="0" w:space="0" w:color="auto"/>
      </w:divBdr>
    </w:div>
    <w:div w:id="33315537">
      <w:bodyDiv w:val="1"/>
      <w:marLeft w:val="0"/>
      <w:marRight w:val="0"/>
      <w:marTop w:val="0"/>
      <w:marBottom w:val="0"/>
      <w:divBdr>
        <w:top w:val="none" w:sz="0" w:space="0" w:color="auto"/>
        <w:left w:val="none" w:sz="0" w:space="0" w:color="auto"/>
        <w:bottom w:val="none" w:sz="0" w:space="0" w:color="auto"/>
        <w:right w:val="none" w:sz="0" w:space="0" w:color="auto"/>
      </w:divBdr>
      <w:divsChild>
        <w:div w:id="58554659">
          <w:marLeft w:val="0"/>
          <w:marRight w:val="0"/>
          <w:marTop w:val="0"/>
          <w:marBottom w:val="0"/>
          <w:divBdr>
            <w:top w:val="none" w:sz="0" w:space="0" w:color="auto"/>
            <w:left w:val="none" w:sz="0" w:space="0" w:color="auto"/>
            <w:bottom w:val="none" w:sz="0" w:space="0" w:color="auto"/>
            <w:right w:val="none" w:sz="0" w:space="0" w:color="auto"/>
          </w:divBdr>
        </w:div>
        <w:div w:id="304824829">
          <w:marLeft w:val="0"/>
          <w:marRight w:val="0"/>
          <w:marTop w:val="0"/>
          <w:marBottom w:val="0"/>
          <w:divBdr>
            <w:top w:val="none" w:sz="0" w:space="0" w:color="auto"/>
            <w:left w:val="none" w:sz="0" w:space="0" w:color="auto"/>
            <w:bottom w:val="none" w:sz="0" w:space="0" w:color="auto"/>
            <w:right w:val="none" w:sz="0" w:space="0" w:color="auto"/>
          </w:divBdr>
        </w:div>
        <w:div w:id="413475020">
          <w:marLeft w:val="0"/>
          <w:marRight w:val="0"/>
          <w:marTop w:val="0"/>
          <w:marBottom w:val="0"/>
          <w:divBdr>
            <w:top w:val="none" w:sz="0" w:space="0" w:color="auto"/>
            <w:left w:val="none" w:sz="0" w:space="0" w:color="auto"/>
            <w:bottom w:val="none" w:sz="0" w:space="0" w:color="auto"/>
            <w:right w:val="none" w:sz="0" w:space="0" w:color="auto"/>
          </w:divBdr>
        </w:div>
        <w:div w:id="463542758">
          <w:marLeft w:val="0"/>
          <w:marRight w:val="0"/>
          <w:marTop w:val="0"/>
          <w:marBottom w:val="0"/>
          <w:divBdr>
            <w:top w:val="none" w:sz="0" w:space="0" w:color="auto"/>
            <w:left w:val="none" w:sz="0" w:space="0" w:color="auto"/>
            <w:bottom w:val="none" w:sz="0" w:space="0" w:color="auto"/>
            <w:right w:val="none" w:sz="0" w:space="0" w:color="auto"/>
          </w:divBdr>
        </w:div>
        <w:div w:id="670988903">
          <w:marLeft w:val="0"/>
          <w:marRight w:val="0"/>
          <w:marTop w:val="0"/>
          <w:marBottom w:val="0"/>
          <w:divBdr>
            <w:top w:val="none" w:sz="0" w:space="0" w:color="auto"/>
            <w:left w:val="none" w:sz="0" w:space="0" w:color="auto"/>
            <w:bottom w:val="none" w:sz="0" w:space="0" w:color="auto"/>
            <w:right w:val="none" w:sz="0" w:space="0" w:color="auto"/>
          </w:divBdr>
        </w:div>
        <w:div w:id="764770610">
          <w:marLeft w:val="0"/>
          <w:marRight w:val="0"/>
          <w:marTop w:val="0"/>
          <w:marBottom w:val="0"/>
          <w:divBdr>
            <w:top w:val="none" w:sz="0" w:space="0" w:color="auto"/>
            <w:left w:val="none" w:sz="0" w:space="0" w:color="auto"/>
            <w:bottom w:val="none" w:sz="0" w:space="0" w:color="auto"/>
            <w:right w:val="none" w:sz="0" w:space="0" w:color="auto"/>
          </w:divBdr>
        </w:div>
        <w:div w:id="767821550">
          <w:marLeft w:val="0"/>
          <w:marRight w:val="0"/>
          <w:marTop w:val="0"/>
          <w:marBottom w:val="0"/>
          <w:divBdr>
            <w:top w:val="none" w:sz="0" w:space="0" w:color="auto"/>
            <w:left w:val="none" w:sz="0" w:space="0" w:color="auto"/>
            <w:bottom w:val="none" w:sz="0" w:space="0" w:color="auto"/>
            <w:right w:val="none" w:sz="0" w:space="0" w:color="auto"/>
          </w:divBdr>
        </w:div>
        <w:div w:id="827667789">
          <w:marLeft w:val="0"/>
          <w:marRight w:val="0"/>
          <w:marTop w:val="0"/>
          <w:marBottom w:val="0"/>
          <w:divBdr>
            <w:top w:val="none" w:sz="0" w:space="0" w:color="auto"/>
            <w:left w:val="none" w:sz="0" w:space="0" w:color="auto"/>
            <w:bottom w:val="none" w:sz="0" w:space="0" w:color="auto"/>
            <w:right w:val="none" w:sz="0" w:space="0" w:color="auto"/>
          </w:divBdr>
        </w:div>
        <w:div w:id="831024916">
          <w:marLeft w:val="0"/>
          <w:marRight w:val="0"/>
          <w:marTop w:val="0"/>
          <w:marBottom w:val="0"/>
          <w:divBdr>
            <w:top w:val="none" w:sz="0" w:space="0" w:color="auto"/>
            <w:left w:val="none" w:sz="0" w:space="0" w:color="auto"/>
            <w:bottom w:val="none" w:sz="0" w:space="0" w:color="auto"/>
            <w:right w:val="none" w:sz="0" w:space="0" w:color="auto"/>
          </w:divBdr>
        </w:div>
        <w:div w:id="847597016">
          <w:marLeft w:val="0"/>
          <w:marRight w:val="0"/>
          <w:marTop w:val="0"/>
          <w:marBottom w:val="0"/>
          <w:divBdr>
            <w:top w:val="none" w:sz="0" w:space="0" w:color="auto"/>
            <w:left w:val="none" w:sz="0" w:space="0" w:color="auto"/>
            <w:bottom w:val="none" w:sz="0" w:space="0" w:color="auto"/>
            <w:right w:val="none" w:sz="0" w:space="0" w:color="auto"/>
          </w:divBdr>
        </w:div>
        <w:div w:id="1132092421">
          <w:marLeft w:val="0"/>
          <w:marRight w:val="0"/>
          <w:marTop w:val="0"/>
          <w:marBottom w:val="0"/>
          <w:divBdr>
            <w:top w:val="none" w:sz="0" w:space="0" w:color="auto"/>
            <w:left w:val="none" w:sz="0" w:space="0" w:color="auto"/>
            <w:bottom w:val="none" w:sz="0" w:space="0" w:color="auto"/>
            <w:right w:val="none" w:sz="0" w:space="0" w:color="auto"/>
          </w:divBdr>
        </w:div>
        <w:div w:id="1180465105">
          <w:marLeft w:val="0"/>
          <w:marRight w:val="0"/>
          <w:marTop w:val="0"/>
          <w:marBottom w:val="0"/>
          <w:divBdr>
            <w:top w:val="none" w:sz="0" w:space="0" w:color="auto"/>
            <w:left w:val="none" w:sz="0" w:space="0" w:color="auto"/>
            <w:bottom w:val="none" w:sz="0" w:space="0" w:color="auto"/>
            <w:right w:val="none" w:sz="0" w:space="0" w:color="auto"/>
          </w:divBdr>
        </w:div>
        <w:div w:id="1285037378">
          <w:marLeft w:val="0"/>
          <w:marRight w:val="0"/>
          <w:marTop w:val="0"/>
          <w:marBottom w:val="0"/>
          <w:divBdr>
            <w:top w:val="none" w:sz="0" w:space="0" w:color="auto"/>
            <w:left w:val="none" w:sz="0" w:space="0" w:color="auto"/>
            <w:bottom w:val="none" w:sz="0" w:space="0" w:color="auto"/>
            <w:right w:val="none" w:sz="0" w:space="0" w:color="auto"/>
          </w:divBdr>
        </w:div>
        <w:div w:id="1385062433">
          <w:marLeft w:val="0"/>
          <w:marRight w:val="0"/>
          <w:marTop w:val="0"/>
          <w:marBottom w:val="0"/>
          <w:divBdr>
            <w:top w:val="none" w:sz="0" w:space="0" w:color="auto"/>
            <w:left w:val="none" w:sz="0" w:space="0" w:color="auto"/>
            <w:bottom w:val="none" w:sz="0" w:space="0" w:color="auto"/>
            <w:right w:val="none" w:sz="0" w:space="0" w:color="auto"/>
          </w:divBdr>
        </w:div>
        <w:div w:id="1386640956">
          <w:marLeft w:val="0"/>
          <w:marRight w:val="0"/>
          <w:marTop w:val="0"/>
          <w:marBottom w:val="0"/>
          <w:divBdr>
            <w:top w:val="none" w:sz="0" w:space="0" w:color="auto"/>
            <w:left w:val="none" w:sz="0" w:space="0" w:color="auto"/>
            <w:bottom w:val="none" w:sz="0" w:space="0" w:color="auto"/>
            <w:right w:val="none" w:sz="0" w:space="0" w:color="auto"/>
          </w:divBdr>
        </w:div>
        <w:div w:id="1569459871">
          <w:marLeft w:val="0"/>
          <w:marRight w:val="0"/>
          <w:marTop w:val="0"/>
          <w:marBottom w:val="0"/>
          <w:divBdr>
            <w:top w:val="none" w:sz="0" w:space="0" w:color="auto"/>
            <w:left w:val="none" w:sz="0" w:space="0" w:color="auto"/>
            <w:bottom w:val="none" w:sz="0" w:space="0" w:color="auto"/>
            <w:right w:val="none" w:sz="0" w:space="0" w:color="auto"/>
          </w:divBdr>
        </w:div>
        <w:div w:id="1650010697">
          <w:marLeft w:val="0"/>
          <w:marRight w:val="0"/>
          <w:marTop w:val="0"/>
          <w:marBottom w:val="0"/>
          <w:divBdr>
            <w:top w:val="none" w:sz="0" w:space="0" w:color="auto"/>
            <w:left w:val="none" w:sz="0" w:space="0" w:color="auto"/>
            <w:bottom w:val="none" w:sz="0" w:space="0" w:color="auto"/>
            <w:right w:val="none" w:sz="0" w:space="0" w:color="auto"/>
          </w:divBdr>
        </w:div>
        <w:div w:id="1688943621">
          <w:marLeft w:val="0"/>
          <w:marRight w:val="0"/>
          <w:marTop w:val="0"/>
          <w:marBottom w:val="0"/>
          <w:divBdr>
            <w:top w:val="none" w:sz="0" w:space="0" w:color="auto"/>
            <w:left w:val="none" w:sz="0" w:space="0" w:color="auto"/>
            <w:bottom w:val="none" w:sz="0" w:space="0" w:color="auto"/>
            <w:right w:val="none" w:sz="0" w:space="0" w:color="auto"/>
          </w:divBdr>
        </w:div>
        <w:div w:id="1726680702">
          <w:marLeft w:val="0"/>
          <w:marRight w:val="0"/>
          <w:marTop w:val="0"/>
          <w:marBottom w:val="0"/>
          <w:divBdr>
            <w:top w:val="none" w:sz="0" w:space="0" w:color="auto"/>
            <w:left w:val="none" w:sz="0" w:space="0" w:color="auto"/>
            <w:bottom w:val="none" w:sz="0" w:space="0" w:color="auto"/>
            <w:right w:val="none" w:sz="0" w:space="0" w:color="auto"/>
          </w:divBdr>
        </w:div>
        <w:div w:id="1780366795">
          <w:marLeft w:val="0"/>
          <w:marRight w:val="0"/>
          <w:marTop w:val="0"/>
          <w:marBottom w:val="0"/>
          <w:divBdr>
            <w:top w:val="none" w:sz="0" w:space="0" w:color="auto"/>
            <w:left w:val="none" w:sz="0" w:space="0" w:color="auto"/>
            <w:bottom w:val="none" w:sz="0" w:space="0" w:color="auto"/>
            <w:right w:val="none" w:sz="0" w:space="0" w:color="auto"/>
          </w:divBdr>
        </w:div>
        <w:div w:id="1843623163">
          <w:marLeft w:val="0"/>
          <w:marRight w:val="0"/>
          <w:marTop w:val="0"/>
          <w:marBottom w:val="0"/>
          <w:divBdr>
            <w:top w:val="none" w:sz="0" w:space="0" w:color="auto"/>
            <w:left w:val="none" w:sz="0" w:space="0" w:color="auto"/>
            <w:bottom w:val="none" w:sz="0" w:space="0" w:color="auto"/>
            <w:right w:val="none" w:sz="0" w:space="0" w:color="auto"/>
          </w:divBdr>
        </w:div>
        <w:div w:id="1944070104">
          <w:marLeft w:val="0"/>
          <w:marRight w:val="0"/>
          <w:marTop w:val="0"/>
          <w:marBottom w:val="0"/>
          <w:divBdr>
            <w:top w:val="none" w:sz="0" w:space="0" w:color="auto"/>
            <w:left w:val="none" w:sz="0" w:space="0" w:color="auto"/>
            <w:bottom w:val="none" w:sz="0" w:space="0" w:color="auto"/>
            <w:right w:val="none" w:sz="0" w:space="0" w:color="auto"/>
          </w:divBdr>
        </w:div>
        <w:div w:id="2015722103">
          <w:marLeft w:val="0"/>
          <w:marRight w:val="0"/>
          <w:marTop w:val="0"/>
          <w:marBottom w:val="0"/>
          <w:divBdr>
            <w:top w:val="none" w:sz="0" w:space="0" w:color="auto"/>
            <w:left w:val="none" w:sz="0" w:space="0" w:color="auto"/>
            <w:bottom w:val="none" w:sz="0" w:space="0" w:color="auto"/>
            <w:right w:val="none" w:sz="0" w:space="0" w:color="auto"/>
          </w:divBdr>
        </w:div>
        <w:div w:id="2123573788">
          <w:marLeft w:val="0"/>
          <w:marRight w:val="0"/>
          <w:marTop w:val="0"/>
          <w:marBottom w:val="0"/>
          <w:divBdr>
            <w:top w:val="none" w:sz="0" w:space="0" w:color="auto"/>
            <w:left w:val="none" w:sz="0" w:space="0" w:color="auto"/>
            <w:bottom w:val="none" w:sz="0" w:space="0" w:color="auto"/>
            <w:right w:val="none" w:sz="0" w:space="0" w:color="auto"/>
          </w:divBdr>
        </w:div>
      </w:divsChild>
    </w:div>
    <w:div w:id="34622816">
      <w:bodyDiv w:val="1"/>
      <w:marLeft w:val="0"/>
      <w:marRight w:val="0"/>
      <w:marTop w:val="0"/>
      <w:marBottom w:val="0"/>
      <w:divBdr>
        <w:top w:val="none" w:sz="0" w:space="0" w:color="auto"/>
        <w:left w:val="none" w:sz="0" w:space="0" w:color="auto"/>
        <w:bottom w:val="none" w:sz="0" w:space="0" w:color="auto"/>
        <w:right w:val="none" w:sz="0" w:space="0" w:color="auto"/>
      </w:divBdr>
    </w:div>
    <w:div w:id="38748654">
      <w:bodyDiv w:val="1"/>
      <w:marLeft w:val="0"/>
      <w:marRight w:val="0"/>
      <w:marTop w:val="0"/>
      <w:marBottom w:val="0"/>
      <w:divBdr>
        <w:top w:val="none" w:sz="0" w:space="0" w:color="auto"/>
        <w:left w:val="none" w:sz="0" w:space="0" w:color="auto"/>
        <w:bottom w:val="none" w:sz="0" w:space="0" w:color="auto"/>
        <w:right w:val="none" w:sz="0" w:space="0" w:color="auto"/>
      </w:divBdr>
    </w:div>
    <w:div w:id="42826555">
      <w:bodyDiv w:val="1"/>
      <w:marLeft w:val="0"/>
      <w:marRight w:val="0"/>
      <w:marTop w:val="0"/>
      <w:marBottom w:val="0"/>
      <w:divBdr>
        <w:top w:val="none" w:sz="0" w:space="0" w:color="auto"/>
        <w:left w:val="none" w:sz="0" w:space="0" w:color="auto"/>
        <w:bottom w:val="none" w:sz="0" w:space="0" w:color="auto"/>
        <w:right w:val="none" w:sz="0" w:space="0" w:color="auto"/>
      </w:divBdr>
    </w:div>
    <w:div w:id="44527007">
      <w:bodyDiv w:val="1"/>
      <w:marLeft w:val="0"/>
      <w:marRight w:val="0"/>
      <w:marTop w:val="0"/>
      <w:marBottom w:val="0"/>
      <w:divBdr>
        <w:top w:val="none" w:sz="0" w:space="0" w:color="auto"/>
        <w:left w:val="none" w:sz="0" w:space="0" w:color="auto"/>
        <w:bottom w:val="none" w:sz="0" w:space="0" w:color="auto"/>
        <w:right w:val="none" w:sz="0" w:space="0" w:color="auto"/>
      </w:divBdr>
    </w:div>
    <w:div w:id="51082171">
      <w:bodyDiv w:val="1"/>
      <w:marLeft w:val="0"/>
      <w:marRight w:val="0"/>
      <w:marTop w:val="0"/>
      <w:marBottom w:val="0"/>
      <w:divBdr>
        <w:top w:val="none" w:sz="0" w:space="0" w:color="auto"/>
        <w:left w:val="none" w:sz="0" w:space="0" w:color="auto"/>
        <w:bottom w:val="none" w:sz="0" w:space="0" w:color="auto"/>
        <w:right w:val="none" w:sz="0" w:space="0" w:color="auto"/>
      </w:divBdr>
    </w:div>
    <w:div w:id="54356867">
      <w:bodyDiv w:val="1"/>
      <w:marLeft w:val="0"/>
      <w:marRight w:val="0"/>
      <w:marTop w:val="0"/>
      <w:marBottom w:val="0"/>
      <w:divBdr>
        <w:top w:val="none" w:sz="0" w:space="0" w:color="auto"/>
        <w:left w:val="none" w:sz="0" w:space="0" w:color="auto"/>
        <w:bottom w:val="none" w:sz="0" w:space="0" w:color="auto"/>
        <w:right w:val="none" w:sz="0" w:space="0" w:color="auto"/>
      </w:divBdr>
    </w:div>
    <w:div w:id="54550347">
      <w:bodyDiv w:val="1"/>
      <w:marLeft w:val="0"/>
      <w:marRight w:val="0"/>
      <w:marTop w:val="0"/>
      <w:marBottom w:val="0"/>
      <w:divBdr>
        <w:top w:val="none" w:sz="0" w:space="0" w:color="auto"/>
        <w:left w:val="none" w:sz="0" w:space="0" w:color="auto"/>
        <w:bottom w:val="none" w:sz="0" w:space="0" w:color="auto"/>
        <w:right w:val="none" w:sz="0" w:space="0" w:color="auto"/>
      </w:divBdr>
    </w:div>
    <w:div w:id="58673668">
      <w:bodyDiv w:val="1"/>
      <w:marLeft w:val="0"/>
      <w:marRight w:val="0"/>
      <w:marTop w:val="0"/>
      <w:marBottom w:val="0"/>
      <w:divBdr>
        <w:top w:val="none" w:sz="0" w:space="0" w:color="auto"/>
        <w:left w:val="none" w:sz="0" w:space="0" w:color="auto"/>
        <w:bottom w:val="none" w:sz="0" w:space="0" w:color="auto"/>
        <w:right w:val="none" w:sz="0" w:space="0" w:color="auto"/>
      </w:divBdr>
    </w:div>
    <w:div w:id="64572798">
      <w:bodyDiv w:val="1"/>
      <w:marLeft w:val="0"/>
      <w:marRight w:val="0"/>
      <w:marTop w:val="0"/>
      <w:marBottom w:val="0"/>
      <w:divBdr>
        <w:top w:val="none" w:sz="0" w:space="0" w:color="auto"/>
        <w:left w:val="none" w:sz="0" w:space="0" w:color="auto"/>
        <w:bottom w:val="none" w:sz="0" w:space="0" w:color="auto"/>
        <w:right w:val="none" w:sz="0" w:space="0" w:color="auto"/>
      </w:divBdr>
    </w:div>
    <w:div w:id="64762157">
      <w:bodyDiv w:val="1"/>
      <w:marLeft w:val="0"/>
      <w:marRight w:val="0"/>
      <w:marTop w:val="0"/>
      <w:marBottom w:val="0"/>
      <w:divBdr>
        <w:top w:val="none" w:sz="0" w:space="0" w:color="auto"/>
        <w:left w:val="none" w:sz="0" w:space="0" w:color="auto"/>
        <w:bottom w:val="none" w:sz="0" w:space="0" w:color="auto"/>
        <w:right w:val="none" w:sz="0" w:space="0" w:color="auto"/>
      </w:divBdr>
      <w:divsChild>
        <w:div w:id="1615012710">
          <w:marLeft w:val="0"/>
          <w:marRight w:val="0"/>
          <w:marTop w:val="0"/>
          <w:marBottom w:val="0"/>
          <w:divBdr>
            <w:top w:val="none" w:sz="0" w:space="0" w:color="auto"/>
            <w:left w:val="none" w:sz="0" w:space="0" w:color="auto"/>
            <w:bottom w:val="none" w:sz="0" w:space="0" w:color="auto"/>
            <w:right w:val="none" w:sz="0" w:space="0" w:color="auto"/>
          </w:divBdr>
        </w:div>
      </w:divsChild>
    </w:div>
    <w:div w:id="65155814">
      <w:bodyDiv w:val="1"/>
      <w:marLeft w:val="0"/>
      <w:marRight w:val="0"/>
      <w:marTop w:val="0"/>
      <w:marBottom w:val="0"/>
      <w:divBdr>
        <w:top w:val="none" w:sz="0" w:space="0" w:color="auto"/>
        <w:left w:val="none" w:sz="0" w:space="0" w:color="auto"/>
        <w:bottom w:val="none" w:sz="0" w:space="0" w:color="auto"/>
        <w:right w:val="none" w:sz="0" w:space="0" w:color="auto"/>
      </w:divBdr>
    </w:div>
    <w:div w:id="66343589">
      <w:bodyDiv w:val="1"/>
      <w:marLeft w:val="0"/>
      <w:marRight w:val="0"/>
      <w:marTop w:val="0"/>
      <w:marBottom w:val="0"/>
      <w:divBdr>
        <w:top w:val="none" w:sz="0" w:space="0" w:color="auto"/>
        <w:left w:val="none" w:sz="0" w:space="0" w:color="auto"/>
        <w:bottom w:val="none" w:sz="0" w:space="0" w:color="auto"/>
        <w:right w:val="none" w:sz="0" w:space="0" w:color="auto"/>
      </w:divBdr>
    </w:div>
    <w:div w:id="71195577">
      <w:bodyDiv w:val="1"/>
      <w:marLeft w:val="0"/>
      <w:marRight w:val="0"/>
      <w:marTop w:val="0"/>
      <w:marBottom w:val="0"/>
      <w:divBdr>
        <w:top w:val="none" w:sz="0" w:space="0" w:color="auto"/>
        <w:left w:val="none" w:sz="0" w:space="0" w:color="auto"/>
        <w:bottom w:val="none" w:sz="0" w:space="0" w:color="auto"/>
        <w:right w:val="none" w:sz="0" w:space="0" w:color="auto"/>
      </w:divBdr>
    </w:div>
    <w:div w:id="72046671">
      <w:bodyDiv w:val="1"/>
      <w:marLeft w:val="0"/>
      <w:marRight w:val="0"/>
      <w:marTop w:val="0"/>
      <w:marBottom w:val="0"/>
      <w:divBdr>
        <w:top w:val="none" w:sz="0" w:space="0" w:color="auto"/>
        <w:left w:val="none" w:sz="0" w:space="0" w:color="auto"/>
        <w:bottom w:val="none" w:sz="0" w:space="0" w:color="auto"/>
        <w:right w:val="none" w:sz="0" w:space="0" w:color="auto"/>
      </w:divBdr>
    </w:div>
    <w:div w:id="72970213">
      <w:bodyDiv w:val="1"/>
      <w:marLeft w:val="0"/>
      <w:marRight w:val="0"/>
      <w:marTop w:val="0"/>
      <w:marBottom w:val="0"/>
      <w:divBdr>
        <w:top w:val="none" w:sz="0" w:space="0" w:color="auto"/>
        <w:left w:val="none" w:sz="0" w:space="0" w:color="auto"/>
        <w:bottom w:val="none" w:sz="0" w:space="0" w:color="auto"/>
        <w:right w:val="none" w:sz="0" w:space="0" w:color="auto"/>
      </w:divBdr>
    </w:div>
    <w:div w:id="73279492">
      <w:bodyDiv w:val="1"/>
      <w:marLeft w:val="0"/>
      <w:marRight w:val="0"/>
      <w:marTop w:val="0"/>
      <w:marBottom w:val="0"/>
      <w:divBdr>
        <w:top w:val="none" w:sz="0" w:space="0" w:color="auto"/>
        <w:left w:val="none" w:sz="0" w:space="0" w:color="auto"/>
        <w:bottom w:val="none" w:sz="0" w:space="0" w:color="auto"/>
        <w:right w:val="none" w:sz="0" w:space="0" w:color="auto"/>
      </w:divBdr>
    </w:div>
    <w:div w:id="74254284">
      <w:bodyDiv w:val="1"/>
      <w:marLeft w:val="0"/>
      <w:marRight w:val="0"/>
      <w:marTop w:val="0"/>
      <w:marBottom w:val="0"/>
      <w:divBdr>
        <w:top w:val="none" w:sz="0" w:space="0" w:color="auto"/>
        <w:left w:val="none" w:sz="0" w:space="0" w:color="auto"/>
        <w:bottom w:val="none" w:sz="0" w:space="0" w:color="auto"/>
        <w:right w:val="none" w:sz="0" w:space="0" w:color="auto"/>
      </w:divBdr>
    </w:div>
    <w:div w:id="74280638">
      <w:bodyDiv w:val="1"/>
      <w:marLeft w:val="0"/>
      <w:marRight w:val="0"/>
      <w:marTop w:val="0"/>
      <w:marBottom w:val="0"/>
      <w:divBdr>
        <w:top w:val="none" w:sz="0" w:space="0" w:color="auto"/>
        <w:left w:val="none" w:sz="0" w:space="0" w:color="auto"/>
        <w:bottom w:val="none" w:sz="0" w:space="0" w:color="auto"/>
        <w:right w:val="none" w:sz="0" w:space="0" w:color="auto"/>
      </w:divBdr>
    </w:div>
    <w:div w:id="77794269">
      <w:bodyDiv w:val="1"/>
      <w:marLeft w:val="0"/>
      <w:marRight w:val="0"/>
      <w:marTop w:val="0"/>
      <w:marBottom w:val="0"/>
      <w:divBdr>
        <w:top w:val="none" w:sz="0" w:space="0" w:color="auto"/>
        <w:left w:val="none" w:sz="0" w:space="0" w:color="auto"/>
        <w:bottom w:val="none" w:sz="0" w:space="0" w:color="auto"/>
        <w:right w:val="none" w:sz="0" w:space="0" w:color="auto"/>
      </w:divBdr>
    </w:div>
    <w:div w:id="78141133">
      <w:bodyDiv w:val="1"/>
      <w:marLeft w:val="0"/>
      <w:marRight w:val="0"/>
      <w:marTop w:val="0"/>
      <w:marBottom w:val="0"/>
      <w:divBdr>
        <w:top w:val="none" w:sz="0" w:space="0" w:color="auto"/>
        <w:left w:val="none" w:sz="0" w:space="0" w:color="auto"/>
        <w:bottom w:val="none" w:sz="0" w:space="0" w:color="auto"/>
        <w:right w:val="none" w:sz="0" w:space="0" w:color="auto"/>
      </w:divBdr>
    </w:div>
    <w:div w:id="78143174">
      <w:bodyDiv w:val="1"/>
      <w:marLeft w:val="0"/>
      <w:marRight w:val="0"/>
      <w:marTop w:val="0"/>
      <w:marBottom w:val="0"/>
      <w:divBdr>
        <w:top w:val="none" w:sz="0" w:space="0" w:color="auto"/>
        <w:left w:val="none" w:sz="0" w:space="0" w:color="auto"/>
        <w:bottom w:val="none" w:sz="0" w:space="0" w:color="auto"/>
        <w:right w:val="none" w:sz="0" w:space="0" w:color="auto"/>
      </w:divBdr>
    </w:div>
    <w:div w:id="83497711">
      <w:bodyDiv w:val="1"/>
      <w:marLeft w:val="0"/>
      <w:marRight w:val="0"/>
      <w:marTop w:val="0"/>
      <w:marBottom w:val="0"/>
      <w:divBdr>
        <w:top w:val="none" w:sz="0" w:space="0" w:color="auto"/>
        <w:left w:val="none" w:sz="0" w:space="0" w:color="auto"/>
        <w:bottom w:val="none" w:sz="0" w:space="0" w:color="auto"/>
        <w:right w:val="none" w:sz="0" w:space="0" w:color="auto"/>
      </w:divBdr>
    </w:div>
    <w:div w:id="86271895">
      <w:bodyDiv w:val="1"/>
      <w:marLeft w:val="0"/>
      <w:marRight w:val="0"/>
      <w:marTop w:val="0"/>
      <w:marBottom w:val="0"/>
      <w:divBdr>
        <w:top w:val="none" w:sz="0" w:space="0" w:color="auto"/>
        <w:left w:val="none" w:sz="0" w:space="0" w:color="auto"/>
        <w:bottom w:val="none" w:sz="0" w:space="0" w:color="auto"/>
        <w:right w:val="none" w:sz="0" w:space="0" w:color="auto"/>
      </w:divBdr>
    </w:div>
    <w:div w:id="86274064">
      <w:bodyDiv w:val="1"/>
      <w:marLeft w:val="0"/>
      <w:marRight w:val="0"/>
      <w:marTop w:val="0"/>
      <w:marBottom w:val="0"/>
      <w:divBdr>
        <w:top w:val="none" w:sz="0" w:space="0" w:color="auto"/>
        <w:left w:val="none" w:sz="0" w:space="0" w:color="auto"/>
        <w:bottom w:val="none" w:sz="0" w:space="0" w:color="auto"/>
        <w:right w:val="none" w:sz="0" w:space="0" w:color="auto"/>
      </w:divBdr>
    </w:div>
    <w:div w:id="86509318">
      <w:bodyDiv w:val="1"/>
      <w:marLeft w:val="0"/>
      <w:marRight w:val="0"/>
      <w:marTop w:val="0"/>
      <w:marBottom w:val="0"/>
      <w:divBdr>
        <w:top w:val="none" w:sz="0" w:space="0" w:color="auto"/>
        <w:left w:val="none" w:sz="0" w:space="0" w:color="auto"/>
        <w:bottom w:val="none" w:sz="0" w:space="0" w:color="auto"/>
        <w:right w:val="none" w:sz="0" w:space="0" w:color="auto"/>
      </w:divBdr>
    </w:div>
    <w:div w:id="87847649">
      <w:bodyDiv w:val="1"/>
      <w:marLeft w:val="0"/>
      <w:marRight w:val="0"/>
      <w:marTop w:val="0"/>
      <w:marBottom w:val="0"/>
      <w:divBdr>
        <w:top w:val="none" w:sz="0" w:space="0" w:color="auto"/>
        <w:left w:val="none" w:sz="0" w:space="0" w:color="auto"/>
        <w:bottom w:val="none" w:sz="0" w:space="0" w:color="auto"/>
        <w:right w:val="none" w:sz="0" w:space="0" w:color="auto"/>
      </w:divBdr>
    </w:div>
    <w:div w:id="91901644">
      <w:bodyDiv w:val="1"/>
      <w:marLeft w:val="0"/>
      <w:marRight w:val="0"/>
      <w:marTop w:val="0"/>
      <w:marBottom w:val="0"/>
      <w:divBdr>
        <w:top w:val="none" w:sz="0" w:space="0" w:color="auto"/>
        <w:left w:val="none" w:sz="0" w:space="0" w:color="auto"/>
        <w:bottom w:val="none" w:sz="0" w:space="0" w:color="auto"/>
        <w:right w:val="none" w:sz="0" w:space="0" w:color="auto"/>
      </w:divBdr>
    </w:div>
    <w:div w:id="94207537">
      <w:bodyDiv w:val="1"/>
      <w:marLeft w:val="0"/>
      <w:marRight w:val="0"/>
      <w:marTop w:val="0"/>
      <w:marBottom w:val="0"/>
      <w:divBdr>
        <w:top w:val="none" w:sz="0" w:space="0" w:color="auto"/>
        <w:left w:val="none" w:sz="0" w:space="0" w:color="auto"/>
        <w:bottom w:val="none" w:sz="0" w:space="0" w:color="auto"/>
        <w:right w:val="none" w:sz="0" w:space="0" w:color="auto"/>
      </w:divBdr>
    </w:div>
    <w:div w:id="95370907">
      <w:bodyDiv w:val="1"/>
      <w:marLeft w:val="0"/>
      <w:marRight w:val="0"/>
      <w:marTop w:val="0"/>
      <w:marBottom w:val="0"/>
      <w:divBdr>
        <w:top w:val="none" w:sz="0" w:space="0" w:color="auto"/>
        <w:left w:val="none" w:sz="0" w:space="0" w:color="auto"/>
        <w:bottom w:val="none" w:sz="0" w:space="0" w:color="auto"/>
        <w:right w:val="none" w:sz="0" w:space="0" w:color="auto"/>
      </w:divBdr>
    </w:div>
    <w:div w:id="96216600">
      <w:bodyDiv w:val="1"/>
      <w:marLeft w:val="0"/>
      <w:marRight w:val="0"/>
      <w:marTop w:val="0"/>
      <w:marBottom w:val="0"/>
      <w:divBdr>
        <w:top w:val="none" w:sz="0" w:space="0" w:color="auto"/>
        <w:left w:val="none" w:sz="0" w:space="0" w:color="auto"/>
        <w:bottom w:val="none" w:sz="0" w:space="0" w:color="auto"/>
        <w:right w:val="none" w:sz="0" w:space="0" w:color="auto"/>
      </w:divBdr>
    </w:div>
    <w:div w:id="100342425">
      <w:bodyDiv w:val="1"/>
      <w:marLeft w:val="0"/>
      <w:marRight w:val="0"/>
      <w:marTop w:val="0"/>
      <w:marBottom w:val="0"/>
      <w:divBdr>
        <w:top w:val="none" w:sz="0" w:space="0" w:color="auto"/>
        <w:left w:val="none" w:sz="0" w:space="0" w:color="auto"/>
        <w:bottom w:val="none" w:sz="0" w:space="0" w:color="auto"/>
        <w:right w:val="none" w:sz="0" w:space="0" w:color="auto"/>
      </w:divBdr>
    </w:div>
    <w:div w:id="102119371">
      <w:bodyDiv w:val="1"/>
      <w:marLeft w:val="0"/>
      <w:marRight w:val="0"/>
      <w:marTop w:val="0"/>
      <w:marBottom w:val="0"/>
      <w:divBdr>
        <w:top w:val="none" w:sz="0" w:space="0" w:color="auto"/>
        <w:left w:val="none" w:sz="0" w:space="0" w:color="auto"/>
        <w:bottom w:val="none" w:sz="0" w:space="0" w:color="auto"/>
        <w:right w:val="none" w:sz="0" w:space="0" w:color="auto"/>
      </w:divBdr>
    </w:div>
    <w:div w:id="104859289">
      <w:bodyDiv w:val="1"/>
      <w:marLeft w:val="0"/>
      <w:marRight w:val="0"/>
      <w:marTop w:val="0"/>
      <w:marBottom w:val="0"/>
      <w:divBdr>
        <w:top w:val="none" w:sz="0" w:space="0" w:color="auto"/>
        <w:left w:val="none" w:sz="0" w:space="0" w:color="auto"/>
        <w:bottom w:val="none" w:sz="0" w:space="0" w:color="auto"/>
        <w:right w:val="none" w:sz="0" w:space="0" w:color="auto"/>
      </w:divBdr>
    </w:div>
    <w:div w:id="107357389">
      <w:bodyDiv w:val="1"/>
      <w:marLeft w:val="0"/>
      <w:marRight w:val="0"/>
      <w:marTop w:val="0"/>
      <w:marBottom w:val="0"/>
      <w:divBdr>
        <w:top w:val="none" w:sz="0" w:space="0" w:color="auto"/>
        <w:left w:val="none" w:sz="0" w:space="0" w:color="auto"/>
        <w:bottom w:val="none" w:sz="0" w:space="0" w:color="auto"/>
        <w:right w:val="none" w:sz="0" w:space="0" w:color="auto"/>
      </w:divBdr>
    </w:div>
    <w:div w:id="108210149">
      <w:bodyDiv w:val="1"/>
      <w:marLeft w:val="0"/>
      <w:marRight w:val="0"/>
      <w:marTop w:val="0"/>
      <w:marBottom w:val="0"/>
      <w:divBdr>
        <w:top w:val="none" w:sz="0" w:space="0" w:color="auto"/>
        <w:left w:val="none" w:sz="0" w:space="0" w:color="auto"/>
        <w:bottom w:val="none" w:sz="0" w:space="0" w:color="auto"/>
        <w:right w:val="none" w:sz="0" w:space="0" w:color="auto"/>
      </w:divBdr>
    </w:div>
    <w:div w:id="116459435">
      <w:bodyDiv w:val="1"/>
      <w:marLeft w:val="0"/>
      <w:marRight w:val="0"/>
      <w:marTop w:val="0"/>
      <w:marBottom w:val="0"/>
      <w:divBdr>
        <w:top w:val="none" w:sz="0" w:space="0" w:color="auto"/>
        <w:left w:val="none" w:sz="0" w:space="0" w:color="auto"/>
        <w:bottom w:val="none" w:sz="0" w:space="0" w:color="auto"/>
        <w:right w:val="none" w:sz="0" w:space="0" w:color="auto"/>
      </w:divBdr>
    </w:div>
    <w:div w:id="116532062">
      <w:bodyDiv w:val="1"/>
      <w:marLeft w:val="0"/>
      <w:marRight w:val="0"/>
      <w:marTop w:val="0"/>
      <w:marBottom w:val="0"/>
      <w:divBdr>
        <w:top w:val="none" w:sz="0" w:space="0" w:color="auto"/>
        <w:left w:val="none" w:sz="0" w:space="0" w:color="auto"/>
        <w:bottom w:val="none" w:sz="0" w:space="0" w:color="auto"/>
        <w:right w:val="none" w:sz="0" w:space="0" w:color="auto"/>
      </w:divBdr>
    </w:div>
    <w:div w:id="119541647">
      <w:bodyDiv w:val="1"/>
      <w:marLeft w:val="0"/>
      <w:marRight w:val="0"/>
      <w:marTop w:val="0"/>
      <w:marBottom w:val="0"/>
      <w:divBdr>
        <w:top w:val="none" w:sz="0" w:space="0" w:color="auto"/>
        <w:left w:val="none" w:sz="0" w:space="0" w:color="auto"/>
        <w:bottom w:val="none" w:sz="0" w:space="0" w:color="auto"/>
        <w:right w:val="none" w:sz="0" w:space="0" w:color="auto"/>
      </w:divBdr>
    </w:div>
    <w:div w:id="121578532">
      <w:bodyDiv w:val="1"/>
      <w:marLeft w:val="0"/>
      <w:marRight w:val="0"/>
      <w:marTop w:val="0"/>
      <w:marBottom w:val="0"/>
      <w:divBdr>
        <w:top w:val="none" w:sz="0" w:space="0" w:color="auto"/>
        <w:left w:val="none" w:sz="0" w:space="0" w:color="auto"/>
        <w:bottom w:val="none" w:sz="0" w:space="0" w:color="auto"/>
        <w:right w:val="none" w:sz="0" w:space="0" w:color="auto"/>
      </w:divBdr>
    </w:div>
    <w:div w:id="123541782">
      <w:bodyDiv w:val="1"/>
      <w:marLeft w:val="0"/>
      <w:marRight w:val="0"/>
      <w:marTop w:val="0"/>
      <w:marBottom w:val="0"/>
      <w:divBdr>
        <w:top w:val="none" w:sz="0" w:space="0" w:color="auto"/>
        <w:left w:val="none" w:sz="0" w:space="0" w:color="auto"/>
        <w:bottom w:val="none" w:sz="0" w:space="0" w:color="auto"/>
        <w:right w:val="none" w:sz="0" w:space="0" w:color="auto"/>
      </w:divBdr>
    </w:div>
    <w:div w:id="126122111">
      <w:bodyDiv w:val="1"/>
      <w:marLeft w:val="0"/>
      <w:marRight w:val="0"/>
      <w:marTop w:val="0"/>
      <w:marBottom w:val="0"/>
      <w:divBdr>
        <w:top w:val="none" w:sz="0" w:space="0" w:color="auto"/>
        <w:left w:val="none" w:sz="0" w:space="0" w:color="auto"/>
        <w:bottom w:val="none" w:sz="0" w:space="0" w:color="auto"/>
        <w:right w:val="none" w:sz="0" w:space="0" w:color="auto"/>
      </w:divBdr>
    </w:div>
    <w:div w:id="127018056">
      <w:bodyDiv w:val="1"/>
      <w:marLeft w:val="0"/>
      <w:marRight w:val="0"/>
      <w:marTop w:val="0"/>
      <w:marBottom w:val="0"/>
      <w:divBdr>
        <w:top w:val="none" w:sz="0" w:space="0" w:color="auto"/>
        <w:left w:val="none" w:sz="0" w:space="0" w:color="auto"/>
        <w:bottom w:val="none" w:sz="0" w:space="0" w:color="auto"/>
        <w:right w:val="none" w:sz="0" w:space="0" w:color="auto"/>
      </w:divBdr>
    </w:div>
    <w:div w:id="127213224">
      <w:bodyDiv w:val="1"/>
      <w:marLeft w:val="0"/>
      <w:marRight w:val="0"/>
      <w:marTop w:val="0"/>
      <w:marBottom w:val="0"/>
      <w:divBdr>
        <w:top w:val="none" w:sz="0" w:space="0" w:color="auto"/>
        <w:left w:val="none" w:sz="0" w:space="0" w:color="auto"/>
        <w:bottom w:val="none" w:sz="0" w:space="0" w:color="auto"/>
        <w:right w:val="none" w:sz="0" w:space="0" w:color="auto"/>
      </w:divBdr>
    </w:div>
    <w:div w:id="127403914">
      <w:bodyDiv w:val="1"/>
      <w:marLeft w:val="0"/>
      <w:marRight w:val="0"/>
      <w:marTop w:val="0"/>
      <w:marBottom w:val="0"/>
      <w:divBdr>
        <w:top w:val="none" w:sz="0" w:space="0" w:color="auto"/>
        <w:left w:val="none" w:sz="0" w:space="0" w:color="auto"/>
        <w:bottom w:val="none" w:sz="0" w:space="0" w:color="auto"/>
        <w:right w:val="none" w:sz="0" w:space="0" w:color="auto"/>
      </w:divBdr>
    </w:div>
    <w:div w:id="131095717">
      <w:bodyDiv w:val="1"/>
      <w:marLeft w:val="0"/>
      <w:marRight w:val="0"/>
      <w:marTop w:val="0"/>
      <w:marBottom w:val="0"/>
      <w:divBdr>
        <w:top w:val="none" w:sz="0" w:space="0" w:color="auto"/>
        <w:left w:val="none" w:sz="0" w:space="0" w:color="auto"/>
        <w:bottom w:val="none" w:sz="0" w:space="0" w:color="auto"/>
        <w:right w:val="none" w:sz="0" w:space="0" w:color="auto"/>
      </w:divBdr>
    </w:div>
    <w:div w:id="132873667">
      <w:bodyDiv w:val="1"/>
      <w:marLeft w:val="0"/>
      <w:marRight w:val="0"/>
      <w:marTop w:val="0"/>
      <w:marBottom w:val="0"/>
      <w:divBdr>
        <w:top w:val="none" w:sz="0" w:space="0" w:color="auto"/>
        <w:left w:val="none" w:sz="0" w:space="0" w:color="auto"/>
        <w:bottom w:val="none" w:sz="0" w:space="0" w:color="auto"/>
        <w:right w:val="none" w:sz="0" w:space="0" w:color="auto"/>
      </w:divBdr>
    </w:div>
    <w:div w:id="133067749">
      <w:bodyDiv w:val="1"/>
      <w:marLeft w:val="0"/>
      <w:marRight w:val="0"/>
      <w:marTop w:val="0"/>
      <w:marBottom w:val="0"/>
      <w:divBdr>
        <w:top w:val="none" w:sz="0" w:space="0" w:color="auto"/>
        <w:left w:val="none" w:sz="0" w:space="0" w:color="auto"/>
        <w:bottom w:val="none" w:sz="0" w:space="0" w:color="auto"/>
        <w:right w:val="none" w:sz="0" w:space="0" w:color="auto"/>
      </w:divBdr>
    </w:div>
    <w:div w:id="134763259">
      <w:bodyDiv w:val="1"/>
      <w:marLeft w:val="0"/>
      <w:marRight w:val="0"/>
      <w:marTop w:val="0"/>
      <w:marBottom w:val="0"/>
      <w:divBdr>
        <w:top w:val="none" w:sz="0" w:space="0" w:color="auto"/>
        <w:left w:val="none" w:sz="0" w:space="0" w:color="auto"/>
        <w:bottom w:val="none" w:sz="0" w:space="0" w:color="auto"/>
        <w:right w:val="none" w:sz="0" w:space="0" w:color="auto"/>
      </w:divBdr>
      <w:divsChild>
        <w:div w:id="170611104">
          <w:marLeft w:val="0"/>
          <w:marRight w:val="83"/>
          <w:marTop w:val="0"/>
          <w:marBottom w:val="0"/>
          <w:divBdr>
            <w:top w:val="none" w:sz="0" w:space="0" w:color="auto"/>
            <w:left w:val="none" w:sz="0" w:space="0" w:color="auto"/>
            <w:bottom w:val="none" w:sz="0" w:space="0" w:color="auto"/>
            <w:right w:val="none" w:sz="0" w:space="0" w:color="auto"/>
          </w:divBdr>
        </w:div>
        <w:div w:id="1727146921">
          <w:marLeft w:val="0"/>
          <w:marRight w:val="0"/>
          <w:marTop w:val="0"/>
          <w:marBottom w:val="0"/>
          <w:divBdr>
            <w:top w:val="none" w:sz="0" w:space="0" w:color="auto"/>
            <w:left w:val="none" w:sz="0" w:space="0" w:color="auto"/>
            <w:bottom w:val="none" w:sz="0" w:space="0" w:color="auto"/>
            <w:right w:val="none" w:sz="0" w:space="0" w:color="auto"/>
          </w:divBdr>
          <w:divsChild>
            <w:div w:id="1770270629">
              <w:marLeft w:val="0"/>
              <w:marRight w:val="0"/>
              <w:marTop w:val="0"/>
              <w:marBottom w:val="0"/>
              <w:divBdr>
                <w:top w:val="none" w:sz="0" w:space="0" w:color="auto"/>
                <w:left w:val="none" w:sz="0" w:space="0" w:color="auto"/>
                <w:bottom w:val="none" w:sz="0" w:space="0" w:color="auto"/>
                <w:right w:val="none" w:sz="0" w:space="0" w:color="auto"/>
              </w:divBdr>
              <w:divsChild>
                <w:div w:id="1221552515">
                  <w:marLeft w:val="0"/>
                  <w:marRight w:val="0"/>
                  <w:marTop w:val="0"/>
                  <w:marBottom w:val="0"/>
                  <w:divBdr>
                    <w:top w:val="none" w:sz="0" w:space="0" w:color="auto"/>
                    <w:left w:val="none" w:sz="0" w:space="0" w:color="auto"/>
                    <w:bottom w:val="none" w:sz="0" w:space="0" w:color="auto"/>
                    <w:right w:val="none" w:sz="0" w:space="0" w:color="auto"/>
                  </w:divBdr>
                </w:div>
                <w:div w:id="1938443985">
                  <w:marLeft w:val="0"/>
                  <w:marRight w:val="0"/>
                  <w:marTop w:val="0"/>
                  <w:marBottom w:val="0"/>
                  <w:divBdr>
                    <w:top w:val="none" w:sz="0" w:space="0" w:color="auto"/>
                    <w:left w:val="none" w:sz="0" w:space="0" w:color="auto"/>
                    <w:bottom w:val="none" w:sz="0" w:space="0" w:color="auto"/>
                    <w:right w:val="none" w:sz="0" w:space="0" w:color="auto"/>
                  </w:divBdr>
                  <w:divsChild>
                    <w:div w:id="187302444">
                      <w:marLeft w:val="0"/>
                      <w:marRight w:val="0"/>
                      <w:marTop w:val="0"/>
                      <w:marBottom w:val="0"/>
                      <w:divBdr>
                        <w:top w:val="none" w:sz="0" w:space="0" w:color="auto"/>
                        <w:left w:val="none" w:sz="0" w:space="0" w:color="auto"/>
                        <w:bottom w:val="none" w:sz="0" w:space="0" w:color="auto"/>
                        <w:right w:val="none" w:sz="0" w:space="0" w:color="auto"/>
                      </w:divBdr>
                    </w:div>
                    <w:div w:id="129775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69101">
      <w:bodyDiv w:val="1"/>
      <w:marLeft w:val="0"/>
      <w:marRight w:val="0"/>
      <w:marTop w:val="0"/>
      <w:marBottom w:val="0"/>
      <w:divBdr>
        <w:top w:val="none" w:sz="0" w:space="0" w:color="auto"/>
        <w:left w:val="none" w:sz="0" w:space="0" w:color="auto"/>
        <w:bottom w:val="none" w:sz="0" w:space="0" w:color="auto"/>
        <w:right w:val="none" w:sz="0" w:space="0" w:color="auto"/>
      </w:divBdr>
    </w:div>
    <w:div w:id="137772914">
      <w:bodyDiv w:val="1"/>
      <w:marLeft w:val="0"/>
      <w:marRight w:val="0"/>
      <w:marTop w:val="0"/>
      <w:marBottom w:val="0"/>
      <w:divBdr>
        <w:top w:val="none" w:sz="0" w:space="0" w:color="auto"/>
        <w:left w:val="none" w:sz="0" w:space="0" w:color="auto"/>
        <w:bottom w:val="none" w:sz="0" w:space="0" w:color="auto"/>
        <w:right w:val="none" w:sz="0" w:space="0" w:color="auto"/>
      </w:divBdr>
    </w:div>
    <w:div w:id="142477579">
      <w:bodyDiv w:val="1"/>
      <w:marLeft w:val="0"/>
      <w:marRight w:val="0"/>
      <w:marTop w:val="0"/>
      <w:marBottom w:val="0"/>
      <w:divBdr>
        <w:top w:val="none" w:sz="0" w:space="0" w:color="auto"/>
        <w:left w:val="none" w:sz="0" w:space="0" w:color="auto"/>
        <w:bottom w:val="none" w:sz="0" w:space="0" w:color="auto"/>
        <w:right w:val="none" w:sz="0" w:space="0" w:color="auto"/>
      </w:divBdr>
    </w:div>
    <w:div w:id="142619773">
      <w:bodyDiv w:val="1"/>
      <w:marLeft w:val="0"/>
      <w:marRight w:val="0"/>
      <w:marTop w:val="0"/>
      <w:marBottom w:val="0"/>
      <w:divBdr>
        <w:top w:val="none" w:sz="0" w:space="0" w:color="auto"/>
        <w:left w:val="none" w:sz="0" w:space="0" w:color="auto"/>
        <w:bottom w:val="none" w:sz="0" w:space="0" w:color="auto"/>
        <w:right w:val="none" w:sz="0" w:space="0" w:color="auto"/>
      </w:divBdr>
    </w:div>
    <w:div w:id="144856199">
      <w:bodyDiv w:val="1"/>
      <w:marLeft w:val="0"/>
      <w:marRight w:val="0"/>
      <w:marTop w:val="0"/>
      <w:marBottom w:val="0"/>
      <w:divBdr>
        <w:top w:val="none" w:sz="0" w:space="0" w:color="auto"/>
        <w:left w:val="none" w:sz="0" w:space="0" w:color="auto"/>
        <w:bottom w:val="none" w:sz="0" w:space="0" w:color="auto"/>
        <w:right w:val="none" w:sz="0" w:space="0" w:color="auto"/>
      </w:divBdr>
    </w:div>
    <w:div w:id="145169973">
      <w:bodyDiv w:val="1"/>
      <w:marLeft w:val="0"/>
      <w:marRight w:val="0"/>
      <w:marTop w:val="0"/>
      <w:marBottom w:val="0"/>
      <w:divBdr>
        <w:top w:val="none" w:sz="0" w:space="0" w:color="auto"/>
        <w:left w:val="none" w:sz="0" w:space="0" w:color="auto"/>
        <w:bottom w:val="none" w:sz="0" w:space="0" w:color="auto"/>
        <w:right w:val="none" w:sz="0" w:space="0" w:color="auto"/>
      </w:divBdr>
    </w:div>
    <w:div w:id="145899346">
      <w:bodyDiv w:val="1"/>
      <w:marLeft w:val="0"/>
      <w:marRight w:val="0"/>
      <w:marTop w:val="0"/>
      <w:marBottom w:val="0"/>
      <w:divBdr>
        <w:top w:val="none" w:sz="0" w:space="0" w:color="auto"/>
        <w:left w:val="none" w:sz="0" w:space="0" w:color="auto"/>
        <w:bottom w:val="none" w:sz="0" w:space="0" w:color="auto"/>
        <w:right w:val="none" w:sz="0" w:space="0" w:color="auto"/>
      </w:divBdr>
    </w:div>
    <w:div w:id="146362950">
      <w:bodyDiv w:val="1"/>
      <w:marLeft w:val="0"/>
      <w:marRight w:val="0"/>
      <w:marTop w:val="0"/>
      <w:marBottom w:val="0"/>
      <w:divBdr>
        <w:top w:val="none" w:sz="0" w:space="0" w:color="auto"/>
        <w:left w:val="none" w:sz="0" w:space="0" w:color="auto"/>
        <w:bottom w:val="none" w:sz="0" w:space="0" w:color="auto"/>
        <w:right w:val="none" w:sz="0" w:space="0" w:color="auto"/>
      </w:divBdr>
    </w:div>
    <w:div w:id="152071680">
      <w:bodyDiv w:val="1"/>
      <w:marLeft w:val="0"/>
      <w:marRight w:val="0"/>
      <w:marTop w:val="0"/>
      <w:marBottom w:val="0"/>
      <w:divBdr>
        <w:top w:val="none" w:sz="0" w:space="0" w:color="auto"/>
        <w:left w:val="none" w:sz="0" w:space="0" w:color="auto"/>
        <w:bottom w:val="none" w:sz="0" w:space="0" w:color="auto"/>
        <w:right w:val="none" w:sz="0" w:space="0" w:color="auto"/>
      </w:divBdr>
    </w:div>
    <w:div w:id="152377278">
      <w:bodyDiv w:val="1"/>
      <w:marLeft w:val="0"/>
      <w:marRight w:val="0"/>
      <w:marTop w:val="0"/>
      <w:marBottom w:val="0"/>
      <w:divBdr>
        <w:top w:val="none" w:sz="0" w:space="0" w:color="auto"/>
        <w:left w:val="none" w:sz="0" w:space="0" w:color="auto"/>
        <w:bottom w:val="none" w:sz="0" w:space="0" w:color="auto"/>
        <w:right w:val="none" w:sz="0" w:space="0" w:color="auto"/>
      </w:divBdr>
    </w:div>
    <w:div w:id="152575220">
      <w:bodyDiv w:val="1"/>
      <w:marLeft w:val="0"/>
      <w:marRight w:val="0"/>
      <w:marTop w:val="0"/>
      <w:marBottom w:val="0"/>
      <w:divBdr>
        <w:top w:val="none" w:sz="0" w:space="0" w:color="auto"/>
        <w:left w:val="none" w:sz="0" w:space="0" w:color="auto"/>
        <w:bottom w:val="none" w:sz="0" w:space="0" w:color="auto"/>
        <w:right w:val="none" w:sz="0" w:space="0" w:color="auto"/>
      </w:divBdr>
    </w:div>
    <w:div w:id="153306833">
      <w:bodyDiv w:val="1"/>
      <w:marLeft w:val="0"/>
      <w:marRight w:val="0"/>
      <w:marTop w:val="0"/>
      <w:marBottom w:val="0"/>
      <w:divBdr>
        <w:top w:val="none" w:sz="0" w:space="0" w:color="auto"/>
        <w:left w:val="none" w:sz="0" w:space="0" w:color="auto"/>
        <w:bottom w:val="none" w:sz="0" w:space="0" w:color="auto"/>
        <w:right w:val="none" w:sz="0" w:space="0" w:color="auto"/>
      </w:divBdr>
    </w:div>
    <w:div w:id="159851390">
      <w:bodyDiv w:val="1"/>
      <w:marLeft w:val="0"/>
      <w:marRight w:val="0"/>
      <w:marTop w:val="0"/>
      <w:marBottom w:val="0"/>
      <w:divBdr>
        <w:top w:val="none" w:sz="0" w:space="0" w:color="auto"/>
        <w:left w:val="none" w:sz="0" w:space="0" w:color="auto"/>
        <w:bottom w:val="none" w:sz="0" w:space="0" w:color="auto"/>
        <w:right w:val="none" w:sz="0" w:space="0" w:color="auto"/>
      </w:divBdr>
    </w:div>
    <w:div w:id="160778333">
      <w:bodyDiv w:val="1"/>
      <w:marLeft w:val="0"/>
      <w:marRight w:val="0"/>
      <w:marTop w:val="0"/>
      <w:marBottom w:val="0"/>
      <w:divBdr>
        <w:top w:val="none" w:sz="0" w:space="0" w:color="auto"/>
        <w:left w:val="none" w:sz="0" w:space="0" w:color="auto"/>
        <w:bottom w:val="none" w:sz="0" w:space="0" w:color="auto"/>
        <w:right w:val="none" w:sz="0" w:space="0" w:color="auto"/>
      </w:divBdr>
    </w:div>
    <w:div w:id="162862210">
      <w:bodyDiv w:val="1"/>
      <w:marLeft w:val="0"/>
      <w:marRight w:val="0"/>
      <w:marTop w:val="0"/>
      <w:marBottom w:val="0"/>
      <w:divBdr>
        <w:top w:val="none" w:sz="0" w:space="0" w:color="auto"/>
        <w:left w:val="none" w:sz="0" w:space="0" w:color="auto"/>
        <w:bottom w:val="none" w:sz="0" w:space="0" w:color="auto"/>
        <w:right w:val="none" w:sz="0" w:space="0" w:color="auto"/>
      </w:divBdr>
    </w:div>
    <w:div w:id="163211436">
      <w:bodyDiv w:val="1"/>
      <w:marLeft w:val="0"/>
      <w:marRight w:val="0"/>
      <w:marTop w:val="0"/>
      <w:marBottom w:val="0"/>
      <w:divBdr>
        <w:top w:val="none" w:sz="0" w:space="0" w:color="auto"/>
        <w:left w:val="none" w:sz="0" w:space="0" w:color="auto"/>
        <w:bottom w:val="none" w:sz="0" w:space="0" w:color="auto"/>
        <w:right w:val="none" w:sz="0" w:space="0" w:color="auto"/>
      </w:divBdr>
    </w:div>
    <w:div w:id="163521453">
      <w:bodyDiv w:val="1"/>
      <w:marLeft w:val="0"/>
      <w:marRight w:val="0"/>
      <w:marTop w:val="0"/>
      <w:marBottom w:val="0"/>
      <w:divBdr>
        <w:top w:val="none" w:sz="0" w:space="0" w:color="auto"/>
        <w:left w:val="none" w:sz="0" w:space="0" w:color="auto"/>
        <w:bottom w:val="none" w:sz="0" w:space="0" w:color="auto"/>
        <w:right w:val="none" w:sz="0" w:space="0" w:color="auto"/>
      </w:divBdr>
    </w:div>
    <w:div w:id="165900742">
      <w:bodyDiv w:val="1"/>
      <w:marLeft w:val="0"/>
      <w:marRight w:val="0"/>
      <w:marTop w:val="0"/>
      <w:marBottom w:val="0"/>
      <w:divBdr>
        <w:top w:val="none" w:sz="0" w:space="0" w:color="auto"/>
        <w:left w:val="none" w:sz="0" w:space="0" w:color="auto"/>
        <w:bottom w:val="none" w:sz="0" w:space="0" w:color="auto"/>
        <w:right w:val="none" w:sz="0" w:space="0" w:color="auto"/>
      </w:divBdr>
    </w:div>
    <w:div w:id="166291667">
      <w:bodyDiv w:val="1"/>
      <w:marLeft w:val="0"/>
      <w:marRight w:val="0"/>
      <w:marTop w:val="0"/>
      <w:marBottom w:val="0"/>
      <w:divBdr>
        <w:top w:val="none" w:sz="0" w:space="0" w:color="auto"/>
        <w:left w:val="none" w:sz="0" w:space="0" w:color="auto"/>
        <w:bottom w:val="none" w:sz="0" w:space="0" w:color="auto"/>
        <w:right w:val="none" w:sz="0" w:space="0" w:color="auto"/>
      </w:divBdr>
    </w:div>
    <w:div w:id="171840804">
      <w:bodyDiv w:val="1"/>
      <w:marLeft w:val="0"/>
      <w:marRight w:val="0"/>
      <w:marTop w:val="0"/>
      <w:marBottom w:val="0"/>
      <w:divBdr>
        <w:top w:val="none" w:sz="0" w:space="0" w:color="auto"/>
        <w:left w:val="none" w:sz="0" w:space="0" w:color="auto"/>
        <w:bottom w:val="none" w:sz="0" w:space="0" w:color="auto"/>
        <w:right w:val="none" w:sz="0" w:space="0" w:color="auto"/>
      </w:divBdr>
    </w:div>
    <w:div w:id="173305058">
      <w:bodyDiv w:val="1"/>
      <w:marLeft w:val="0"/>
      <w:marRight w:val="0"/>
      <w:marTop w:val="0"/>
      <w:marBottom w:val="0"/>
      <w:divBdr>
        <w:top w:val="none" w:sz="0" w:space="0" w:color="auto"/>
        <w:left w:val="none" w:sz="0" w:space="0" w:color="auto"/>
        <w:bottom w:val="none" w:sz="0" w:space="0" w:color="auto"/>
        <w:right w:val="none" w:sz="0" w:space="0" w:color="auto"/>
      </w:divBdr>
    </w:div>
    <w:div w:id="176775140">
      <w:bodyDiv w:val="1"/>
      <w:marLeft w:val="0"/>
      <w:marRight w:val="0"/>
      <w:marTop w:val="0"/>
      <w:marBottom w:val="0"/>
      <w:divBdr>
        <w:top w:val="none" w:sz="0" w:space="0" w:color="auto"/>
        <w:left w:val="none" w:sz="0" w:space="0" w:color="auto"/>
        <w:bottom w:val="none" w:sz="0" w:space="0" w:color="auto"/>
        <w:right w:val="none" w:sz="0" w:space="0" w:color="auto"/>
      </w:divBdr>
    </w:div>
    <w:div w:id="179046478">
      <w:bodyDiv w:val="1"/>
      <w:marLeft w:val="0"/>
      <w:marRight w:val="0"/>
      <w:marTop w:val="0"/>
      <w:marBottom w:val="0"/>
      <w:divBdr>
        <w:top w:val="none" w:sz="0" w:space="0" w:color="auto"/>
        <w:left w:val="none" w:sz="0" w:space="0" w:color="auto"/>
        <w:bottom w:val="none" w:sz="0" w:space="0" w:color="auto"/>
        <w:right w:val="none" w:sz="0" w:space="0" w:color="auto"/>
      </w:divBdr>
    </w:div>
    <w:div w:id="179247669">
      <w:bodyDiv w:val="1"/>
      <w:marLeft w:val="0"/>
      <w:marRight w:val="0"/>
      <w:marTop w:val="0"/>
      <w:marBottom w:val="0"/>
      <w:divBdr>
        <w:top w:val="none" w:sz="0" w:space="0" w:color="auto"/>
        <w:left w:val="none" w:sz="0" w:space="0" w:color="auto"/>
        <w:bottom w:val="none" w:sz="0" w:space="0" w:color="auto"/>
        <w:right w:val="none" w:sz="0" w:space="0" w:color="auto"/>
      </w:divBdr>
    </w:div>
    <w:div w:id="179665496">
      <w:bodyDiv w:val="1"/>
      <w:marLeft w:val="0"/>
      <w:marRight w:val="0"/>
      <w:marTop w:val="0"/>
      <w:marBottom w:val="0"/>
      <w:divBdr>
        <w:top w:val="none" w:sz="0" w:space="0" w:color="auto"/>
        <w:left w:val="none" w:sz="0" w:space="0" w:color="auto"/>
        <w:bottom w:val="none" w:sz="0" w:space="0" w:color="auto"/>
        <w:right w:val="none" w:sz="0" w:space="0" w:color="auto"/>
      </w:divBdr>
    </w:div>
    <w:div w:id="180360846">
      <w:bodyDiv w:val="1"/>
      <w:marLeft w:val="0"/>
      <w:marRight w:val="0"/>
      <w:marTop w:val="0"/>
      <w:marBottom w:val="0"/>
      <w:divBdr>
        <w:top w:val="none" w:sz="0" w:space="0" w:color="auto"/>
        <w:left w:val="none" w:sz="0" w:space="0" w:color="auto"/>
        <w:bottom w:val="none" w:sz="0" w:space="0" w:color="auto"/>
        <w:right w:val="none" w:sz="0" w:space="0" w:color="auto"/>
      </w:divBdr>
    </w:div>
    <w:div w:id="180823727">
      <w:bodyDiv w:val="1"/>
      <w:marLeft w:val="0"/>
      <w:marRight w:val="0"/>
      <w:marTop w:val="0"/>
      <w:marBottom w:val="0"/>
      <w:divBdr>
        <w:top w:val="none" w:sz="0" w:space="0" w:color="auto"/>
        <w:left w:val="none" w:sz="0" w:space="0" w:color="auto"/>
        <w:bottom w:val="none" w:sz="0" w:space="0" w:color="auto"/>
        <w:right w:val="none" w:sz="0" w:space="0" w:color="auto"/>
      </w:divBdr>
    </w:div>
    <w:div w:id="184055054">
      <w:bodyDiv w:val="1"/>
      <w:marLeft w:val="0"/>
      <w:marRight w:val="0"/>
      <w:marTop w:val="0"/>
      <w:marBottom w:val="0"/>
      <w:divBdr>
        <w:top w:val="none" w:sz="0" w:space="0" w:color="auto"/>
        <w:left w:val="none" w:sz="0" w:space="0" w:color="auto"/>
        <w:bottom w:val="none" w:sz="0" w:space="0" w:color="auto"/>
        <w:right w:val="none" w:sz="0" w:space="0" w:color="auto"/>
      </w:divBdr>
    </w:div>
    <w:div w:id="185217778">
      <w:bodyDiv w:val="1"/>
      <w:marLeft w:val="0"/>
      <w:marRight w:val="0"/>
      <w:marTop w:val="0"/>
      <w:marBottom w:val="0"/>
      <w:divBdr>
        <w:top w:val="none" w:sz="0" w:space="0" w:color="auto"/>
        <w:left w:val="none" w:sz="0" w:space="0" w:color="auto"/>
        <w:bottom w:val="none" w:sz="0" w:space="0" w:color="auto"/>
        <w:right w:val="none" w:sz="0" w:space="0" w:color="auto"/>
      </w:divBdr>
    </w:div>
    <w:div w:id="188374425">
      <w:bodyDiv w:val="1"/>
      <w:marLeft w:val="0"/>
      <w:marRight w:val="0"/>
      <w:marTop w:val="0"/>
      <w:marBottom w:val="0"/>
      <w:divBdr>
        <w:top w:val="none" w:sz="0" w:space="0" w:color="auto"/>
        <w:left w:val="none" w:sz="0" w:space="0" w:color="auto"/>
        <w:bottom w:val="none" w:sz="0" w:space="0" w:color="auto"/>
        <w:right w:val="none" w:sz="0" w:space="0" w:color="auto"/>
      </w:divBdr>
    </w:div>
    <w:div w:id="189295252">
      <w:bodyDiv w:val="1"/>
      <w:marLeft w:val="0"/>
      <w:marRight w:val="0"/>
      <w:marTop w:val="0"/>
      <w:marBottom w:val="0"/>
      <w:divBdr>
        <w:top w:val="none" w:sz="0" w:space="0" w:color="auto"/>
        <w:left w:val="none" w:sz="0" w:space="0" w:color="auto"/>
        <w:bottom w:val="none" w:sz="0" w:space="0" w:color="auto"/>
        <w:right w:val="none" w:sz="0" w:space="0" w:color="auto"/>
      </w:divBdr>
    </w:div>
    <w:div w:id="191503146">
      <w:bodyDiv w:val="1"/>
      <w:marLeft w:val="0"/>
      <w:marRight w:val="0"/>
      <w:marTop w:val="0"/>
      <w:marBottom w:val="0"/>
      <w:divBdr>
        <w:top w:val="none" w:sz="0" w:space="0" w:color="auto"/>
        <w:left w:val="none" w:sz="0" w:space="0" w:color="auto"/>
        <w:bottom w:val="none" w:sz="0" w:space="0" w:color="auto"/>
        <w:right w:val="none" w:sz="0" w:space="0" w:color="auto"/>
      </w:divBdr>
    </w:div>
    <w:div w:id="192617469">
      <w:bodyDiv w:val="1"/>
      <w:marLeft w:val="0"/>
      <w:marRight w:val="0"/>
      <w:marTop w:val="0"/>
      <w:marBottom w:val="0"/>
      <w:divBdr>
        <w:top w:val="none" w:sz="0" w:space="0" w:color="auto"/>
        <w:left w:val="none" w:sz="0" w:space="0" w:color="auto"/>
        <w:bottom w:val="none" w:sz="0" w:space="0" w:color="auto"/>
        <w:right w:val="none" w:sz="0" w:space="0" w:color="auto"/>
      </w:divBdr>
    </w:div>
    <w:div w:id="193346049">
      <w:bodyDiv w:val="1"/>
      <w:marLeft w:val="0"/>
      <w:marRight w:val="0"/>
      <w:marTop w:val="0"/>
      <w:marBottom w:val="0"/>
      <w:divBdr>
        <w:top w:val="none" w:sz="0" w:space="0" w:color="auto"/>
        <w:left w:val="none" w:sz="0" w:space="0" w:color="auto"/>
        <w:bottom w:val="none" w:sz="0" w:space="0" w:color="auto"/>
        <w:right w:val="none" w:sz="0" w:space="0" w:color="auto"/>
      </w:divBdr>
    </w:div>
    <w:div w:id="193882987">
      <w:bodyDiv w:val="1"/>
      <w:marLeft w:val="0"/>
      <w:marRight w:val="0"/>
      <w:marTop w:val="0"/>
      <w:marBottom w:val="0"/>
      <w:divBdr>
        <w:top w:val="none" w:sz="0" w:space="0" w:color="auto"/>
        <w:left w:val="none" w:sz="0" w:space="0" w:color="auto"/>
        <w:bottom w:val="none" w:sz="0" w:space="0" w:color="auto"/>
        <w:right w:val="none" w:sz="0" w:space="0" w:color="auto"/>
      </w:divBdr>
      <w:divsChild>
        <w:div w:id="1632318501">
          <w:marLeft w:val="0"/>
          <w:marRight w:val="0"/>
          <w:marTop w:val="0"/>
          <w:marBottom w:val="0"/>
          <w:divBdr>
            <w:top w:val="none" w:sz="0" w:space="0" w:color="auto"/>
            <w:left w:val="none" w:sz="0" w:space="0" w:color="auto"/>
            <w:bottom w:val="none" w:sz="0" w:space="0" w:color="auto"/>
            <w:right w:val="none" w:sz="0" w:space="0" w:color="auto"/>
          </w:divBdr>
        </w:div>
      </w:divsChild>
    </w:div>
    <w:div w:id="199828448">
      <w:bodyDiv w:val="1"/>
      <w:marLeft w:val="0"/>
      <w:marRight w:val="0"/>
      <w:marTop w:val="0"/>
      <w:marBottom w:val="0"/>
      <w:divBdr>
        <w:top w:val="none" w:sz="0" w:space="0" w:color="auto"/>
        <w:left w:val="none" w:sz="0" w:space="0" w:color="auto"/>
        <w:bottom w:val="none" w:sz="0" w:space="0" w:color="auto"/>
        <w:right w:val="none" w:sz="0" w:space="0" w:color="auto"/>
      </w:divBdr>
    </w:div>
    <w:div w:id="201405758">
      <w:bodyDiv w:val="1"/>
      <w:marLeft w:val="0"/>
      <w:marRight w:val="0"/>
      <w:marTop w:val="0"/>
      <w:marBottom w:val="0"/>
      <w:divBdr>
        <w:top w:val="none" w:sz="0" w:space="0" w:color="auto"/>
        <w:left w:val="none" w:sz="0" w:space="0" w:color="auto"/>
        <w:bottom w:val="none" w:sz="0" w:space="0" w:color="auto"/>
        <w:right w:val="none" w:sz="0" w:space="0" w:color="auto"/>
      </w:divBdr>
    </w:div>
    <w:div w:id="204829559">
      <w:bodyDiv w:val="1"/>
      <w:marLeft w:val="0"/>
      <w:marRight w:val="0"/>
      <w:marTop w:val="0"/>
      <w:marBottom w:val="0"/>
      <w:divBdr>
        <w:top w:val="none" w:sz="0" w:space="0" w:color="auto"/>
        <w:left w:val="none" w:sz="0" w:space="0" w:color="auto"/>
        <w:bottom w:val="none" w:sz="0" w:space="0" w:color="auto"/>
        <w:right w:val="none" w:sz="0" w:space="0" w:color="auto"/>
      </w:divBdr>
    </w:div>
    <w:div w:id="207837922">
      <w:bodyDiv w:val="1"/>
      <w:marLeft w:val="0"/>
      <w:marRight w:val="0"/>
      <w:marTop w:val="0"/>
      <w:marBottom w:val="0"/>
      <w:divBdr>
        <w:top w:val="none" w:sz="0" w:space="0" w:color="auto"/>
        <w:left w:val="none" w:sz="0" w:space="0" w:color="auto"/>
        <w:bottom w:val="none" w:sz="0" w:space="0" w:color="auto"/>
        <w:right w:val="none" w:sz="0" w:space="0" w:color="auto"/>
      </w:divBdr>
    </w:div>
    <w:div w:id="215050540">
      <w:bodyDiv w:val="1"/>
      <w:marLeft w:val="0"/>
      <w:marRight w:val="0"/>
      <w:marTop w:val="0"/>
      <w:marBottom w:val="0"/>
      <w:divBdr>
        <w:top w:val="none" w:sz="0" w:space="0" w:color="auto"/>
        <w:left w:val="none" w:sz="0" w:space="0" w:color="auto"/>
        <w:bottom w:val="none" w:sz="0" w:space="0" w:color="auto"/>
        <w:right w:val="none" w:sz="0" w:space="0" w:color="auto"/>
      </w:divBdr>
    </w:div>
    <w:div w:id="217472511">
      <w:bodyDiv w:val="1"/>
      <w:marLeft w:val="0"/>
      <w:marRight w:val="0"/>
      <w:marTop w:val="0"/>
      <w:marBottom w:val="0"/>
      <w:divBdr>
        <w:top w:val="none" w:sz="0" w:space="0" w:color="auto"/>
        <w:left w:val="none" w:sz="0" w:space="0" w:color="auto"/>
        <w:bottom w:val="none" w:sz="0" w:space="0" w:color="auto"/>
        <w:right w:val="none" w:sz="0" w:space="0" w:color="auto"/>
      </w:divBdr>
    </w:div>
    <w:div w:id="217590888">
      <w:bodyDiv w:val="1"/>
      <w:marLeft w:val="0"/>
      <w:marRight w:val="0"/>
      <w:marTop w:val="0"/>
      <w:marBottom w:val="0"/>
      <w:divBdr>
        <w:top w:val="none" w:sz="0" w:space="0" w:color="auto"/>
        <w:left w:val="none" w:sz="0" w:space="0" w:color="auto"/>
        <w:bottom w:val="none" w:sz="0" w:space="0" w:color="auto"/>
        <w:right w:val="none" w:sz="0" w:space="0" w:color="auto"/>
      </w:divBdr>
    </w:div>
    <w:div w:id="220485982">
      <w:bodyDiv w:val="1"/>
      <w:marLeft w:val="0"/>
      <w:marRight w:val="0"/>
      <w:marTop w:val="0"/>
      <w:marBottom w:val="0"/>
      <w:divBdr>
        <w:top w:val="none" w:sz="0" w:space="0" w:color="auto"/>
        <w:left w:val="none" w:sz="0" w:space="0" w:color="auto"/>
        <w:bottom w:val="none" w:sz="0" w:space="0" w:color="auto"/>
        <w:right w:val="none" w:sz="0" w:space="0" w:color="auto"/>
      </w:divBdr>
    </w:div>
    <w:div w:id="220792788">
      <w:bodyDiv w:val="1"/>
      <w:marLeft w:val="0"/>
      <w:marRight w:val="0"/>
      <w:marTop w:val="0"/>
      <w:marBottom w:val="0"/>
      <w:divBdr>
        <w:top w:val="none" w:sz="0" w:space="0" w:color="auto"/>
        <w:left w:val="none" w:sz="0" w:space="0" w:color="auto"/>
        <w:bottom w:val="none" w:sz="0" w:space="0" w:color="auto"/>
        <w:right w:val="none" w:sz="0" w:space="0" w:color="auto"/>
      </w:divBdr>
    </w:div>
    <w:div w:id="224611064">
      <w:bodyDiv w:val="1"/>
      <w:marLeft w:val="0"/>
      <w:marRight w:val="0"/>
      <w:marTop w:val="0"/>
      <w:marBottom w:val="0"/>
      <w:divBdr>
        <w:top w:val="none" w:sz="0" w:space="0" w:color="auto"/>
        <w:left w:val="none" w:sz="0" w:space="0" w:color="auto"/>
        <w:bottom w:val="none" w:sz="0" w:space="0" w:color="auto"/>
        <w:right w:val="none" w:sz="0" w:space="0" w:color="auto"/>
      </w:divBdr>
    </w:div>
    <w:div w:id="227962458">
      <w:bodyDiv w:val="1"/>
      <w:marLeft w:val="0"/>
      <w:marRight w:val="0"/>
      <w:marTop w:val="0"/>
      <w:marBottom w:val="0"/>
      <w:divBdr>
        <w:top w:val="none" w:sz="0" w:space="0" w:color="auto"/>
        <w:left w:val="none" w:sz="0" w:space="0" w:color="auto"/>
        <w:bottom w:val="none" w:sz="0" w:space="0" w:color="auto"/>
        <w:right w:val="none" w:sz="0" w:space="0" w:color="auto"/>
      </w:divBdr>
    </w:div>
    <w:div w:id="229384865">
      <w:bodyDiv w:val="1"/>
      <w:marLeft w:val="0"/>
      <w:marRight w:val="0"/>
      <w:marTop w:val="0"/>
      <w:marBottom w:val="0"/>
      <w:divBdr>
        <w:top w:val="none" w:sz="0" w:space="0" w:color="auto"/>
        <w:left w:val="none" w:sz="0" w:space="0" w:color="auto"/>
        <w:bottom w:val="none" w:sz="0" w:space="0" w:color="auto"/>
        <w:right w:val="none" w:sz="0" w:space="0" w:color="auto"/>
      </w:divBdr>
    </w:div>
    <w:div w:id="231279912">
      <w:bodyDiv w:val="1"/>
      <w:marLeft w:val="0"/>
      <w:marRight w:val="0"/>
      <w:marTop w:val="0"/>
      <w:marBottom w:val="0"/>
      <w:divBdr>
        <w:top w:val="none" w:sz="0" w:space="0" w:color="auto"/>
        <w:left w:val="none" w:sz="0" w:space="0" w:color="auto"/>
        <w:bottom w:val="none" w:sz="0" w:space="0" w:color="auto"/>
        <w:right w:val="none" w:sz="0" w:space="0" w:color="auto"/>
      </w:divBdr>
    </w:div>
    <w:div w:id="231815199">
      <w:bodyDiv w:val="1"/>
      <w:marLeft w:val="0"/>
      <w:marRight w:val="0"/>
      <w:marTop w:val="0"/>
      <w:marBottom w:val="0"/>
      <w:divBdr>
        <w:top w:val="none" w:sz="0" w:space="0" w:color="auto"/>
        <w:left w:val="none" w:sz="0" w:space="0" w:color="auto"/>
        <w:bottom w:val="none" w:sz="0" w:space="0" w:color="auto"/>
        <w:right w:val="none" w:sz="0" w:space="0" w:color="auto"/>
      </w:divBdr>
    </w:div>
    <w:div w:id="233441735">
      <w:bodyDiv w:val="1"/>
      <w:marLeft w:val="0"/>
      <w:marRight w:val="0"/>
      <w:marTop w:val="0"/>
      <w:marBottom w:val="0"/>
      <w:divBdr>
        <w:top w:val="none" w:sz="0" w:space="0" w:color="auto"/>
        <w:left w:val="none" w:sz="0" w:space="0" w:color="auto"/>
        <w:bottom w:val="none" w:sz="0" w:space="0" w:color="auto"/>
        <w:right w:val="none" w:sz="0" w:space="0" w:color="auto"/>
      </w:divBdr>
    </w:div>
    <w:div w:id="235017036">
      <w:bodyDiv w:val="1"/>
      <w:marLeft w:val="0"/>
      <w:marRight w:val="0"/>
      <w:marTop w:val="0"/>
      <w:marBottom w:val="0"/>
      <w:divBdr>
        <w:top w:val="none" w:sz="0" w:space="0" w:color="auto"/>
        <w:left w:val="none" w:sz="0" w:space="0" w:color="auto"/>
        <w:bottom w:val="none" w:sz="0" w:space="0" w:color="auto"/>
        <w:right w:val="none" w:sz="0" w:space="0" w:color="auto"/>
      </w:divBdr>
    </w:div>
    <w:div w:id="235864833">
      <w:bodyDiv w:val="1"/>
      <w:marLeft w:val="0"/>
      <w:marRight w:val="0"/>
      <w:marTop w:val="0"/>
      <w:marBottom w:val="0"/>
      <w:divBdr>
        <w:top w:val="none" w:sz="0" w:space="0" w:color="auto"/>
        <w:left w:val="none" w:sz="0" w:space="0" w:color="auto"/>
        <w:bottom w:val="none" w:sz="0" w:space="0" w:color="auto"/>
        <w:right w:val="none" w:sz="0" w:space="0" w:color="auto"/>
      </w:divBdr>
    </w:div>
    <w:div w:id="238373744">
      <w:bodyDiv w:val="1"/>
      <w:marLeft w:val="0"/>
      <w:marRight w:val="0"/>
      <w:marTop w:val="0"/>
      <w:marBottom w:val="0"/>
      <w:divBdr>
        <w:top w:val="none" w:sz="0" w:space="0" w:color="auto"/>
        <w:left w:val="none" w:sz="0" w:space="0" w:color="auto"/>
        <w:bottom w:val="none" w:sz="0" w:space="0" w:color="auto"/>
        <w:right w:val="none" w:sz="0" w:space="0" w:color="auto"/>
      </w:divBdr>
    </w:div>
    <w:div w:id="242882377">
      <w:bodyDiv w:val="1"/>
      <w:marLeft w:val="0"/>
      <w:marRight w:val="0"/>
      <w:marTop w:val="0"/>
      <w:marBottom w:val="0"/>
      <w:divBdr>
        <w:top w:val="none" w:sz="0" w:space="0" w:color="auto"/>
        <w:left w:val="none" w:sz="0" w:space="0" w:color="auto"/>
        <w:bottom w:val="none" w:sz="0" w:space="0" w:color="auto"/>
        <w:right w:val="none" w:sz="0" w:space="0" w:color="auto"/>
      </w:divBdr>
    </w:div>
    <w:div w:id="244808016">
      <w:bodyDiv w:val="1"/>
      <w:marLeft w:val="0"/>
      <w:marRight w:val="0"/>
      <w:marTop w:val="0"/>
      <w:marBottom w:val="0"/>
      <w:divBdr>
        <w:top w:val="none" w:sz="0" w:space="0" w:color="auto"/>
        <w:left w:val="none" w:sz="0" w:space="0" w:color="auto"/>
        <w:bottom w:val="none" w:sz="0" w:space="0" w:color="auto"/>
        <w:right w:val="none" w:sz="0" w:space="0" w:color="auto"/>
      </w:divBdr>
      <w:divsChild>
        <w:div w:id="1518231279">
          <w:marLeft w:val="0"/>
          <w:marRight w:val="0"/>
          <w:marTop w:val="0"/>
          <w:marBottom w:val="0"/>
          <w:divBdr>
            <w:top w:val="none" w:sz="0" w:space="0" w:color="auto"/>
            <w:left w:val="none" w:sz="0" w:space="0" w:color="auto"/>
            <w:bottom w:val="none" w:sz="0" w:space="0" w:color="auto"/>
            <w:right w:val="none" w:sz="0" w:space="0" w:color="auto"/>
          </w:divBdr>
          <w:divsChild>
            <w:div w:id="287704891">
              <w:marLeft w:val="0"/>
              <w:marRight w:val="0"/>
              <w:marTop w:val="0"/>
              <w:marBottom w:val="0"/>
              <w:divBdr>
                <w:top w:val="none" w:sz="0" w:space="0" w:color="auto"/>
                <w:left w:val="none" w:sz="0" w:space="0" w:color="auto"/>
                <w:bottom w:val="none" w:sz="0" w:space="0" w:color="auto"/>
                <w:right w:val="none" w:sz="0" w:space="0" w:color="auto"/>
              </w:divBdr>
              <w:divsChild>
                <w:div w:id="162661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32327">
          <w:marLeft w:val="0"/>
          <w:marRight w:val="0"/>
          <w:marTop w:val="0"/>
          <w:marBottom w:val="0"/>
          <w:divBdr>
            <w:top w:val="none" w:sz="0" w:space="0" w:color="auto"/>
            <w:left w:val="none" w:sz="0" w:space="0" w:color="auto"/>
            <w:bottom w:val="none" w:sz="0" w:space="0" w:color="auto"/>
            <w:right w:val="none" w:sz="0" w:space="0" w:color="auto"/>
          </w:divBdr>
        </w:div>
      </w:divsChild>
    </w:div>
    <w:div w:id="246811412">
      <w:bodyDiv w:val="1"/>
      <w:marLeft w:val="0"/>
      <w:marRight w:val="0"/>
      <w:marTop w:val="0"/>
      <w:marBottom w:val="0"/>
      <w:divBdr>
        <w:top w:val="none" w:sz="0" w:space="0" w:color="auto"/>
        <w:left w:val="none" w:sz="0" w:space="0" w:color="auto"/>
        <w:bottom w:val="none" w:sz="0" w:space="0" w:color="auto"/>
        <w:right w:val="none" w:sz="0" w:space="0" w:color="auto"/>
      </w:divBdr>
    </w:div>
    <w:div w:id="252277797">
      <w:bodyDiv w:val="1"/>
      <w:marLeft w:val="0"/>
      <w:marRight w:val="0"/>
      <w:marTop w:val="0"/>
      <w:marBottom w:val="0"/>
      <w:divBdr>
        <w:top w:val="none" w:sz="0" w:space="0" w:color="auto"/>
        <w:left w:val="none" w:sz="0" w:space="0" w:color="auto"/>
        <w:bottom w:val="none" w:sz="0" w:space="0" w:color="auto"/>
        <w:right w:val="none" w:sz="0" w:space="0" w:color="auto"/>
      </w:divBdr>
    </w:div>
    <w:div w:id="260651718">
      <w:bodyDiv w:val="1"/>
      <w:marLeft w:val="0"/>
      <w:marRight w:val="0"/>
      <w:marTop w:val="0"/>
      <w:marBottom w:val="0"/>
      <w:divBdr>
        <w:top w:val="none" w:sz="0" w:space="0" w:color="auto"/>
        <w:left w:val="none" w:sz="0" w:space="0" w:color="auto"/>
        <w:bottom w:val="none" w:sz="0" w:space="0" w:color="auto"/>
        <w:right w:val="none" w:sz="0" w:space="0" w:color="auto"/>
      </w:divBdr>
    </w:div>
    <w:div w:id="264073735">
      <w:bodyDiv w:val="1"/>
      <w:marLeft w:val="0"/>
      <w:marRight w:val="0"/>
      <w:marTop w:val="0"/>
      <w:marBottom w:val="0"/>
      <w:divBdr>
        <w:top w:val="none" w:sz="0" w:space="0" w:color="auto"/>
        <w:left w:val="none" w:sz="0" w:space="0" w:color="auto"/>
        <w:bottom w:val="none" w:sz="0" w:space="0" w:color="auto"/>
        <w:right w:val="none" w:sz="0" w:space="0" w:color="auto"/>
      </w:divBdr>
    </w:div>
    <w:div w:id="266618758">
      <w:bodyDiv w:val="1"/>
      <w:marLeft w:val="0"/>
      <w:marRight w:val="0"/>
      <w:marTop w:val="0"/>
      <w:marBottom w:val="0"/>
      <w:divBdr>
        <w:top w:val="none" w:sz="0" w:space="0" w:color="auto"/>
        <w:left w:val="none" w:sz="0" w:space="0" w:color="auto"/>
        <w:bottom w:val="none" w:sz="0" w:space="0" w:color="auto"/>
        <w:right w:val="none" w:sz="0" w:space="0" w:color="auto"/>
      </w:divBdr>
    </w:div>
    <w:div w:id="271980141">
      <w:bodyDiv w:val="1"/>
      <w:marLeft w:val="0"/>
      <w:marRight w:val="0"/>
      <w:marTop w:val="0"/>
      <w:marBottom w:val="0"/>
      <w:divBdr>
        <w:top w:val="none" w:sz="0" w:space="0" w:color="auto"/>
        <w:left w:val="none" w:sz="0" w:space="0" w:color="auto"/>
        <w:bottom w:val="none" w:sz="0" w:space="0" w:color="auto"/>
        <w:right w:val="none" w:sz="0" w:space="0" w:color="auto"/>
      </w:divBdr>
    </w:div>
    <w:div w:id="274681859">
      <w:bodyDiv w:val="1"/>
      <w:marLeft w:val="0"/>
      <w:marRight w:val="0"/>
      <w:marTop w:val="0"/>
      <w:marBottom w:val="0"/>
      <w:divBdr>
        <w:top w:val="none" w:sz="0" w:space="0" w:color="auto"/>
        <w:left w:val="none" w:sz="0" w:space="0" w:color="auto"/>
        <w:bottom w:val="none" w:sz="0" w:space="0" w:color="auto"/>
        <w:right w:val="none" w:sz="0" w:space="0" w:color="auto"/>
      </w:divBdr>
    </w:div>
    <w:div w:id="278757168">
      <w:bodyDiv w:val="1"/>
      <w:marLeft w:val="0"/>
      <w:marRight w:val="0"/>
      <w:marTop w:val="0"/>
      <w:marBottom w:val="0"/>
      <w:divBdr>
        <w:top w:val="none" w:sz="0" w:space="0" w:color="auto"/>
        <w:left w:val="none" w:sz="0" w:space="0" w:color="auto"/>
        <w:bottom w:val="none" w:sz="0" w:space="0" w:color="auto"/>
        <w:right w:val="none" w:sz="0" w:space="0" w:color="auto"/>
      </w:divBdr>
    </w:div>
    <w:div w:id="282661961">
      <w:bodyDiv w:val="1"/>
      <w:marLeft w:val="0"/>
      <w:marRight w:val="0"/>
      <w:marTop w:val="0"/>
      <w:marBottom w:val="0"/>
      <w:divBdr>
        <w:top w:val="none" w:sz="0" w:space="0" w:color="auto"/>
        <w:left w:val="none" w:sz="0" w:space="0" w:color="auto"/>
        <w:bottom w:val="none" w:sz="0" w:space="0" w:color="auto"/>
        <w:right w:val="none" w:sz="0" w:space="0" w:color="auto"/>
      </w:divBdr>
    </w:div>
    <w:div w:id="283578331">
      <w:bodyDiv w:val="1"/>
      <w:marLeft w:val="0"/>
      <w:marRight w:val="0"/>
      <w:marTop w:val="0"/>
      <w:marBottom w:val="0"/>
      <w:divBdr>
        <w:top w:val="none" w:sz="0" w:space="0" w:color="auto"/>
        <w:left w:val="none" w:sz="0" w:space="0" w:color="auto"/>
        <w:bottom w:val="none" w:sz="0" w:space="0" w:color="auto"/>
        <w:right w:val="none" w:sz="0" w:space="0" w:color="auto"/>
      </w:divBdr>
    </w:div>
    <w:div w:id="284044050">
      <w:bodyDiv w:val="1"/>
      <w:marLeft w:val="0"/>
      <w:marRight w:val="0"/>
      <w:marTop w:val="0"/>
      <w:marBottom w:val="0"/>
      <w:divBdr>
        <w:top w:val="none" w:sz="0" w:space="0" w:color="auto"/>
        <w:left w:val="none" w:sz="0" w:space="0" w:color="auto"/>
        <w:bottom w:val="none" w:sz="0" w:space="0" w:color="auto"/>
        <w:right w:val="none" w:sz="0" w:space="0" w:color="auto"/>
      </w:divBdr>
    </w:div>
    <w:div w:id="287703869">
      <w:bodyDiv w:val="1"/>
      <w:marLeft w:val="0"/>
      <w:marRight w:val="0"/>
      <w:marTop w:val="0"/>
      <w:marBottom w:val="0"/>
      <w:divBdr>
        <w:top w:val="none" w:sz="0" w:space="0" w:color="auto"/>
        <w:left w:val="none" w:sz="0" w:space="0" w:color="auto"/>
        <w:bottom w:val="none" w:sz="0" w:space="0" w:color="auto"/>
        <w:right w:val="none" w:sz="0" w:space="0" w:color="auto"/>
      </w:divBdr>
    </w:div>
    <w:div w:id="288973641">
      <w:bodyDiv w:val="1"/>
      <w:marLeft w:val="0"/>
      <w:marRight w:val="0"/>
      <w:marTop w:val="0"/>
      <w:marBottom w:val="0"/>
      <w:divBdr>
        <w:top w:val="none" w:sz="0" w:space="0" w:color="auto"/>
        <w:left w:val="none" w:sz="0" w:space="0" w:color="auto"/>
        <w:bottom w:val="none" w:sz="0" w:space="0" w:color="auto"/>
        <w:right w:val="none" w:sz="0" w:space="0" w:color="auto"/>
      </w:divBdr>
    </w:div>
    <w:div w:id="289629793">
      <w:bodyDiv w:val="1"/>
      <w:marLeft w:val="0"/>
      <w:marRight w:val="0"/>
      <w:marTop w:val="0"/>
      <w:marBottom w:val="0"/>
      <w:divBdr>
        <w:top w:val="none" w:sz="0" w:space="0" w:color="auto"/>
        <w:left w:val="none" w:sz="0" w:space="0" w:color="auto"/>
        <w:bottom w:val="none" w:sz="0" w:space="0" w:color="auto"/>
        <w:right w:val="none" w:sz="0" w:space="0" w:color="auto"/>
      </w:divBdr>
      <w:divsChild>
        <w:div w:id="969170244">
          <w:marLeft w:val="0"/>
          <w:marRight w:val="0"/>
          <w:marTop w:val="0"/>
          <w:marBottom w:val="0"/>
          <w:divBdr>
            <w:top w:val="none" w:sz="0" w:space="0" w:color="auto"/>
            <w:left w:val="none" w:sz="0" w:space="0" w:color="auto"/>
            <w:bottom w:val="none" w:sz="0" w:space="0" w:color="auto"/>
            <w:right w:val="none" w:sz="0" w:space="0" w:color="auto"/>
          </w:divBdr>
        </w:div>
        <w:div w:id="1121610744">
          <w:marLeft w:val="0"/>
          <w:marRight w:val="0"/>
          <w:marTop w:val="0"/>
          <w:marBottom w:val="0"/>
          <w:divBdr>
            <w:top w:val="none" w:sz="0" w:space="0" w:color="auto"/>
            <w:left w:val="none" w:sz="0" w:space="0" w:color="auto"/>
            <w:bottom w:val="none" w:sz="0" w:space="0" w:color="auto"/>
            <w:right w:val="none" w:sz="0" w:space="0" w:color="auto"/>
          </w:divBdr>
        </w:div>
        <w:div w:id="1479030387">
          <w:marLeft w:val="0"/>
          <w:marRight w:val="0"/>
          <w:marTop w:val="0"/>
          <w:marBottom w:val="0"/>
          <w:divBdr>
            <w:top w:val="none" w:sz="0" w:space="0" w:color="auto"/>
            <w:left w:val="none" w:sz="0" w:space="0" w:color="auto"/>
            <w:bottom w:val="none" w:sz="0" w:space="0" w:color="auto"/>
            <w:right w:val="none" w:sz="0" w:space="0" w:color="auto"/>
          </w:divBdr>
        </w:div>
        <w:div w:id="1881163479">
          <w:marLeft w:val="0"/>
          <w:marRight w:val="0"/>
          <w:marTop w:val="0"/>
          <w:marBottom w:val="0"/>
          <w:divBdr>
            <w:top w:val="none" w:sz="0" w:space="0" w:color="auto"/>
            <w:left w:val="none" w:sz="0" w:space="0" w:color="auto"/>
            <w:bottom w:val="none" w:sz="0" w:space="0" w:color="auto"/>
            <w:right w:val="none" w:sz="0" w:space="0" w:color="auto"/>
          </w:divBdr>
        </w:div>
      </w:divsChild>
    </w:div>
    <w:div w:id="292558560">
      <w:bodyDiv w:val="1"/>
      <w:marLeft w:val="0"/>
      <w:marRight w:val="0"/>
      <w:marTop w:val="0"/>
      <w:marBottom w:val="0"/>
      <w:divBdr>
        <w:top w:val="none" w:sz="0" w:space="0" w:color="auto"/>
        <w:left w:val="none" w:sz="0" w:space="0" w:color="auto"/>
        <w:bottom w:val="none" w:sz="0" w:space="0" w:color="auto"/>
        <w:right w:val="none" w:sz="0" w:space="0" w:color="auto"/>
      </w:divBdr>
      <w:divsChild>
        <w:div w:id="1014504050">
          <w:marLeft w:val="0"/>
          <w:marRight w:val="0"/>
          <w:marTop w:val="15"/>
          <w:marBottom w:val="0"/>
          <w:divBdr>
            <w:top w:val="none" w:sz="0" w:space="0" w:color="auto"/>
            <w:left w:val="none" w:sz="0" w:space="0" w:color="auto"/>
            <w:bottom w:val="none" w:sz="0" w:space="0" w:color="auto"/>
            <w:right w:val="none" w:sz="0" w:space="0" w:color="auto"/>
          </w:divBdr>
          <w:divsChild>
            <w:div w:id="832337499">
              <w:marLeft w:val="0"/>
              <w:marRight w:val="0"/>
              <w:marTop w:val="0"/>
              <w:marBottom w:val="0"/>
              <w:divBdr>
                <w:top w:val="none" w:sz="0" w:space="0" w:color="auto"/>
                <w:left w:val="none" w:sz="0" w:space="0" w:color="auto"/>
                <w:bottom w:val="none" w:sz="0" w:space="0" w:color="auto"/>
                <w:right w:val="none" w:sz="0" w:space="0" w:color="auto"/>
              </w:divBdr>
              <w:divsChild>
                <w:div w:id="142934389">
                  <w:marLeft w:val="0"/>
                  <w:marRight w:val="0"/>
                  <w:marTop w:val="0"/>
                  <w:marBottom w:val="0"/>
                  <w:divBdr>
                    <w:top w:val="none" w:sz="0" w:space="0" w:color="auto"/>
                    <w:left w:val="none" w:sz="0" w:space="0" w:color="auto"/>
                    <w:bottom w:val="none" w:sz="0" w:space="0" w:color="auto"/>
                    <w:right w:val="none" w:sz="0" w:space="0" w:color="auto"/>
                  </w:divBdr>
                </w:div>
                <w:div w:id="875774261">
                  <w:marLeft w:val="0"/>
                  <w:marRight w:val="0"/>
                  <w:marTop w:val="0"/>
                  <w:marBottom w:val="0"/>
                  <w:divBdr>
                    <w:top w:val="none" w:sz="0" w:space="0" w:color="auto"/>
                    <w:left w:val="none" w:sz="0" w:space="0" w:color="auto"/>
                    <w:bottom w:val="none" w:sz="0" w:space="0" w:color="auto"/>
                    <w:right w:val="none" w:sz="0" w:space="0" w:color="auto"/>
                  </w:divBdr>
                </w:div>
                <w:div w:id="1232228302">
                  <w:marLeft w:val="0"/>
                  <w:marRight w:val="0"/>
                  <w:marTop w:val="0"/>
                  <w:marBottom w:val="0"/>
                  <w:divBdr>
                    <w:top w:val="none" w:sz="0" w:space="0" w:color="auto"/>
                    <w:left w:val="none" w:sz="0" w:space="0" w:color="auto"/>
                    <w:bottom w:val="none" w:sz="0" w:space="0" w:color="auto"/>
                    <w:right w:val="none" w:sz="0" w:space="0" w:color="auto"/>
                  </w:divBdr>
                </w:div>
                <w:div w:id="1651442000">
                  <w:marLeft w:val="0"/>
                  <w:marRight w:val="0"/>
                  <w:marTop w:val="0"/>
                  <w:marBottom w:val="0"/>
                  <w:divBdr>
                    <w:top w:val="none" w:sz="0" w:space="0" w:color="auto"/>
                    <w:left w:val="none" w:sz="0" w:space="0" w:color="auto"/>
                    <w:bottom w:val="none" w:sz="0" w:space="0" w:color="auto"/>
                    <w:right w:val="none" w:sz="0" w:space="0" w:color="auto"/>
                  </w:divBdr>
                </w:div>
                <w:div w:id="196538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604049">
          <w:marLeft w:val="0"/>
          <w:marRight w:val="0"/>
          <w:marTop w:val="15"/>
          <w:marBottom w:val="0"/>
          <w:divBdr>
            <w:top w:val="none" w:sz="0" w:space="0" w:color="auto"/>
            <w:left w:val="none" w:sz="0" w:space="0" w:color="auto"/>
            <w:bottom w:val="none" w:sz="0" w:space="0" w:color="auto"/>
            <w:right w:val="none" w:sz="0" w:space="0" w:color="auto"/>
          </w:divBdr>
          <w:divsChild>
            <w:div w:id="2140368810">
              <w:marLeft w:val="0"/>
              <w:marRight w:val="0"/>
              <w:marTop w:val="0"/>
              <w:marBottom w:val="0"/>
              <w:divBdr>
                <w:top w:val="none" w:sz="0" w:space="0" w:color="auto"/>
                <w:left w:val="none" w:sz="0" w:space="0" w:color="auto"/>
                <w:bottom w:val="none" w:sz="0" w:space="0" w:color="auto"/>
                <w:right w:val="none" w:sz="0" w:space="0" w:color="auto"/>
              </w:divBdr>
              <w:divsChild>
                <w:div w:id="22907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4551">
      <w:bodyDiv w:val="1"/>
      <w:marLeft w:val="0"/>
      <w:marRight w:val="0"/>
      <w:marTop w:val="0"/>
      <w:marBottom w:val="0"/>
      <w:divBdr>
        <w:top w:val="none" w:sz="0" w:space="0" w:color="auto"/>
        <w:left w:val="none" w:sz="0" w:space="0" w:color="auto"/>
        <w:bottom w:val="none" w:sz="0" w:space="0" w:color="auto"/>
        <w:right w:val="none" w:sz="0" w:space="0" w:color="auto"/>
      </w:divBdr>
      <w:divsChild>
        <w:div w:id="1660690898">
          <w:marLeft w:val="0"/>
          <w:marRight w:val="0"/>
          <w:marTop w:val="0"/>
          <w:marBottom w:val="0"/>
          <w:divBdr>
            <w:top w:val="none" w:sz="0" w:space="0" w:color="auto"/>
            <w:left w:val="none" w:sz="0" w:space="0" w:color="auto"/>
            <w:bottom w:val="none" w:sz="0" w:space="0" w:color="auto"/>
            <w:right w:val="none" w:sz="0" w:space="0" w:color="auto"/>
          </w:divBdr>
        </w:div>
      </w:divsChild>
    </w:div>
    <w:div w:id="297027667">
      <w:bodyDiv w:val="1"/>
      <w:marLeft w:val="0"/>
      <w:marRight w:val="0"/>
      <w:marTop w:val="0"/>
      <w:marBottom w:val="0"/>
      <w:divBdr>
        <w:top w:val="none" w:sz="0" w:space="0" w:color="auto"/>
        <w:left w:val="none" w:sz="0" w:space="0" w:color="auto"/>
        <w:bottom w:val="none" w:sz="0" w:space="0" w:color="auto"/>
        <w:right w:val="none" w:sz="0" w:space="0" w:color="auto"/>
      </w:divBdr>
    </w:div>
    <w:div w:id="298387686">
      <w:bodyDiv w:val="1"/>
      <w:marLeft w:val="0"/>
      <w:marRight w:val="0"/>
      <w:marTop w:val="0"/>
      <w:marBottom w:val="0"/>
      <w:divBdr>
        <w:top w:val="none" w:sz="0" w:space="0" w:color="auto"/>
        <w:left w:val="none" w:sz="0" w:space="0" w:color="auto"/>
        <w:bottom w:val="none" w:sz="0" w:space="0" w:color="auto"/>
        <w:right w:val="none" w:sz="0" w:space="0" w:color="auto"/>
      </w:divBdr>
    </w:div>
    <w:div w:id="304435309">
      <w:bodyDiv w:val="1"/>
      <w:marLeft w:val="0"/>
      <w:marRight w:val="0"/>
      <w:marTop w:val="0"/>
      <w:marBottom w:val="0"/>
      <w:divBdr>
        <w:top w:val="none" w:sz="0" w:space="0" w:color="auto"/>
        <w:left w:val="none" w:sz="0" w:space="0" w:color="auto"/>
        <w:bottom w:val="none" w:sz="0" w:space="0" w:color="auto"/>
        <w:right w:val="none" w:sz="0" w:space="0" w:color="auto"/>
      </w:divBdr>
    </w:div>
    <w:div w:id="305667258">
      <w:bodyDiv w:val="1"/>
      <w:marLeft w:val="0"/>
      <w:marRight w:val="0"/>
      <w:marTop w:val="0"/>
      <w:marBottom w:val="0"/>
      <w:divBdr>
        <w:top w:val="none" w:sz="0" w:space="0" w:color="auto"/>
        <w:left w:val="none" w:sz="0" w:space="0" w:color="auto"/>
        <w:bottom w:val="none" w:sz="0" w:space="0" w:color="auto"/>
        <w:right w:val="none" w:sz="0" w:space="0" w:color="auto"/>
      </w:divBdr>
    </w:div>
    <w:div w:id="307367007">
      <w:bodyDiv w:val="1"/>
      <w:marLeft w:val="0"/>
      <w:marRight w:val="0"/>
      <w:marTop w:val="0"/>
      <w:marBottom w:val="0"/>
      <w:divBdr>
        <w:top w:val="none" w:sz="0" w:space="0" w:color="auto"/>
        <w:left w:val="none" w:sz="0" w:space="0" w:color="auto"/>
        <w:bottom w:val="none" w:sz="0" w:space="0" w:color="auto"/>
        <w:right w:val="none" w:sz="0" w:space="0" w:color="auto"/>
      </w:divBdr>
    </w:div>
    <w:div w:id="308021102">
      <w:bodyDiv w:val="1"/>
      <w:marLeft w:val="0"/>
      <w:marRight w:val="0"/>
      <w:marTop w:val="0"/>
      <w:marBottom w:val="0"/>
      <w:divBdr>
        <w:top w:val="none" w:sz="0" w:space="0" w:color="auto"/>
        <w:left w:val="none" w:sz="0" w:space="0" w:color="auto"/>
        <w:bottom w:val="none" w:sz="0" w:space="0" w:color="auto"/>
        <w:right w:val="none" w:sz="0" w:space="0" w:color="auto"/>
      </w:divBdr>
    </w:div>
    <w:div w:id="311370911">
      <w:bodyDiv w:val="1"/>
      <w:marLeft w:val="0"/>
      <w:marRight w:val="0"/>
      <w:marTop w:val="0"/>
      <w:marBottom w:val="0"/>
      <w:divBdr>
        <w:top w:val="none" w:sz="0" w:space="0" w:color="auto"/>
        <w:left w:val="none" w:sz="0" w:space="0" w:color="auto"/>
        <w:bottom w:val="none" w:sz="0" w:space="0" w:color="auto"/>
        <w:right w:val="none" w:sz="0" w:space="0" w:color="auto"/>
      </w:divBdr>
    </w:div>
    <w:div w:id="313142992">
      <w:bodyDiv w:val="1"/>
      <w:marLeft w:val="0"/>
      <w:marRight w:val="0"/>
      <w:marTop w:val="0"/>
      <w:marBottom w:val="0"/>
      <w:divBdr>
        <w:top w:val="none" w:sz="0" w:space="0" w:color="auto"/>
        <w:left w:val="none" w:sz="0" w:space="0" w:color="auto"/>
        <w:bottom w:val="none" w:sz="0" w:space="0" w:color="auto"/>
        <w:right w:val="none" w:sz="0" w:space="0" w:color="auto"/>
      </w:divBdr>
    </w:div>
    <w:div w:id="314146592">
      <w:bodyDiv w:val="1"/>
      <w:marLeft w:val="0"/>
      <w:marRight w:val="0"/>
      <w:marTop w:val="0"/>
      <w:marBottom w:val="0"/>
      <w:divBdr>
        <w:top w:val="none" w:sz="0" w:space="0" w:color="auto"/>
        <w:left w:val="none" w:sz="0" w:space="0" w:color="auto"/>
        <w:bottom w:val="none" w:sz="0" w:space="0" w:color="auto"/>
        <w:right w:val="none" w:sz="0" w:space="0" w:color="auto"/>
      </w:divBdr>
    </w:div>
    <w:div w:id="314839537">
      <w:bodyDiv w:val="1"/>
      <w:marLeft w:val="0"/>
      <w:marRight w:val="0"/>
      <w:marTop w:val="0"/>
      <w:marBottom w:val="0"/>
      <w:divBdr>
        <w:top w:val="none" w:sz="0" w:space="0" w:color="auto"/>
        <w:left w:val="none" w:sz="0" w:space="0" w:color="auto"/>
        <w:bottom w:val="none" w:sz="0" w:space="0" w:color="auto"/>
        <w:right w:val="none" w:sz="0" w:space="0" w:color="auto"/>
      </w:divBdr>
    </w:div>
    <w:div w:id="315107679">
      <w:bodyDiv w:val="1"/>
      <w:marLeft w:val="0"/>
      <w:marRight w:val="0"/>
      <w:marTop w:val="0"/>
      <w:marBottom w:val="0"/>
      <w:divBdr>
        <w:top w:val="none" w:sz="0" w:space="0" w:color="auto"/>
        <w:left w:val="none" w:sz="0" w:space="0" w:color="auto"/>
        <w:bottom w:val="none" w:sz="0" w:space="0" w:color="auto"/>
        <w:right w:val="none" w:sz="0" w:space="0" w:color="auto"/>
      </w:divBdr>
    </w:div>
    <w:div w:id="317464358">
      <w:bodyDiv w:val="1"/>
      <w:marLeft w:val="0"/>
      <w:marRight w:val="0"/>
      <w:marTop w:val="0"/>
      <w:marBottom w:val="0"/>
      <w:divBdr>
        <w:top w:val="none" w:sz="0" w:space="0" w:color="auto"/>
        <w:left w:val="none" w:sz="0" w:space="0" w:color="auto"/>
        <w:bottom w:val="none" w:sz="0" w:space="0" w:color="auto"/>
        <w:right w:val="none" w:sz="0" w:space="0" w:color="auto"/>
      </w:divBdr>
    </w:div>
    <w:div w:id="319818080">
      <w:bodyDiv w:val="1"/>
      <w:marLeft w:val="0"/>
      <w:marRight w:val="0"/>
      <w:marTop w:val="0"/>
      <w:marBottom w:val="0"/>
      <w:divBdr>
        <w:top w:val="none" w:sz="0" w:space="0" w:color="auto"/>
        <w:left w:val="none" w:sz="0" w:space="0" w:color="auto"/>
        <w:bottom w:val="none" w:sz="0" w:space="0" w:color="auto"/>
        <w:right w:val="none" w:sz="0" w:space="0" w:color="auto"/>
      </w:divBdr>
    </w:div>
    <w:div w:id="319845794">
      <w:bodyDiv w:val="1"/>
      <w:marLeft w:val="0"/>
      <w:marRight w:val="0"/>
      <w:marTop w:val="0"/>
      <w:marBottom w:val="0"/>
      <w:divBdr>
        <w:top w:val="none" w:sz="0" w:space="0" w:color="auto"/>
        <w:left w:val="none" w:sz="0" w:space="0" w:color="auto"/>
        <w:bottom w:val="none" w:sz="0" w:space="0" w:color="auto"/>
        <w:right w:val="none" w:sz="0" w:space="0" w:color="auto"/>
      </w:divBdr>
    </w:div>
    <w:div w:id="321545706">
      <w:bodyDiv w:val="1"/>
      <w:marLeft w:val="0"/>
      <w:marRight w:val="0"/>
      <w:marTop w:val="0"/>
      <w:marBottom w:val="0"/>
      <w:divBdr>
        <w:top w:val="none" w:sz="0" w:space="0" w:color="auto"/>
        <w:left w:val="none" w:sz="0" w:space="0" w:color="auto"/>
        <w:bottom w:val="none" w:sz="0" w:space="0" w:color="auto"/>
        <w:right w:val="none" w:sz="0" w:space="0" w:color="auto"/>
      </w:divBdr>
    </w:div>
    <w:div w:id="324482857">
      <w:bodyDiv w:val="1"/>
      <w:marLeft w:val="0"/>
      <w:marRight w:val="0"/>
      <w:marTop w:val="0"/>
      <w:marBottom w:val="0"/>
      <w:divBdr>
        <w:top w:val="none" w:sz="0" w:space="0" w:color="auto"/>
        <w:left w:val="none" w:sz="0" w:space="0" w:color="auto"/>
        <w:bottom w:val="none" w:sz="0" w:space="0" w:color="auto"/>
        <w:right w:val="none" w:sz="0" w:space="0" w:color="auto"/>
      </w:divBdr>
    </w:div>
    <w:div w:id="328218394">
      <w:bodyDiv w:val="1"/>
      <w:marLeft w:val="0"/>
      <w:marRight w:val="0"/>
      <w:marTop w:val="0"/>
      <w:marBottom w:val="0"/>
      <w:divBdr>
        <w:top w:val="none" w:sz="0" w:space="0" w:color="auto"/>
        <w:left w:val="none" w:sz="0" w:space="0" w:color="auto"/>
        <w:bottom w:val="none" w:sz="0" w:space="0" w:color="auto"/>
        <w:right w:val="none" w:sz="0" w:space="0" w:color="auto"/>
      </w:divBdr>
    </w:div>
    <w:div w:id="330375759">
      <w:bodyDiv w:val="1"/>
      <w:marLeft w:val="0"/>
      <w:marRight w:val="0"/>
      <w:marTop w:val="0"/>
      <w:marBottom w:val="0"/>
      <w:divBdr>
        <w:top w:val="none" w:sz="0" w:space="0" w:color="auto"/>
        <w:left w:val="none" w:sz="0" w:space="0" w:color="auto"/>
        <w:bottom w:val="none" w:sz="0" w:space="0" w:color="auto"/>
        <w:right w:val="none" w:sz="0" w:space="0" w:color="auto"/>
      </w:divBdr>
    </w:div>
    <w:div w:id="332924186">
      <w:bodyDiv w:val="1"/>
      <w:marLeft w:val="0"/>
      <w:marRight w:val="0"/>
      <w:marTop w:val="0"/>
      <w:marBottom w:val="0"/>
      <w:divBdr>
        <w:top w:val="none" w:sz="0" w:space="0" w:color="auto"/>
        <w:left w:val="none" w:sz="0" w:space="0" w:color="auto"/>
        <w:bottom w:val="none" w:sz="0" w:space="0" w:color="auto"/>
        <w:right w:val="none" w:sz="0" w:space="0" w:color="auto"/>
      </w:divBdr>
    </w:div>
    <w:div w:id="335108927">
      <w:bodyDiv w:val="1"/>
      <w:marLeft w:val="0"/>
      <w:marRight w:val="0"/>
      <w:marTop w:val="0"/>
      <w:marBottom w:val="0"/>
      <w:divBdr>
        <w:top w:val="none" w:sz="0" w:space="0" w:color="auto"/>
        <w:left w:val="none" w:sz="0" w:space="0" w:color="auto"/>
        <w:bottom w:val="none" w:sz="0" w:space="0" w:color="auto"/>
        <w:right w:val="none" w:sz="0" w:space="0" w:color="auto"/>
      </w:divBdr>
    </w:div>
    <w:div w:id="337080708">
      <w:bodyDiv w:val="1"/>
      <w:marLeft w:val="0"/>
      <w:marRight w:val="0"/>
      <w:marTop w:val="0"/>
      <w:marBottom w:val="0"/>
      <w:divBdr>
        <w:top w:val="none" w:sz="0" w:space="0" w:color="auto"/>
        <w:left w:val="none" w:sz="0" w:space="0" w:color="auto"/>
        <w:bottom w:val="none" w:sz="0" w:space="0" w:color="auto"/>
        <w:right w:val="none" w:sz="0" w:space="0" w:color="auto"/>
      </w:divBdr>
    </w:div>
    <w:div w:id="337149874">
      <w:bodyDiv w:val="1"/>
      <w:marLeft w:val="0"/>
      <w:marRight w:val="0"/>
      <w:marTop w:val="0"/>
      <w:marBottom w:val="0"/>
      <w:divBdr>
        <w:top w:val="none" w:sz="0" w:space="0" w:color="auto"/>
        <w:left w:val="none" w:sz="0" w:space="0" w:color="auto"/>
        <w:bottom w:val="none" w:sz="0" w:space="0" w:color="auto"/>
        <w:right w:val="none" w:sz="0" w:space="0" w:color="auto"/>
      </w:divBdr>
    </w:div>
    <w:div w:id="340667333">
      <w:bodyDiv w:val="1"/>
      <w:marLeft w:val="0"/>
      <w:marRight w:val="0"/>
      <w:marTop w:val="0"/>
      <w:marBottom w:val="0"/>
      <w:divBdr>
        <w:top w:val="none" w:sz="0" w:space="0" w:color="auto"/>
        <w:left w:val="none" w:sz="0" w:space="0" w:color="auto"/>
        <w:bottom w:val="none" w:sz="0" w:space="0" w:color="auto"/>
        <w:right w:val="none" w:sz="0" w:space="0" w:color="auto"/>
      </w:divBdr>
      <w:divsChild>
        <w:div w:id="1327128897">
          <w:marLeft w:val="0"/>
          <w:marRight w:val="0"/>
          <w:marTop w:val="0"/>
          <w:marBottom w:val="0"/>
          <w:divBdr>
            <w:top w:val="none" w:sz="0" w:space="0" w:color="auto"/>
            <w:left w:val="none" w:sz="0" w:space="0" w:color="auto"/>
            <w:bottom w:val="none" w:sz="0" w:space="0" w:color="auto"/>
            <w:right w:val="none" w:sz="0" w:space="0" w:color="auto"/>
          </w:divBdr>
          <w:divsChild>
            <w:div w:id="1847743689">
              <w:marLeft w:val="0"/>
              <w:marRight w:val="0"/>
              <w:marTop w:val="0"/>
              <w:marBottom w:val="0"/>
              <w:divBdr>
                <w:top w:val="none" w:sz="0" w:space="0" w:color="auto"/>
                <w:left w:val="none" w:sz="0" w:space="0" w:color="auto"/>
                <w:bottom w:val="none" w:sz="0" w:space="0" w:color="auto"/>
                <w:right w:val="none" w:sz="0" w:space="0" w:color="auto"/>
              </w:divBdr>
              <w:divsChild>
                <w:div w:id="789977494">
                  <w:marLeft w:val="0"/>
                  <w:marRight w:val="0"/>
                  <w:marTop w:val="15"/>
                  <w:marBottom w:val="0"/>
                  <w:divBdr>
                    <w:top w:val="none" w:sz="0" w:space="0" w:color="auto"/>
                    <w:left w:val="none" w:sz="0" w:space="0" w:color="auto"/>
                    <w:bottom w:val="none" w:sz="0" w:space="0" w:color="auto"/>
                    <w:right w:val="none" w:sz="0" w:space="0" w:color="auto"/>
                  </w:divBdr>
                  <w:divsChild>
                    <w:div w:id="677730455">
                      <w:marLeft w:val="0"/>
                      <w:marRight w:val="0"/>
                      <w:marTop w:val="0"/>
                      <w:marBottom w:val="0"/>
                      <w:divBdr>
                        <w:top w:val="none" w:sz="0" w:space="0" w:color="auto"/>
                        <w:left w:val="none" w:sz="0" w:space="0" w:color="auto"/>
                        <w:bottom w:val="none" w:sz="0" w:space="0" w:color="auto"/>
                        <w:right w:val="none" w:sz="0" w:space="0" w:color="auto"/>
                      </w:divBdr>
                      <w:divsChild>
                        <w:div w:id="2435366">
                          <w:marLeft w:val="0"/>
                          <w:marRight w:val="0"/>
                          <w:marTop w:val="0"/>
                          <w:marBottom w:val="0"/>
                          <w:divBdr>
                            <w:top w:val="none" w:sz="0" w:space="0" w:color="auto"/>
                            <w:left w:val="none" w:sz="0" w:space="0" w:color="auto"/>
                            <w:bottom w:val="none" w:sz="0" w:space="0" w:color="auto"/>
                            <w:right w:val="none" w:sz="0" w:space="0" w:color="auto"/>
                          </w:divBdr>
                        </w:div>
                        <w:div w:id="105347691">
                          <w:marLeft w:val="0"/>
                          <w:marRight w:val="0"/>
                          <w:marTop w:val="0"/>
                          <w:marBottom w:val="0"/>
                          <w:divBdr>
                            <w:top w:val="none" w:sz="0" w:space="0" w:color="auto"/>
                            <w:left w:val="none" w:sz="0" w:space="0" w:color="auto"/>
                            <w:bottom w:val="none" w:sz="0" w:space="0" w:color="auto"/>
                            <w:right w:val="none" w:sz="0" w:space="0" w:color="auto"/>
                          </w:divBdr>
                        </w:div>
                        <w:div w:id="185950991">
                          <w:marLeft w:val="0"/>
                          <w:marRight w:val="0"/>
                          <w:marTop w:val="0"/>
                          <w:marBottom w:val="0"/>
                          <w:divBdr>
                            <w:top w:val="none" w:sz="0" w:space="0" w:color="auto"/>
                            <w:left w:val="none" w:sz="0" w:space="0" w:color="auto"/>
                            <w:bottom w:val="none" w:sz="0" w:space="0" w:color="auto"/>
                            <w:right w:val="none" w:sz="0" w:space="0" w:color="auto"/>
                          </w:divBdr>
                        </w:div>
                        <w:div w:id="196351939">
                          <w:marLeft w:val="0"/>
                          <w:marRight w:val="0"/>
                          <w:marTop w:val="0"/>
                          <w:marBottom w:val="0"/>
                          <w:divBdr>
                            <w:top w:val="none" w:sz="0" w:space="0" w:color="auto"/>
                            <w:left w:val="none" w:sz="0" w:space="0" w:color="auto"/>
                            <w:bottom w:val="none" w:sz="0" w:space="0" w:color="auto"/>
                            <w:right w:val="none" w:sz="0" w:space="0" w:color="auto"/>
                          </w:divBdr>
                        </w:div>
                        <w:div w:id="209922112">
                          <w:marLeft w:val="0"/>
                          <w:marRight w:val="0"/>
                          <w:marTop w:val="0"/>
                          <w:marBottom w:val="0"/>
                          <w:divBdr>
                            <w:top w:val="none" w:sz="0" w:space="0" w:color="auto"/>
                            <w:left w:val="none" w:sz="0" w:space="0" w:color="auto"/>
                            <w:bottom w:val="none" w:sz="0" w:space="0" w:color="auto"/>
                            <w:right w:val="none" w:sz="0" w:space="0" w:color="auto"/>
                          </w:divBdr>
                        </w:div>
                        <w:div w:id="247347765">
                          <w:marLeft w:val="0"/>
                          <w:marRight w:val="0"/>
                          <w:marTop w:val="0"/>
                          <w:marBottom w:val="0"/>
                          <w:divBdr>
                            <w:top w:val="none" w:sz="0" w:space="0" w:color="auto"/>
                            <w:left w:val="none" w:sz="0" w:space="0" w:color="auto"/>
                            <w:bottom w:val="none" w:sz="0" w:space="0" w:color="auto"/>
                            <w:right w:val="none" w:sz="0" w:space="0" w:color="auto"/>
                          </w:divBdr>
                        </w:div>
                        <w:div w:id="266281776">
                          <w:marLeft w:val="0"/>
                          <w:marRight w:val="0"/>
                          <w:marTop w:val="0"/>
                          <w:marBottom w:val="0"/>
                          <w:divBdr>
                            <w:top w:val="none" w:sz="0" w:space="0" w:color="auto"/>
                            <w:left w:val="none" w:sz="0" w:space="0" w:color="auto"/>
                            <w:bottom w:val="none" w:sz="0" w:space="0" w:color="auto"/>
                            <w:right w:val="none" w:sz="0" w:space="0" w:color="auto"/>
                          </w:divBdr>
                        </w:div>
                        <w:div w:id="274404334">
                          <w:marLeft w:val="0"/>
                          <w:marRight w:val="0"/>
                          <w:marTop w:val="0"/>
                          <w:marBottom w:val="0"/>
                          <w:divBdr>
                            <w:top w:val="none" w:sz="0" w:space="0" w:color="auto"/>
                            <w:left w:val="none" w:sz="0" w:space="0" w:color="auto"/>
                            <w:bottom w:val="none" w:sz="0" w:space="0" w:color="auto"/>
                            <w:right w:val="none" w:sz="0" w:space="0" w:color="auto"/>
                          </w:divBdr>
                        </w:div>
                        <w:div w:id="287703785">
                          <w:marLeft w:val="0"/>
                          <w:marRight w:val="0"/>
                          <w:marTop w:val="0"/>
                          <w:marBottom w:val="0"/>
                          <w:divBdr>
                            <w:top w:val="none" w:sz="0" w:space="0" w:color="auto"/>
                            <w:left w:val="none" w:sz="0" w:space="0" w:color="auto"/>
                            <w:bottom w:val="none" w:sz="0" w:space="0" w:color="auto"/>
                            <w:right w:val="none" w:sz="0" w:space="0" w:color="auto"/>
                          </w:divBdr>
                        </w:div>
                        <w:div w:id="319970994">
                          <w:marLeft w:val="0"/>
                          <w:marRight w:val="0"/>
                          <w:marTop w:val="0"/>
                          <w:marBottom w:val="0"/>
                          <w:divBdr>
                            <w:top w:val="none" w:sz="0" w:space="0" w:color="auto"/>
                            <w:left w:val="none" w:sz="0" w:space="0" w:color="auto"/>
                            <w:bottom w:val="none" w:sz="0" w:space="0" w:color="auto"/>
                            <w:right w:val="none" w:sz="0" w:space="0" w:color="auto"/>
                          </w:divBdr>
                        </w:div>
                        <w:div w:id="343635069">
                          <w:marLeft w:val="0"/>
                          <w:marRight w:val="0"/>
                          <w:marTop w:val="0"/>
                          <w:marBottom w:val="0"/>
                          <w:divBdr>
                            <w:top w:val="none" w:sz="0" w:space="0" w:color="auto"/>
                            <w:left w:val="none" w:sz="0" w:space="0" w:color="auto"/>
                            <w:bottom w:val="none" w:sz="0" w:space="0" w:color="auto"/>
                            <w:right w:val="none" w:sz="0" w:space="0" w:color="auto"/>
                          </w:divBdr>
                        </w:div>
                        <w:div w:id="375619183">
                          <w:marLeft w:val="0"/>
                          <w:marRight w:val="0"/>
                          <w:marTop w:val="0"/>
                          <w:marBottom w:val="0"/>
                          <w:divBdr>
                            <w:top w:val="none" w:sz="0" w:space="0" w:color="auto"/>
                            <w:left w:val="none" w:sz="0" w:space="0" w:color="auto"/>
                            <w:bottom w:val="none" w:sz="0" w:space="0" w:color="auto"/>
                            <w:right w:val="none" w:sz="0" w:space="0" w:color="auto"/>
                          </w:divBdr>
                        </w:div>
                        <w:div w:id="391580719">
                          <w:marLeft w:val="0"/>
                          <w:marRight w:val="0"/>
                          <w:marTop w:val="0"/>
                          <w:marBottom w:val="0"/>
                          <w:divBdr>
                            <w:top w:val="none" w:sz="0" w:space="0" w:color="auto"/>
                            <w:left w:val="none" w:sz="0" w:space="0" w:color="auto"/>
                            <w:bottom w:val="none" w:sz="0" w:space="0" w:color="auto"/>
                            <w:right w:val="none" w:sz="0" w:space="0" w:color="auto"/>
                          </w:divBdr>
                        </w:div>
                        <w:div w:id="423303602">
                          <w:marLeft w:val="0"/>
                          <w:marRight w:val="0"/>
                          <w:marTop w:val="0"/>
                          <w:marBottom w:val="0"/>
                          <w:divBdr>
                            <w:top w:val="none" w:sz="0" w:space="0" w:color="auto"/>
                            <w:left w:val="none" w:sz="0" w:space="0" w:color="auto"/>
                            <w:bottom w:val="none" w:sz="0" w:space="0" w:color="auto"/>
                            <w:right w:val="none" w:sz="0" w:space="0" w:color="auto"/>
                          </w:divBdr>
                        </w:div>
                        <w:div w:id="446697801">
                          <w:marLeft w:val="0"/>
                          <w:marRight w:val="0"/>
                          <w:marTop w:val="0"/>
                          <w:marBottom w:val="0"/>
                          <w:divBdr>
                            <w:top w:val="none" w:sz="0" w:space="0" w:color="auto"/>
                            <w:left w:val="none" w:sz="0" w:space="0" w:color="auto"/>
                            <w:bottom w:val="none" w:sz="0" w:space="0" w:color="auto"/>
                            <w:right w:val="none" w:sz="0" w:space="0" w:color="auto"/>
                          </w:divBdr>
                        </w:div>
                        <w:div w:id="459029928">
                          <w:marLeft w:val="0"/>
                          <w:marRight w:val="0"/>
                          <w:marTop w:val="0"/>
                          <w:marBottom w:val="0"/>
                          <w:divBdr>
                            <w:top w:val="none" w:sz="0" w:space="0" w:color="auto"/>
                            <w:left w:val="none" w:sz="0" w:space="0" w:color="auto"/>
                            <w:bottom w:val="none" w:sz="0" w:space="0" w:color="auto"/>
                            <w:right w:val="none" w:sz="0" w:space="0" w:color="auto"/>
                          </w:divBdr>
                        </w:div>
                        <w:div w:id="470753904">
                          <w:marLeft w:val="0"/>
                          <w:marRight w:val="0"/>
                          <w:marTop w:val="0"/>
                          <w:marBottom w:val="0"/>
                          <w:divBdr>
                            <w:top w:val="none" w:sz="0" w:space="0" w:color="auto"/>
                            <w:left w:val="none" w:sz="0" w:space="0" w:color="auto"/>
                            <w:bottom w:val="none" w:sz="0" w:space="0" w:color="auto"/>
                            <w:right w:val="none" w:sz="0" w:space="0" w:color="auto"/>
                          </w:divBdr>
                        </w:div>
                        <w:div w:id="478377538">
                          <w:marLeft w:val="0"/>
                          <w:marRight w:val="0"/>
                          <w:marTop w:val="0"/>
                          <w:marBottom w:val="0"/>
                          <w:divBdr>
                            <w:top w:val="none" w:sz="0" w:space="0" w:color="auto"/>
                            <w:left w:val="none" w:sz="0" w:space="0" w:color="auto"/>
                            <w:bottom w:val="none" w:sz="0" w:space="0" w:color="auto"/>
                            <w:right w:val="none" w:sz="0" w:space="0" w:color="auto"/>
                          </w:divBdr>
                        </w:div>
                        <w:div w:id="492063570">
                          <w:marLeft w:val="0"/>
                          <w:marRight w:val="0"/>
                          <w:marTop w:val="0"/>
                          <w:marBottom w:val="0"/>
                          <w:divBdr>
                            <w:top w:val="none" w:sz="0" w:space="0" w:color="auto"/>
                            <w:left w:val="none" w:sz="0" w:space="0" w:color="auto"/>
                            <w:bottom w:val="none" w:sz="0" w:space="0" w:color="auto"/>
                            <w:right w:val="none" w:sz="0" w:space="0" w:color="auto"/>
                          </w:divBdr>
                        </w:div>
                        <w:div w:id="587422974">
                          <w:marLeft w:val="0"/>
                          <w:marRight w:val="0"/>
                          <w:marTop w:val="0"/>
                          <w:marBottom w:val="0"/>
                          <w:divBdr>
                            <w:top w:val="none" w:sz="0" w:space="0" w:color="auto"/>
                            <w:left w:val="none" w:sz="0" w:space="0" w:color="auto"/>
                            <w:bottom w:val="none" w:sz="0" w:space="0" w:color="auto"/>
                            <w:right w:val="none" w:sz="0" w:space="0" w:color="auto"/>
                          </w:divBdr>
                        </w:div>
                        <w:div w:id="612447131">
                          <w:marLeft w:val="0"/>
                          <w:marRight w:val="0"/>
                          <w:marTop w:val="0"/>
                          <w:marBottom w:val="0"/>
                          <w:divBdr>
                            <w:top w:val="none" w:sz="0" w:space="0" w:color="auto"/>
                            <w:left w:val="none" w:sz="0" w:space="0" w:color="auto"/>
                            <w:bottom w:val="none" w:sz="0" w:space="0" w:color="auto"/>
                            <w:right w:val="none" w:sz="0" w:space="0" w:color="auto"/>
                          </w:divBdr>
                        </w:div>
                        <w:div w:id="645475772">
                          <w:marLeft w:val="0"/>
                          <w:marRight w:val="0"/>
                          <w:marTop w:val="0"/>
                          <w:marBottom w:val="0"/>
                          <w:divBdr>
                            <w:top w:val="none" w:sz="0" w:space="0" w:color="auto"/>
                            <w:left w:val="none" w:sz="0" w:space="0" w:color="auto"/>
                            <w:bottom w:val="none" w:sz="0" w:space="0" w:color="auto"/>
                            <w:right w:val="none" w:sz="0" w:space="0" w:color="auto"/>
                          </w:divBdr>
                        </w:div>
                        <w:div w:id="706561036">
                          <w:marLeft w:val="0"/>
                          <w:marRight w:val="0"/>
                          <w:marTop w:val="0"/>
                          <w:marBottom w:val="0"/>
                          <w:divBdr>
                            <w:top w:val="none" w:sz="0" w:space="0" w:color="auto"/>
                            <w:left w:val="none" w:sz="0" w:space="0" w:color="auto"/>
                            <w:bottom w:val="none" w:sz="0" w:space="0" w:color="auto"/>
                            <w:right w:val="none" w:sz="0" w:space="0" w:color="auto"/>
                          </w:divBdr>
                        </w:div>
                        <w:div w:id="744496552">
                          <w:marLeft w:val="0"/>
                          <w:marRight w:val="0"/>
                          <w:marTop w:val="0"/>
                          <w:marBottom w:val="0"/>
                          <w:divBdr>
                            <w:top w:val="none" w:sz="0" w:space="0" w:color="auto"/>
                            <w:left w:val="none" w:sz="0" w:space="0" w:color="auto"/>
                            <w:bottom w:val="none" w:sz="0" w:space="0" w:color="auto"/>
                            <w:right w:val="none" w:sz="0" w:space="0" w:color="auto"/>
                          </w:divBdr>
                        </w:div>
                        <w:div w:id="747577598">
                          <w:marLeft w:val="0"/>
                          <w:marRight w:val="0"/>
                          <w:marTop w:val="0"/>
                          <w:marBottom w:val="0"/>
                          <w:divBdr>
                            <w:top w:val="none" w:sz="0" w:space="0" w:color="auto"/>
                            <w:left w:val="none" w:sz="0" w:space="0" w:color="auto"/>
                            <w:bottom w:val="none" w:sz="0" w:space="0" w:color="auto"/>
                            <w:right w:val="none" w:sz="0" w:space="0" w:color="auto"/>
                          </w:divBdr>
                        </w:div>
                        <w:div w:id="790825123">
                          <w:marLeft w:val="0"/>
                          <w:marRight w:val="0"/>
                          <w:marTop w:val="0"/>
                          <w:marBottom w:val="0"/>
                          <w:divBdr>
                            <w:top w:val="none" w:sz="0" w:space="0" w:color="auto"/>
                            <w:left w:val="none" w:sz="0" w:space="0" w:color="auto"/>
                            <w:bottom w:val="none" w:sz="0" w:space="0" w:color="auto"/>
                            <w:right w:val="none" w:sz="0" w:space="0" w:color="auto"/>
                          </w:divBdr>
                        </w:div>
                        <w:div w:id="795299047">
                          <w:marLeft w:val="0"/>
                          <w:marRight w:val="0"/>
                          <w:marTop w:val="0"/>
                          <w:marBottom w:val="0"/>
                          <w:divBdr>
                            <w:top w:val="none" w:sz="0" w:space="0" w:color="auto"/>
                            <w:left w:val="none" w:sz="0" w:space="0" w:color="auto"/>
                            <w:bottom w:val="none" w:sz="0" w:space="0" w:color="auto"/>
                            <w:right w:val="none" w:sz="0" w:space="0" w:color="auto"/>
                          </w:divBdr>
                        </w:div>
                        <w:div w:id="796946775">
                          <w:marLeft w:val="0"/>
                          <w:marRight w:val="0"/>
                          <w:marTop w:val="0"/>
                          <w:marBottom w:val="0"/>
                          <w:divBdr>
                            <w:top w:val="none" w:sz="0" w:space="0" w:color="auto"/>
                            <w:left w:val="none" w:sz="0" w:space="0" w:color="auto"/>
                            <w:bottom w:val="none" w:sz="0" w:space="0" w:color="auto"/>
                            <w:right w:val="none" w:sz="0" w:space="0" w:color="auto"/>
                          </w:divBdr>
                        </w:div>
                        <w:div w:id="797407157">
                          <w:marLeft w:val="0"/>
                          <w:marRight w:val="0"/>
                          <w:marTop w:val="0"/>
                          <w:marBottom w:val="0"/>
                          <w:divBdr>
                            <w:top w:val="none" w:sz="0" w:space="0" w:color="auto"/>
                            <w:left w:val="none" w:sz="0" w:space="0" w:color="auto"/>
                            <w:bottom w:val="none" w:sz="0" w:space="0" w:color="auto"/>
                            <w:right w:val="none" w:sz="0" w:space="0" w:color="auto"/>
                          </w:divBdr>
                        </w:div>
                        <w:div w:id="822238447">
                          <w:marLeft w:val="0"/>
                          <w:marRight w:val="0"/>
                          <w:marTop w:val="0"/>
                          <w:marBottom w:val="0"/>
                          <w:divBdr>
                            <w:top w:val="none" w:sz="0" w:space="0" w:color="auto"/>
                            <w:left w:val="none" w:sz="0" w:space="0" w:color="auto"/>
                            <w:bottom w:val="none" w:sz="0" w:space="0" w:color="auto"/>
                            <w:right w:val="none" w:sz="0" w:space="0" w:color="auto"/>
                          </w:divBdr>
                        </w:div>
                        <w:div w:id="880942717">
                          <w:marLeft w:val="0"/>
                          <w:marRight w:val="0"/>
                          <w:marTop w:val="0"/>
                          <w:marBottom w:val="0"/>
                          <w:divBdr>
                            <w:top w:val="none" w:sz="0" w:space="0" w:color="auto"/>
                            <w:left w:val="none" w:sz="0" w:space="0" w:color="auto"/>
                            <w:bottom w:val="none" w:sz="0" w:space="0" w:color="auto"/>
                            <w:right w:val="none" w:sz="0" w:space="0" w:color="auto"/>
                          </w:divBdr>
                        </w:div>
                        <w:div w:id="886374571">
                          <w:marLeft w:val="0"/>
                          <w:marRight w:val="0"/>
                          <w:marTop w:val="0"/>
                          <w:marBottom w:val="0"/>
                          <w:divBdr>
                            <w:top w:val="none" w:sz="0" w:space="0" w:color="auto"/>
                            <w:left w:val="none" w:sz="0" w:space="0" w:color="auto"/>
                            <w:bottom w:val="none" w:sz="0" w:space="0" w:color="auto"/>
                            <w:right w:val="none" w:sz="0" w:space="0" w:color="auto"/>
                          </w:divBdr>
                        </w:div>
                        <w:div w:id="922105207">
                          <w:marLeft w:val="0"/>
                          <w:marRight w:val="0"/>
                          <w:marTop w:val="0"/>
                          <w:marBottom w:val="0"/>
                          <w:divBdr>
                            <w:top w:val="none" w:sz="0" w:space="0" w:color="auto"/>
                            <w:left w:val="none" w:sz="0" w:space="0" w:color="auto"/>
                            <w:bottom w:val="none" w:sz="0" w:space="0" w:color="auto"/>
                            <w:right w:val="none" w:sz="0" w:space="0" w:color="auto"/>
                          </w:divBdr>
                        </w:div>
                        <w:div w:id="923999382">
                          <w:marLeft w:val="0"/>
                          <w:marRight w:val="0"/>
                          <w:marTop w:val="0"/>
                          <w:marBottom w:val="0"/>
                          <w:divBdr>
                            <w:top w:val="none" w:sz="0" w:space="0" w:color="auto"/>
                            <w:left w:val="none" w:sz="0" w:space="0" w:color="auto"/>
                            <w:bottom w:val="none" w:sz="0" w:space="0" w:color="auto"/>
                            <w:right w:val="none" w:sz="0" w:space="0" w:color="auto"/>
                          </w:divBdr>
                        </w:div>
                        <w:div w:id="937061378">
                          <w:marLeft w:val="0"/>
                          <w:marRight w:val="0"/>
                          <w:marTop w:val="0"/>
                          <w:marBottom w:val="0"/>
                          <w:divBdr>
                            <w:top w:val="none" w:sz="0" w:space="0" w:color="auto"/>
                            <w:left w:val="none" w:sz="0" w:space="0" w:color="auto"/>
                            <w:bottom w:val="none" w:sz="0" w:space="0" w:color="auto"/>
                            <w:right w:val="none" w:sz="0" w:space="0" w:color="auto"/>
                          </w:divBdr>
                        </w:div>
                        <w:div w:id="1018233466">
                          <w:marLeft w:val="0"/>
                          <w:marRight w:val="0"/>
                          <w:marTop w:val="0"/>
                          <w:marBottom w:val="0"/>
                          <w:divBdr>
                            <w:top w:val="none" w:sz="0" w:space="0" w:color="auto"/>
                            <w:left w:val="none" w:sz="0" w:space="0" w:color="auto"/>
                            <w:bottom w:val="none" w:sz="0" w:space="0" w:color="auto"/>
                            <w:right w:val="none" w:sz="0" w:space="0" w:color="auto"/>
                          </w:divBdr>
                        </w:div>
                        <w:div w:id="1068071298">
                          <w:marLeft w:val="0"/>
                          <w:marRight w:val="0"/>
                          <w:marTop w:val="0"/>
                          <w:marBottom w:val="0"/>
                          <w:divBdr>
                            <w:top w:val="none" w:sz="0" w:space="0" w:color="auto"/>
                            <w:left w:val="none" w:sz="0" w:space="0" w:color="auto"/>
                            <w:bottom w:val="none" w:sz="0" w:space="0" w:color="auto"/>
                            <w:right w:val="none" w:sz="0" w:space="0" w:color="auto"/>
                          </w:divBdr>
                        </w:div>
                        <w:div w:id="1118375457">
                          <w:marLeft w:val="0"/>
                          <w:marRight w:val="0"/>
                          <w:marTop w:val="0"/>
                          <w:marBottom w:val="0"/>
                          <w:divBdr>
                            <w:top w:val="none" w:sz="0" w:space="0" w:color="auto"/>
                            <w:left w:val="none" w:sz="0" w:space="0" w:color="auto"/>
                            <w:bottom w:val="none" w:sz="0" w:space="0" w:color="auto"/>
                            <w:right w:val="none" w:sz="0" w:space="0" w:color="auto"/>
                          </w:divBdr>
                        </w:div>
                        <w:div w:id="1137651336">
                          <w:marLeft w:val="0"/>
                          <w:marRight w:val="0"/>
                          <w:marTop w:val="0"/>
                          <w:marBottom w:val="0"/>
                          <w:divBdr>
                            <w:top w:val="none" w:sz="0" w:space="0" w:color="auto"/>
                            <w:left w:val="none" w:sz="0" w:space="0" w:color="auto"/>
                            <w:bottom w:val="none" w:sz="0" w:space="0" w:color="auto"/>
                            <w:right w:val="none" w:sz="0" w:space="0" w:color="auto"/>
                          </w:divBdr>
                        </w:div>
                        <w:div w:id="1137993394">
                          <w:marLeft w:val="0"/>
                          <w:marRight w:val="0"/>
                          <w:marTop w:val="0"/>
                          <w:marBottom w:val="0"/>
                          <w:divBdr>
                            <w:top w:val="none" w:sz="0" w:space="0" w:color="auto"/>
                            <w:left w:val="none" w:sz="0" w:space="0" w:color="auto"/>
                            <w:bottom w:val="none" w:sz="0" w:space="0" w:color="auto"/>
                            <w:right w:val="none" w:sz="0" w:space="0" w:color="auto"/>
                          </w:divBdr>
                        </w:div>
                        <w:div w:id="1138645579">
                          <w:marLeft w:val="0"/>
                          <w:marRight w:val="0"/>
                          <w:marTop w:val="0"/>
                          <w:marBottom w:val="0"/>
                          <w:divBdr>
                            <w:top w:val="none" w:sz="0" w:space="0" w:color="auto"/>
                            <w:left w:val="none" w:sz="0" w:space="0" w:color="auto"/>
                            <w:bottom w:val="none" w:sz="0" w:space="0" w:color="auto"/>
                            <w:right w:val="none" w:sz="0" w:space="0" w:color="auto"/>
                          </w:divBdr>
                        </w:div>
                        <w:div w:id="1238713564">
                          <w:marLeft w:val="0"/>
                          <w:marRight w:val="0"/>
                          <w:marTop w:val="0"/>
                          <w:marBottom w:val="0"/>
                          <w:divBdr>
                            <w:top w:val="none" w:sz="0" w:space="0" w:color="auto"/>
                            <w:left w:val="none" w:sz="0" w:space="0" w:color="auto"/>
                            <w:bottom w:val="none" w:sz="0" w:space="0" w:color="auto"/>
                            <w:right w:val="none" w:sz="0" w:space="0" w:color="auto"/>
                          </w:divBdr>
                        </w:div>
                        <w:div w:id="1241018712">
                          <w:marLeft w:val="0"/>
                          <w:marRight w:val="0"/>
                          <w:marTop w:val="0"/>
                          <w:marBottom w:val="0"/>
                          <w:divBdr>
                            <w:top w:val="none" w:sz="0" w:space="0" w:color="auto"/>
                            <w:left w:val="none" w:sz="0" w:space="0" w:color="auto"/>
                            <w:bottom w:val="none" w:sz="0" w:space="0" w:color="auto"/>
                            <w:right w:val="none" w:sz="0" w:space="0" w:color="auto"/>
                          </w:divBdr>
                        </w:div>
                        <w:div w:id="1341855803">
                          <w:marLeft w:val="0"/>
                          <w:marRight w:val="0"/>
                          <w:marTop w:val="0"/>
                          <w:marBottom w:val="0"/>
                          <w:divBdr>
                            <w:top w:val="none" w:sz="0" w:space="0" w:color="auto"/>
                            <w:left w:val="none" w:sz="0" w:space="0" w:color="auto"/>
                            <w:bottom w:val="none" w:sz="0" w:space="0" w:color="auto"/>
                            <w:right w:val="none" w:sz="0" w:space="0" w:color="auto"/>
                          </w:divBdr>
                        </w:div>
                        <w:div w:id="1345398995">
                          <w:marLeft w:val="0"/>
                          <w:marRight w:val="0"/>
                          <w:marTop w:val="0"/>
                          <w:marBottom w:val="0"/>
                          <w:divBdr>
                            <w:top w:val="none" w:sz="0" w:space="0" w:color="auto"/>
                            <w:left w:val="none" w:sz="0" w:space="0" w:color="auto"/>
                            <w:bottom w:val="none" w:sz="0" w:space="0" w:color="auto"/>
                            <w:right w:val="none" w:sz="0" w:space="0" w:color="auto"/>
                          </w:divBdr>
                        </w:div>
                        <w:div w:id="1409618714">
                          <w:marLeft w:val="0"/>
                          <w:marRight w:val="0"/>
                          <w:marTop w:val="0"/>
                          <w:marBottom w:val="0"/>
                          <w:divBdr>
                            <w:top w:val="none" w:sz="0" w:space="0" w:color="auto"/>
                            <w:left w:val="none" w:sz="0" w:space="0" w:color="auto"/>
                            <w:bottom w:val="none" w:sz="0" w:space="0" w:color="auto"/>
                            <w:right w:val="none" w:sz="0" w:space="0" w:color="auto"/>
                          </w:divBdr>
                        </w:div>
                        <w:div w:id="1452280773">
                          <w:marLeft w:val="0"/>
                          <w:marRight w:val="0"/>
                          <w:marTop w:val="0"/>
                          <w:marBottom w:val="0"/>
                          <w:divBdr>
                            <w:top w:val="none" w:sz="0" w:space="0" w:color="auto"/>
                            <w:left w:val="none" w:sz="0" w:space="0" w:color="auto"/>
                            <w:bottom w:val="none" w:sz="0" w:space="0" w:color="auto"/>
                            <w:right w:val="none" w:sz="0" w:space="0" w:color="auto"/>
                          </w:divBdr>
                        </w:div>
                        <w:div w:id="1462533653">
                          <w:marLeft w:val="0"/>
                          <w:marRight w:val="0"/>
                          <w:marTop w:val="0"/>
                          <w:marBottom w:val="0"/>
                          <w:divBdr>
                            <w:top w:val="none" w:sz="0" w:space="0" w:color="auto"/>
                            <w:left w:val="none" w:sz="0" w:space="0" w:color="auto"/>
                            <w:bottom w:val="none" w:sz="0" w:space="0" w:color="auto"/>
                            <w:right w:val="none" w:sz="0" w:space="0" w:color="auto"/>
                          </w:divBdr>
                        </w:div>
                        <w:div w:id="1465005509">
                          <w:marLeft w:val="0"/>
                          <w:marRight w:val="0"/>
                          <w:marTop w:val="0"/>
                          <w:marBottom w:val="0"/>
                          <w:divBdr>
                            <w:top w:val="none" w:sz="0" w:space="0" w:color="auto"/>
                            <w:left w:val="none" w:sz="0" w:space="0" w:color="auto"/>
                            <w:bottom w:val="none" w:sz="0" w:space="0" w:color="auto"/>
                            <w:right w:val="none" w:sz="0" w:space="0" w:color="auto"/>
                          </w:divBdr>
                        </w:div>
                        <w:div w:id="1559972765">
                          <w:marLeft w:val="0"/>
                          <w:marRight w:val="0"/>
                          <w:marTop w:val="0"/>
                          <w:marBottom w:val="0"/>
                          <w:divBdr>
                            <w:top w:val="none" w:sz="0" w:space="0" w:color="auto"/>
                            <w:left w:val="none" w:sz="0" w:space="0" w:color="auto"/>
                            <w:bottom w:val="none" w:sz="0" w:space="0" w:color="auto"/>
                            <w:right w:val="none" w:sz="0" w:space="0" w:color="auto"/>
                          </w:divBdr>
                        </w:div>
                        <w:div w:id="1575165882">
                          <w:marLeft w:val="0"/>
                          <w:marRight w:val="0"/>
                          <w:marTop w:val="0"/>
                          <w:marBottom w:val="0"/>
                          <w:divBdr>
                            <w:top w:val="none" w:sz="0" w:space="0" w:color="auto"/>
                            <w:left w:val="none" w:sz="0" w:space="0" w:color="auto"/>
                            <w:bottom w:val="none" w:sz="0" w:space="0" w:color="auto"/>
                            <w:right w:val="none" w:sz="0" w:space="0" w:color="auto"/>
                          </w:divBdr>
                        </w:div>
                        <w:div w:id="1594512688">
                          <w:marLeft w:val="0"/>
                          <w:marRight w:val="0"/>
                          <w:marTop w:val="0"/>
                          <w:marBottom w:val="0"/>
                          <w:divBdr>
                            <w:top w:val="none" w:sz="0" w:space="0" w:color="auto"/>
                            <w:left w:val="none" w:sz="0" w:space="0" w:color="auto"/>
                            <w:bottom w:val="none" w:sz="0" w:space="0" w:color="auto"/>
                            <w:right w:val="none" w:sz="0" w:space="0" w:color="auto"/>
                          </w:divBdr>
                        </w:div>
                        <w:div w:id="1711766125">
                          <w:marLeft w:val="0"/>
                          <w:marRight w:val="0"/>
                          <w:marTop w:val="0"/>
                          <w:marBottom w:val="0"/>
                          <w:divBdr>
                            <w:top w:val="none" w:sz="0" w:space="0" w:color="auto"/>
                            <w:left w:val="none" w:sz="0" w:space="0" w:color="auto"/>
                            <w:bottom w:val="none" w:sz="0" w:space="0" w:color="auto"/>
                            <w:right w:val="none" w:sz="0" w:space="0" w:color="auto"/>
                          </w:divBdr>
                        </w:div>
                        <w:div w:id="1725760580">
                          <w:marLeft w:val="0"/>
                          <w:marRight w:val="0"/>
                          <w:marTop w:val="0"/>
                          <w:marBottom w:val="0"/>
                          <w:divBdr>
                            <w:top w:val="none" w:sz="0" w:space="0" w:color="auto"/>
                            <w:left w:val="none" w:sz="0" w:space="0" w:color="auto"/>
                            <w:bottom w:val="none" w:sz="0" w:space="0" w:color="auto"/>
                            <w:right w:val="none" w:sz="0" w:space="0" w:color="auto"/>
                          </w:divBdr>
                        </w:div>
                        <w:div w:id="1799839688">
                          <w:marLeft w:val="0"/>
                          <w:marRight w:val="0"/>
                          <w:marTop w:val="0"/>
                          <w:marBottom w:val="0"/>
                          <w:divBdr>
                            <w:top w:val="none" w:sz="0" w:space="0" w:color="auto"/>
                            <w:left w:val="none" w:sz="0" w:space="0" w:color="auto"/>
                            <w:bottom w:val="none" w:sz="0" w:space="0" w:color="auto"/>
                            <w:right w:val="none" w:sz="0" w:space="0" w:color="auto"/>
                          </w:divBdr>
                        </w:div>
                        <w:div w:id="1817407516">
                          <w:marLeft w:val="0"/>
                          <w:marRight w:val="0"/>
                          <w:marTop w:val="0"/>
                          <w:marBottom w:val="0"/>
                          <w:divBdr>
                            <w:top w:val="none" w:sz="0" w:space="0" w:color="auto"/>
                            <w:left w:val="none" w:sz="0" w:space="0" w:color="auto"/>
                            <w:bottom w:val="none" w:sz="0" w:space="0" w:color="auto"/>
                            <w:right w:val="none" w:sz="0" w:space="0" w:color="auto"/>
                          </w:divBdr>
                        </w:div>
                        <w:div w:id="1909147628">
                          <w:marLeft w:val="0"/>
                          <w:marRight w:val="0"/>
                          <w:marTop w:val="0"/>
                          <w:marBottom w:val="0"/>
                          <w:divBdr>
                            <w:top w:val="none" w:sz="0" w:space="0" w:color="auto"/>
                            <w:left w:val="none" w:sz="0" w:space="0" w:color="auto"/>
                            <w:bottom w:val="none" w:sz="0" w:space="0" w:color="auto"/>
                            <w:right w:val="none" w:sz="0" w:space="0" w:color="auto"/>
                          </w:divBdr>
                        </w:div>
                        <w:div w:id="1920095950">
                          <w:marLeft w:val="0"/>
                          <w:marRight w:val="0"/>
                          <w:marTop w:val="0"/>
                          <w:marBottom w:val="0"/>
                          <w:divBdr>
                            <w:top w:val="none" w:sz="0" w:space="0" w:color="auto"/>
                            <w:left w:val="none" w:sz="0" w:space="0" w:color="auto"/>
                            <w:bottom w:val="none" w:sz="0" w:space="0" w:color="auto"/>
                            <w:right w:val="none" w:sz="0" w:space="0" w:color="auto"/>
                          </w:divBdr>
                        </w:div>
                        <w:div w:id="1939018501">
                          <w:marLeft w:val="0"/>
                          <w:marRight w:val="0"/>
                          <w:marTop w:val="0"/>
                          <w:marBottom w:val="0"/>
                          <w:divBdr>
                            <w:top w:val="none" w:sz="0" w:space="0" w:color="auto"/>
                            <w:left w:val="none" w:sz="0" w:space="0" w:color="auto"/>
                            <w:bottom w:val="none" w:sz="0" w:space="0" w:color="auto"/>
                            <w:right w:val="none" w:sz="0" w:space="0" w:color="auto"/>
                          </w:divBdr>
                        </w:div>
                        <w:div w:id="1996179336">
                          <w:marLeft w:val="0"/>
                          <w:marRight w:val="0"/>
                          <w:marTop w:val="0"/>
                          <w:marBottom w:val="0"/>
                          <w:divBdr>
                            <w:top w:val="none" w:sz="0" w:space="0" w:color="auto"/>
                            <w:left w:val="none" w:sz="0" w:space="0" w:color="auto"/>
                            <w:bottom w:val="none" w:sz="0" w:space="0" w:color="auto"/>
                            <w:right w:val="none" w:sz="0" w:space="0" w:color="auto"/>
                          </w:divBdr>
                        </w:div>
                        <w:div w:id="2013216068">
                          <w:marLeft w:val="0"/>
                          <w:marRight w:val="0"/>
                          <w:marTop w:val="0"/>
                          <w:marBottom w:val="0"/>
                          <w:divBdr>
                            <w:top w:val="none" w:sz="0" w:space="0" w:color="auto"/>
                            <w:left w:val="none" w:sz="0" w:space="0" w:color="auto"/>
                            <w:bottom w:val="none" w:sz="0" w:space="0" w:color="auto"/>
                            <w:right w:val="none" w:sz="0" w:space="0" w:color="auto"/>
                          </w:divBdr>
                        </w:div>
                        <w:div w:id="2092852135">
                          <w:marLeft w:val="0"/>
                          <w:marRight w:val="0"/>
                          <w:marTop w:val="0"/>
                          <w:marBottom w:val="0"/>
                          <w:divBdr>
                            <w:top w:val="none" w:sz="0" w:space="0" w:color="auto"/>
                            <w:left w:val="none" w:sz="0" w:space="0" w:color="auto"/>
                            <w:bottom w:val="none" w:sz="0" w:space="0" w:color="auto"/>
                            <w:right w:val="none" w:sz="0" w:space="0" w:color="auto"/>
                          </w:divBdr>
                        </w:div>
                        <w:div w:id="213085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79667">
                  <w:marLeft w:val="0"/>
                  <w:marRight w:val="0"/>
                  <w:marTop w:val="15"/>
                  <w:marBottom w:val="0"/>
                  <w:divBdr>
                    <w:top w:val="none" w:sz="0" w:space="0" w:color="auto"/>
                    <w:left w:val="none" w:sz="0" w:space="0" w:color="auto"/>
                    <w:bottom w:val="none" w:sz="0" w:space="0" w:color="auto"/>
                    <w:right w:val="none" w:sz="0" w:space="0" w:color="auto"/>
                  </w:divBdr>
                  <w:divsChild>
                    <w:div w:id="2102408572">
                      <w:marLeft w:val="0"/>
                      <w:marRight w:val="0"/>
                      <w:marTop w:val="0"/>
                      <w:marBottom w:val="0"/>
                      <w:divBdr>
                        <w:top w:val="none" w:sz="0" w:space="0" w:color="auto"/>
                        <w:left w:val="none" w:sz="0" w:space="0" w:color="auto"/>
                        <w:bottom w:val="none" w:sz="0" w:space="0" w:color="auto"/>
                        <w:right w:val="none" w:sz="0" w:space="0" w:color="auto"/>
                      </w:divBdr>
                      <w:divsChild>
                        <w:div w:id="5333317">
                          <w:marLeft w:val="0"/>
                          <w:marRight w:val="0"/>
                          <w:marTop w:val="0"/>
                          <w:marBottom w:val="0"/>
                          <w:divBdr>
                            <w:top w:val="none" w:sz="0" w:space="0" w:color="auto"/>
                            <w:left w:val="none" w:sz="0" w:space="0" w:color="auto"/>
                            <w:bottom w:val="none" w:sz="0" w:space="0" w:color="auto"/>
                            <w:right w:val="none" w:sz="0" w:space="0" w:color="auto"/>
                          </w:divBdr>
                        </w:div>
                        <w:div w:id="32774401">
                          <w:marLeft w:val="0"/>
                          <w:marRight w:val="0"/>
                          <w:marTop w:val="0"/>
                          <w:marBottom w:val="0"/>
                          <w:divBdr>
                            <w:top w:val="none" w:sz="0" w:space="0" w:color="auto"/>
                            <w:left w:val="none" w:sz="0" w:space="0" w:color="auto"/>
                            <w:bottom w:val="none" w:sz="0" w:space="0" w:color="auto"/>
                            <w:right w:val="none" w:sz="0" w:space="0" w:color="auto"/>
                          </w:divBdr>
                        </w:div>
                        <w:div w:id="39524645">
                          <w:marLeft w:val="0"/>
                          <w:marRight w:val="0"/>
                          <w:marTop w:val="0"/>
                          <w:marBottom w:val="0"/>
                          <w:divBdr>
                            <w:top w:val="none" w:sz="0" w:space="0" w:color="auto"/>
                            <w:left w:val="none" w:sz="0" w:space="0" w:color="auto"/>
                            <w:bottom w:val="none" w:sz="0" w:space="0" w:color="auto"/>
                            <w:right w:val="none" w:sz="0" w:space="0" w:color="auto"/>
                          </w:divBdr>
                        </w:div>
                        <w:div w:id="55975043">
                          <w:marLeft w:val="0"/>
                          <w:marRight w:val="0"/>
                          <w:marTop w:val="0"/>
                          <w:marBottom w:val="0"/>
                          <w:divBdr>
                            <w:top w:val="none" w:sz="0" w:space="0" w:color="auto"/>
                            <w:left w:val="none" w:sz="0" w:space="0" w:color="auto"/>
                            <w:bottom w:val="none" w:sz="0" w:space="0" w:color="auto"/>
                            <w:right w:val="none" w:sz="0" w:space="0" w:color="auto"/>
                          </w:divBdr>
                        </w:div>
                        <w:div w:id="63458444">
                          <w:marLeft w:val="0"/>
                          <w:marRight w:val="0"/>
                          <w:marTop w:val="0"/>
                          <w:marBottom w:val="0"/>
                          <w:divBdr>
                            <w:top w:val="none" w:sz="0" w:space="0" w:color="auto"/>
                            <w:left w:val="none" w:sz="0" w:space="0" w:color="auto"/>
                            <w:bottom w:val="none" w:sz="0" w:space="0" w:color="auto"/>
                            <w:right w:val="none" w:sz="0" w:space="0" w:color="auto"/>
                          </w:divBdr>
                        </w:div>
                        <w:div w:id="76949140">
                          <w:marLeft w:val="0"/>
                          <w:marRight w:val="0"/>
                          <w:marTop w:val="0"/>
                          <w:marBottom w:val="0"/>
                          <w:divBdr>
                            <w:top w:val="none" w:sz="0" w:space="0" w:color="auto"/>
                            <w:left w:val="none" w:sz="0" w:space="0" w:color="auto"/>
                            <w:bottom w:val="none" w:sz="0" w:space="0" w:color="auto"/>
                            <w:right w:val="none" w:sz="0" w:space="0" w:color="auto"/>
                          </w:divBdr>
                        </w:div>
                        <w:div w:id="78184695">
                          <w:marLeft w:val="0"/>
                          <w:marRight w:val="0"/>
                          <w:marTop w:val="0"/>
                          <w:marBottom w:val="0"/>
                          <w:divBdr>
                            <w:top w:val="none" w:sz="0" w:space="0" w:color="auto"/>
                            <w:left w:val="none" w:sz="0" w:space="0" w:color="auto"/>
                            <w:bottom w:val="none" w:sz="0" w:space="0" w:color="auto"/>
                            <w:right w:val="none" w:sz="0" w:space="0" w:color="auto"/>
                          </w:divBdr>
                        </w:div>
                        <w:div w:id="98570733">
                          <w:marLeft w:val="0"/>
                          <w:marRight w:val="0"/>
                          <w:marTop w:val="0"/>
                          <w:marBottom w:val="0"/>
                          <w:divBdr>
                            <w:top w:val="none" w:sz="0" w:space="0" w:color="auto"/>
                            <w:left w:val="none" w:sz="0" w:space="0" w:color="auto"/>
                            <w:bottom w:val="none" w:sz="0" w:space="0" w:color="auto"/>
                            <w:right w:val="none" w:sz="0" w:space="0" w:color="auto"/>
                          </w:divBdr>
                        </w:div>
                        <w:div w:id="124544590">
                          <w:marLeft w:val="0"/>
                          <w:marRight w:val="0"/>
                          <w:marTop w:val="0"/>
                          <w:marBottom w:val="0"/>
                          <w:divBdr>
                            <w:top w:val="none" w:sz="0" w:space="0" w:color="auto"/>
                            <w:left w:val="none" w:sz="0" w:space="0" w:color="auto"/>
                            <w:bottom w:val="none" w:sz="0" w:space="0" w:color="auto"/>
                            <w:right w:val="none" w:sz="0" w:space="0" w:color="auto"/>
                          </w:divBdr>
                        </w:div>
                        <w:div w:id="135421176">
                          <w:marLeft w:val="0"/>
                          <w:marRight w:val="0"/>
                          <w:marTop w:val="0"/>
                          <w:marBottom w:val="0"/>
                          <w:divBdr>
                            <w:top w:val="none" w:sz="0" w:space="0" w:color="auto"/>
                            <w:left w:val="none" w:sz="0" w:space="0" w:color="auto"/>
                            <w:bottom w:val="none" w:sz="0" w:space="0" w:color="auto"/>
                            <w:right w:val="none" w:sz="0" w:space="0" w:color="auto"/>
                          </w:divBdr>
                        </w:div>
                        <w:div w:id="148644124">
                          <w:marLeft w:val="0"/>
                          <w:marRight w:val="0"/>
                          <w:marTop w:val="0"/>
                          <w:marBottom w:val="0"/>
                          <w:divBdr>
                            <w:top w:val="none" w:sz="0" w:space="0" w:color="auto"/>
                            <w:left w:val="none" w:sz="0" w:space="0" w:color="auto"/>
                            <w:bottom w:val="none" w:sz="0" w:space="0" w:color="auto"/>
                            <w:right w:val="none" w:sz="0" w:space="0" w:color="auto"/>
                          </w:divBdr>
                        </w:div>
                        <w:div w:id="159393550">
                          <w:marLeft w:val="0"/>
                          <w:marRight w:val="0"/>
                          <w:marTop w:val="0"/>
                          <w:marBottom w:val="0"/>
                          <w:divBdr>
                            <w:top w:val="none" w:sz="0" w:space="0" w:color="auto"/>
                            <w:left w:val="none" w:sz="0" w:space="0" w:color="auto"/>
                            <w:bottom w:val="none" w:sz="0" w:space="0" w:color="auto"/>
                            <w:right w:val="none" w:sz="0" w:space="0" w:color="auto"/>
                          </w:divBdr>
                        </w:div>
                        <w:div w:id="194200945">
                          <w:marLeft w:val="0"/>
                          <w:marRight w:val="0"/>
                          <w:marTop w:val="0"/>
                          <w:marBottom w:val="0"/>
                          <w:divBdr>
                            <w:top w:val="none" w:sz="0" w:space="0" w:color="auto"/>
                            <w:left w:val="none" w:sz="0" w:space="0" w:color="auto"/>
                            <w:bottom w:val="none" w:sz="0" w:space="0" w:color="auto"/>
                            <w:right w:val="none" w:sz="0" w:space="0" w:color="auto"/>
                          </w:divBdr>
                        </w:div>
                        <w:div w:id="235481713">
                          <w:marLeft w:val="0"/>
                          <w:marRight w:val="0"/>
                          <w:marTop w:val="0"/>
                          <w:marBottom w:val="0"/>
                          <w:divBdr>
                            <w:top w:val="none" w:sz="0" w:space="0" w:color="auto"/>
                            <w:left w:val="none" w:sz="0" w:space="0" w:color="auto"/>
                            <w:bottom w:val="none" w:sz="0" w:space="0" w:color="auto"/>
                            <w:right w:val="none" w:sz="0" w:space="0" w:color="auto"/>
                          </w:divBdr>
                        </w:div>
                        <w:div w:id="286739013">
                          <w:marLeft w:val="0"/>
                          <w:marRight w:val="0"/>
                          <w:marTop w:val="0"/>
                          <w:marBottom w:val="0"/>
                          <w:divBdr>
                            <w:top w:val="none" w:sz="0" w:space="0" w:color="auto"/>
                            <w:left w:val="none" w:sz="0" w:space="0" w:color="auto"/>
                            <w:bottom w:val="none" w:sz="0" w:space="0" w:color="auto"/>
                            <w:right w:val="none" w:sz="0" w:space="0" w:color="auto"/>
                          </w:divBdr>
                        </w:div>
                        <w:div w:id="290867463">
                          <w:marLeft w:val="0"/>
                          <w:marRight w:val="0"/>
                          <w:marTop w:val="0"/>
                          <w:marBottom w:val="0"/>
                          <w:divBdr>
                            <w:top w:val="none" w:sz="0" w:space="0" w:color="auto"/>
                            <w:left w:val="none" w:sz="0" w:space="0" w:color="auto"/>
                            <w:bottom w:val="none" w:sz="0" w:space="0" w:color="auto"/>
                            <w:right w:val="none" w:sz="0" w:space="0" w:color="auto"/>
                          </w:divBdr>
                        </w:div>
                        <w:div w:id="293147129">
                          <w:marLeft w:val="0"/>
                          <w:marRight w:val="0"/>
                          <w:marTop w:val="0"/>
                          <w:marBottom w:val="0"/>
                          <w:divBdr>
                            <w:top w:val="none" w:sz="0" w:space="0" w:color="auto"/>
                            <w:left w:val="none" w:sz="0" w:space="0" w:color="auto"/>
                            <w:bottom w:val="none" w:sz="0" w:space="0" w:color="auto"/>
                            <w:right w:val="none" w:sz="0" w:space="0" w:color="auto"/>
                          </w:divBdr>
                        </w:div>
                        <w:div w:id="317729565">
                          <w:marLeft w:val="0"/>
                          <w:marRight w:val="0"/>
                          <w:marTop w:val="0"/>
                          <w:marBottom w:val="0"/>
                          <w:divBdr>
                            <w:top w:val="none" w:sz="0" w:space="0" w:color="auto"/>
                            <w:left w:val="none" w:sz="0" w:space="0" w:color="auto"/>
                            <w:bottom w:val="none" w:sz="0" w:space="0" w:color="auto"/>
                            <w:right w:val="none" w:sz="0" w:space="0" w:color="auto"/>
                          </w:divBdr>
                        </w:div>
                        <w:div w:id="365060294">
                          <w:marLeft w:val="0"/>
                          <w:marRight w:val="0"/>
                          <w:marTop w:val="0"/>
                          <w:marBottom w:val="0"/>
                          <w:divBdr>
                            <w:top w:val="none" w:sz="0" w:space="0" w:color="auto"/>
                            <w:left w:val="none" w:sz="0" w:space="0" w:color="auto"/>
                            <w:bottom w:val="none" w:sz="0" w:space="0" w:color="auto"/>
                            <w:right w:val="none" w:sz="0" w:space="0" w:color="auto"/>
                          </w:divBdr>
                        </w:div>
                        <w:div w:id="408576678">
                          <w:marLeft w:val="0"/>
                          <w:marRight w:val="0"/>
                          <w:marTop w:val="0"/>
                          <w:marBottom w:val="0"/>
                          <w:divBdr>
                            <w:top w:val="none" w:sz="0" w:space="0" w:color="auto"/>
                            <w:left w:val="none" w:sz="0" w:space="0" w:color="auto"/>
                            <w:bottom w:val="none" w:sz="0" w:space="0" w:color="auto"/>
                            <w:right w:val="none" w:sz="0" w:space="0" w:color="auto"/>
                          </w:divBdr>
                        </w:div>
                        <w:div w:id="442505275">
                          <w:marLeft w:val="0"/>
                          <w:marRight w:val="0"/>
                          <w:marTop w:val="0"/>
                          <w:marBottom w:val="0"/>
                          <w:divBdr>
                            <w:top w:val="none" w:sz="0" w:space="0" w:color="auto"/>
                            <w:left w:val="none" w:sz="0" w:space="0" w:color="auto"/>
                            <w:bottom w:val="none" w:sz="0" w:space="0" w:color="auto"/>
                            <w:right w:val="none" w:sz="0" w:space="0" w:color="auto"/>
                          </w:divBdr>
                        </w:div>
                        <w:div w:id="464734396">
                          <w:marLeft w:val="0"/>
                          <w:marRight w:val="0"/>
                          <w:marTop w:val="0"/>
                          <w:marBottom w:val="0"/>
                          <w:divBdr>
                            <w:top w:val="none" w:sz="0" w:space="0" w:color="auto"/>
                            <w:left w:val="none" w:sz="0" w:space="0" w:color="auto"/>
                            <w:bottom w:val="none" w:sz="0" w:space="0" w:color="auto"/>
                            <w:right w:val="none" w:sz="0" w:space="0" w:color="auto"/>
                          </w:divBdr>
                        </w:div>
                        <w:div w:id="491607985">
                          <w:marLeft w:val="0"/>
                          <w:marRight w:val="0"/>
                          <w:marTop w:val="0"/>
                          <w:marBottom w:val="0"/>
                          <w:divBdr>
                            <w:top w:val="none" w:sz="0" w:space="0" w:color="auto"/>
                            <w:left w:val="none" w:sz="0" w:space="0" w:color="auto"/>
                            <w:bottom w:val="none" w:sz="0" w:space="0" w:color="auto"/>
                            <w:right w:val="none" w:sz="0" w:space="0" w:color="auto"/>
                          </w:divBdr>
                        </w:div>
                        <w:div w:id="493229622">
                          <w:marLeft w:val="0"/>
                          <w:marRight w:val="0"/>
                          <w:marTop w:val="0"/>
                          <w:marBottom w:val="0"/>
                          <w:divBdr>
                            <w:top w:val="none" w:sz="0" w:space="0" w:color="auto"/>
                            <w:left w:val="none" w:sz="0" w:space="0" w:color="auto"/>
                            <w:bottom w:val="none" w:sz="0" w:space="0" w:color="auto"/>
                            <w:right w:val="none" w:sz="0" w:space="0" w:color="auto"/>
                          </w:divBdr>
                        </w:div>
                        <w:div w:id="511259426">
                          <w:marLeft w:val="0"/>
                          <w:marRight w:val="0"/>
                          <w:marTop w:val="0"/>
                          <w:marBottom w:val="0"/>
                          <w:divBdr>
                            <w:top w:val="none" w:sz="0" w:space="0" w:color="auto"/>
                            <w:left w:val="none" w:sz="0" w:space="0" w:color="auto"/>
                            <w:bottom w:val="none" w:sz="0" w:space="0" w:color="auto"/>
                            <w:right w:val="none" w:sz="0" w:space="0" w:color="auto"/>
                          </w:divBdr>
                        </w:div>
                        <w:div w:id="533007424">
                          <w:marLeft w:val="0"/>
                          <w:marRight w:val="0"/>
                          <w:marTop w:val="0"/>
                          <w:marBottom w:val="0"/>
                          <w:divBdr>
                            <w:top w:val="none" w:sz="0" w:space="0" w:color="auto"/>
                            <w:left w:val="none" w:sz="0" w:space="0" w:color="auto"/>
                            <w:bottom w:val="none" w:sz="0" w:space="0" w:color="auto"/>
                            <w:right w:val="none" w:sz="0" w:space="0" w:color="auto"/>
                          </w:divBdr>
                        </w:div>
                        <w:div w:id="533159300">
                          <w:marLeft w:val="0"/>
                          <w:marRight w:val="0"/>
                          <w:marTop w:val="0"/>
                          <w:marBottom w:val="0"/>
                          <w:divBdr>
                            <w:top w:val="none" w:sz="0" w:space="0" w:color="auto"/>
                            <w:left w:val="none" w:sz="0" w:space="0" w:color="auto"/>
                            <w:bottom w:val="none" w:sz="0" w:space="0" w:color="auto"/>
                            <w:right w:val="none" w:sz="0" w:space="0" w:color="auto"/>
                          </w:divBdr>
                        </w:div>
                        <w:div w:id="580287115">
                          <w:marLeft w:val="0"/>
                          <w:marRight w:val="0"/>
                          <w:marTop w:val="0"/>
                          <w:marBottom w:val="0"/>
                          <w:divBdr>
                            <w:top w:val="none" w:sz="0" w:space="0" w:color="auto"/>
                            <w:left w:val="none" w:sz="0" w:space="0" w:color="auto"/>
                            <w:bottom w:val="none" w:sz="0" w:space="0" w:color="auto"/>
                            <w:right w:val="none" w:sz="0" w:space="0" w:color="auto"/>
                          </w:divBdr>
                        </w:div>
                        <w:div w:id="643243257">
                          <w:marLeft w:val="0"/>
                          <w:marRight w:val="0"/>
                          <w:marTop w:val="0"/>
                          <w:marBottom w:val="0"/>
                          <w:divBdr>
                            <w:top w:val="none" w:sz="0" w:space="0" w:color="auto"/>
                            <w:left w:val="none" w:sz="0" w:space="0" w:color="auto"/>
                            <w:bottom w:val="none" w:sz="0" w:space="0" w:color="auto"/>
                            <w:right w:val="none" w:sz="0" w:space="0" w:color="auto"/>
                          </w:divBdr>
                        </w:div>
                        <w:div w:id="651181105">
                          <w:marLeft w:val="0"/>
                          <w:marRight w:val="0"/>
                          <w:marTop w:val="0"/>
                          <w:marBottom w:val="0"/>
                          <w:divBdr>
                            <w:top w:val="none" w:sz="0" w:space="0" w:color="auto"/>
                            <w:left w:val="none" w:sz="0" w:space="0" w:color="auto"/>
                            <w:bottom w:val="none" w:sz="0" w:space="0" w:color="auto"/>
                            <w:right w:val="none" w:sz="0" w:space="0" w:color="auto"/>
                          </w:divBdr>
                        </w:div>
                        <w:div w:id="657811695">
                          <w:marLeft w:val="0"/>
                          <w:marRight w:val="0"/>
                          <w:marTop w:val="0"/>
                          <w:marBottom w:val="0"/>
                          <w:divBdr>
                            <w:top w:val="none" w:sz="0" w:space="0" w:color="auto"/>
                            <w:left w:val="none" w:sz="0" w:space="0" w:color="auto"/>
                            <w:bottom w:val="none" w:sz="0" w:space="0" w:color="auto"/>
                            <w:right w:val="none" w:sz="0" w:space="0" w:color="auto"/>
                          </w:divBdr>
                        </w:div>
                        <w:div w:id="665091339">
                          <w:marLeft w:val="0"/>
                          <w:marRight w:val="0"/>
                          <w:marTop w:val="0"/>
                          <w:marBottom w:val="0"/>
                          <w:divBdr>
                            <w:top w:val="none" w:sz="0" w:space="0" w:color="auto"/>
                            <w:left w:val="none" w:sz="0" w:space="0" w:color="auto"/>
                            <w:bottom w:val="none" w:sz="0" w:space="0" w:color="auto"/>
                            <w:right w:val="none" w:sz="0" w:space="0" w:color="auto"/>
                          </w:divBdr>
                        </w:div>
                        <w:div w:id="684595082">
                          <w:marLeft w:val="0"/>
                          <w:marRight w:val="0"/>
                          <w:marTop w:val="0"/>
                          <w:marBottom w:val="0"/>
                          <w:divBdr>
                            <w:top w:val="none" w:sz="0" w:space="0" w:color="auto"/>
                            <w:left w:val="none" w:sz="0" w:space="0" w:color="auto"/>
                            <w:bottom w:val="none" w:sz="0" w:space="0" w:color="auto"/>
                            <w:right w:val="none" w:sz="0" w:space="0" w:color="auto"/>
                          </w:divBdr>
                        </w:div>
                        <w:div w:id="715736232">
                          <w:marLeft w:val="0"/>
                          <w:marRight w:val="0"/>
                          <w:marTop w:val="0"/>
                          <w:marBottom w:val="0"/>
                          <w:divBdr>
                            <w:top w:val="none" w:sz="0" w:space="0" w:color="auto"/>
                            <w:left w:val="none" w:sz="0" w:space="0" w:color="auto"/>
                            <w:bottom w:val="none" w:sz="0" w:space="0" w:color="auto"/>
                            <w:right w:val="none" w:sz="0" w:space="0" w:color="auto"/>
                          </w:divBdr>
                        </w:div>
                        <w:div w:id="740717930">
                          <w:marLeft w:val="0"/>
                          <w:marRight w:val="0"/>
                          <w:marTop w:val="0"/>
                          <w:marBottom w:val="0"/>
                          <w:divBdr>
                            <w:top w:val="none" w:sz="0" w:space="0" w:color="auto"/>
                            <w:left w:val="none" w:sz="0" w:space="0" w:color="auto"/>
                            <w:bottom w:val="none" w:sz="0" w:space="0" w:color="auto"/>
                            <w:right w:val="none" w:sz="0" w:space="0" w:color="auto"/>
                          </w:divBdr>
                        </w:div>
                        <w:div w:id="759446638">
                          <w:marLeft w:val="0"/>
                          <w:marRight w:val="0"/>
                          <w:marTop w:val="0"/>
                          <w:marBottom w:val="0"/>
                          <w:divBdr>
                            <w:top w:val="none" w:sz="0" w:space="0" w:color="auto"/>
                            <w:left w:val="none" w:sz="0" w:space="0" w:color="auto"/>
                            <w:bottom w:val="none" w:sz="0" w:space="0" w:color="auto"/>
                            <w:right w:val="none" w:sz="0" w:space="0" w:color="auto"/>
                          </w:divBdr>
                        </w:div>
                        <w:div w:id="766390496">
                          <w:marLeft w:val="0"/>
                          <w:marRight w:val="0"/>
                          <w:marTop w:val="0"/>
                          <w:marBottom w:val="0"/>
                          <w:divBdr>
                            <w:top w:val="none" w:sz="0" w:space="0" w:color="auto"/>
                            <w:left w:val="none" w:sz="0" w:space="0" w:color="auto"/>
                            <w:bottom w:val="none" w:sz="0" w:space="0" w:color="auto"/>
                            <w:right w:val="none" w:sz="0" w:space="0" w:color="auto"/>
                          </w:divBdr>
                        </w:div>
                        <w:div w:id="799230709">
                          <w:marLeft w:val="0"/>
                          <w:marRight w:val="0"/>
                          <w:marTop w:val="0"/>
                          <w:marBottom w:val="0"/>
                          <w:divBdr>
                            <w:top w:val="none" w:sz="0" w:space="0" w:color="auto"/>
                            <w:left w:val="none" w:sz="0" w:space="0" w:color="auto"/>
                            <w:bottom w:val="none" w:sz="0" w:space="0" w:color="auto"/>
                            <w:right w:val="none" w:sz="0" w:space="0" w:color="auto"/>
                          </w:divBdr>
                        </w:div>
                        <w:div w:id="807431955">
                          <w:marLeft w:val="0"/>
                          <w:marRight w:val="0"/>
                          <w:marTop w:val="0"/>
                          <w:marBottom w:val="0"/>
                          <w:divBdr>
                            <w:top w:val="none" w:sz="0" w:space="0" w:color="auto"/>
                            <w:left w:val="none" w:sz="0" w:space="0" w:color="auto"/>
                            <w:bottom w:val="none" w:sz="0" w:space="0" w:color="auto"/>
                            <w:right w:val="none" w:sz="0" w:space="0" w:color="auto"/>
                          </w:divBdr>
                        </w:div>
                        <w:div w:id="845822401">
                          <w:marLeft w:val="0"/>
                          <w:marRight w:val="0"/>
                          <w:marTop w:val="0"/>
                          <w:marBottom w:val="0"/>
                          <w:divBdr>
                            <w:top w:val="none" w:sz="0" w:space="0" w:color="auto"/>
                            <w:left w:val="none" w:sz="0" w:space="0" w:color="auto"/>
                            <w:bottom w:val="none" w:sz="0" w:space="0" w:color="auto"/>
                            <w:right w:val="none" w:sz="0" w:space="0" w:color="auto"/>
                          </w:divBdr>
                        </w:div>
                        <w:div w:id="900404336">
                          <w:marLeft w:val="0"/>
                          <w:marRight w:val="0"/>
                          <w:marTop w:val="0"/>
                          <w:marBottom w:val="0"/>
                          <w:divBdr>
                            <w:top w:val="none" w:sz="0" w:space="0" w:color="auto"/>
                            <w:left w:val="none" w:sz="0" w:space="0" w:color="auto"/>
                            <w:bottom w:val="none" w:sz="0" w:space="0" w:color="auto"/>
                            <w:right w:val="none" w:sz="0" w:space="0" w:color="auto"/>
                          </w:divBdr>
                        </w:div>
                        <w:div w:id="906184383">
                          <w:marLeft w:val="0"/>
                          <w:marRight w:val="0"/>
                          <w:marTop w:val="0"/>
                          <w:marBottom w:val="0"/>
                          <w:divBdr>
                            <w:top w:val="none" w:sz="0" w:space="0" w:color="auto"/>
                            <w:left w:val="none" w:sz="0" w:space="0" w:color="auto"/>
                            <w:bottom w:val="none" w:sz="0" w:space="0" w:color="auto"/>
                            <w:right w:val="none" w:sz="0" w:space="0" w:color="auto"/>
                          </w:divBdr>
                        </w:div>
                        <w:div w:id="922449498">
                          <w:marLeft w:val="0"/>
                          <w:marRight w:val="0"/>
                          <w:marTop w:val="0"/>
                          <w:marBottom w:val="0"/>
                          <w:divBdr>
                            <w:top w:val="none" w:sz="0" w:space="0" w:color="auto"/>
                            <w:left w:val="none" w:sz="0" w:space="0" w:color="auto"/>
                            <w:bottom w:val="none" w:sz="0" w:space="0" w:color="auto"/>
                            <w:right w:val="none" w:sz="0" w:space="0" w:color="auto"/>
                          </w:divBdr>
                        </w:div>
                        <w:div w:id="963996457">
                          <w:marLeft w:val="0"/>
                          <w:marRight w:val="0"/>
                          <w:marTop w:val="0"/>
                          <w:marBottom w:val="0"/>
                          <w:divBdr>
                            <w:top w:val="none" w:sz="0" w:space="0" w:color="auto"/>
                            <w:left w:val="none" w:sz="0" w:space="0" w:color="auto"/>
                            <w:bottom w:val="none" w:sz="0" w:space="0" w:color="auto"/>
                            <w:right w:val="none" w:sz="0" w:space="0" w:color="auto"/>
                          </w:divBdr>
                        </w:div>
                        <w:div w:id="964895578">
                          <w:marLeft w:val="0"/>
                          <w:marRight w:val="0"/>
                          <w:marTop w:val="0"/>
                          <w:marBottom w:val="0"/>
                          <w:divBdr>
                            <w:top w:val="none" w:sz="0" w:space="0" w:color="auto"/>
                            <w:left w:val="none" w:sz="0" w:space="0" w:color="auto"/>
                            <w:bottom w:val="none" w:sz="0" w:space="0" w:color="auto"/>
                            <w:right w:val="none" w:sz="0" w:space="0" w:color="auto"/>
                          </w:divBdr>
                        </w:div>
                        <w:div w:id="977107402">
                          <w:marLeft w:val="0"/>
                          <w:marRight w:val="0"/>
                          <w:marTop w:val="0"/>
                          <w:marBottom w:val="0"/>
                          <w:divBdr>
                            <w:top w:val="none" w:sz="0" w:space="0" w:color="auto"/>
                            <w:left w:val="none" w:sz="0" w:space="0" w:color="auto"/>
                            <w:bottom w:val="none" w:sz="0" w:space="0" w:color="auto"/>
                            <w:right w:val="none" w:sz="0" w:space="0" w:color="auto"/>
                          </w:divBdr>
                        </w:div>
                        <w:div w:id="1006051716">
                          <w:marLeft w:val="0"/>
                          <w:marRight w:val="0"/>
                          <w:marTop w:val="0"/>
                          <w:marBottom w:val="0"/>
                          <w:divBdr>
                            <w:top w:val="none" w:sz="0" w:space="0" w:color="auto"/>
                            <w:left w:val="none" w:sz="0" w:space="0" w:color="auto"/>
                            <w:bottom w:val="none" w:sz="0" w:space="0" w:color="auto"/>
                            <w:right w:val="none" w:sz="0" w:space="0" w:color="auto"/>
                          </w:divBdr>
                        </w:div>
                        <w:div w:id="1007098252">
                          <w:marLeft w:val="0"/>
                          <w:marRight w:val="0"/>
                          <w:marTop w:val="0"/>
                          <w:marBottom w:val="0"/>
                          <w:divBdr>
                            <w:top w:val="none" w:sz="0" w:space="0" w:color="auto"/>
                            <w:left w:val="none" w:sz="0" w:space="0" w:color="auto"/>
                            <w:bottom w:val="none" w:sz="0" w:space="0" w:color="auto"/>
                            <w:right w:val="none" w:sz="0" w:space="0" w:color="auto"/>
                          </w:divBdr>
                        </w:div>
                        <w:div w:id="1011105747">
                          <w:marLeft w:val="0"/>
                          <w:marRight w:val="0"/>
                          <w:marTop w:val="0"/>
                          <w:marBottom w:val="0"/>
                          <w:divBdr>
                            <w:top w:val="none" w:sz="0" w:space="0" w:color="auto"/>
                            <w:left w:val="none" w:sz="0" w:space="0" w:color="auto"/>
                            <w:bottom w:val="none" w:sz="0" w:space="0" w:color="auto"/>
                            <w:right w:val="none" w:sz="0" w:space="0" w:color="auto"/>
                          </w:divBdr>
                        </w:div>
                        <w:div w:id="1024667941">
                          <w:marLeft w:val="0"/>
                          <w:marRight w:val="0"/>
                          <w:marTop w:val="0"/>
                          <w:marBottom w:val="0"/>
                          <w:divBdr>
                            <w:top w:val="none" w:sz="0" w:space="0" w:color="auto"/>
                            <w:left w:val="none" w:sz="0" w:space="0" w:color="auto"/>
                            <w:bottom w:val="none" w:sz="0" w:space="0" w:color="auto"/>
                            <w:right w:val="none" w:sz="0" w:space="0" w:color="auto"/>
                          </w:divBdr>
                        </w:div>
                        <w:div w:id="1052272976">
                          <w:marLeft w:val="0"/>
                          <w:marRight w:val="0"/>
                          <w:marTop w:val="0"/>
                          <w:marBottom w:val="0"/>
                          <w:divBdr>
                            <w:top w:val="none" w:sz="0" w:space="0" w:color="auto"/>
                            <w:left w:val="none" w:sz="0" w:space="0" w:color="auto"/>
                            <w:bottom w:val="none" w:sz="0" w:space="0" w:color="auto"/>
                            <w:right w:val="none" w:sz="0" w:space="0" w:color="auto"/>
                          </w:divBdr>
                        </w:div>
                        <w:div w:id="1106773537">
                          <w:marLeft w:val="0"/>
                          <w:marRight w:val="0"/>
                          <w:marTop w:val="0"/>
                          <w:marBottom w:val="0"/>
                          <w:divBdr>
                            <w:top w:val="none" w:sz="0" w:space="0" w:color="auto"/>
                            <w:left w:val="none" w:sz="0" w:space="0" w:color="auto"/>
                            <w:bottom w:val="none" w:sz="0" w:space="0" w:color="auto"/>
                            <w:right w:val="none" w:sz="0" w:space="0" w:color="auto"/>
                          </w:divBdr>
                        </w:div>
                        <w:div w:id="1149326352">
                          <w:marLeft w:val="0"/>
                          <w:marRight w:val="0"/>
                          <w:marTop w:val="0"/>
                          <w:marBottom w:val="0"/>
                          <w:divBdr>
                            <w:top w:val="none" w:sz="0" w:space="0" w:color="auto"/>
                            <w:left w:val="none" w:sz="0" w:space="0" w:color="auto"/>
                            <w:bottom w:val="none" w:sz="0" w:space="0" w:color="auto"/>
                            <w:right w:val="none" w:sz="0" w:space="0" w:color="auto"/>
                          </w:divBdr>
                        </w:div>
                        <w:div w:id="1150827592">
                          <w:marLeft w:val="0"/>
                          <w:marRight w:val="0"/>
                          <w:marTop w:val="0"/>
                          <w:marBottom w:val="0"/>
                          <w:divBdr>
                            <w:top w:val="none" w:sz="0" w:space="0" w:color="auto"/>
                            <w:left w:val="none" w:sz="0" w:space="0" w:color="auto"/>
                            <w:bottom w:val="none" w:sz="0" w:space="0" w:color="auto"/>
                            <w:right w:val="none" w:sz="0" w:space="0" w:color="auto"/>
                          </w:divBdr>
                        </w:div>
                        <w:div w:id="1153333513">
                          <w:marLeft w:val="0"/>
                          <w:marRight w:val="0"/>
                          <w:marTop w:val="0"/>
                          <w:marBottom w:val="0"/>
                          <w:divBdr>
                            <w:top w:val="none" w:sz="0" w:space="0" w:color="auto"/>
                            <w:left w:val="none" w:sz="0" w:space="0" w:color="auto"/>
                            <w:bottom w:val="none" w:sz="0" w:space="0" w:color="auto"/>
                            <w:right w:val="none" w:sz="0" w:space="0" w:color="auto"/>
                          </w:divBdr>
                        </w:div>
                        <w:div w:id="1162966562">
                          <w:marLeft w:val="0"/>
                          <w:marRight w:val="0"/>
                          <w:marTop w:val="0"/>
                          <w:marBottom w:val="0"/>
                          <w:divBdr>
                            <w:top w:val="none" w:sz="0" w:space="0" w:color="auto"/>
                            <w:left w:val="none" w:sz="0" w:space="0" w:color="auto"/>
                            <w:bottom w:val="none" w:sz="0" w:space="0" w:color="auto"/>
                            <w:right w:val="none" w:sz="0" w:space="0" w:color="auto"/>
                          </w:divBdr>
                        </w:div>
                        <w:div w:id="1174422515">
                          <w:marLeft w:val="0"/>
                          <w:marRight w:val="0"/>
                          <w:marTop w:val="0"/>
                          <w:marBottom w:val="0"/>
                          <w:divBdr>
                            <w:top w:val="none" w:sz="0" w:space="0" w:color="auto"/>
                            <w:left w:val="none" w:sz="0" w:space="0" w:color="auto"/>
                            <w:bottom w:val="none" w:sz="0" w:space="0" w:color="auto"/>
                            <w:right w:val="none" w:sz="0" w:space="0" w:color="auto"/>
                          </w:divBdr>
                        </w:div>
                        <w:div w:id="1183282227">
                          <w:marLeft w:val="0"/>
                          <w:marRight w:val="0"/>
                          <w:marTop w:val="0"/>
                          <w:marBottom w:val="0"/>
                          <w:divBdr>
                            <w:top w:val="none" w:sz="0" w:space="0" w:color="auto"/>
                            <w:left w:val="none" w:sz="0" w:space="0" w:color="auto"/>
                            <w:bottom w:val="none" w:sz="0" w:space="0" w:color="auto"/>
                            <w:right w:val="none" w:sz="0" w:space="0" w:color="auto"/>
                          </w:divBdr>
                        </w:div>
                        <w:div w:id="1256014659">
                          <w:marLeft w:val="0"/>
                          <w:marRight w:val="0"/>
                          <w:marTop w:val="0"/>
                          <w:marBottom w:val="0"/>
                          <w:divBdr>
                            <w:top w:val="none" w:sz="0" w:space="0" w:color="auto"/>
                            <w:left w:val="none" w:sz="0" w:space="0" w:color="auto"/>
                            <w:bottom w:val="none" w:sz="0" w:space="0" w:color="auto"/>
                            <w:right w:val="none" w:sz="0" w:space="0" w:color="auto"/>
                          </w:divBdr>
                        </w:div>
                        <w:div w:id="1275020329">
                          <w:marLeft w:val="0"/>
                          <w:marRight w:val="0"/>
                          <w:marTop w:val="0"/>
                          <w:marBottom w:val="0"/>
                          <w:divBdr>
                            <w:top w:val="none" w:sz="0" w:space="0" w:color="auto"/>
                            <w:left w:val="none" w:sz="0" w:space="0" w:color="auto"/>
                            <w:bottom w:val="none" w:sz="0" w:space="0" w:color="auto"/>
                            <w:right w:val="none" w:sz="0" w:space="0" w:color="auto"/>
                          </w:divBdr>
                        </w:div>
                        <w:div w:id="1291672600">
                          <w:marLeft w:val="0"/>
                          <w:marRight w:val="0"/>
                          <w:marTop w:val="0"/>
                          <w:marBottom w:val="0"/>
                          <w:divBdr>
                            <w:top w:val="none" w:sz="0" w:space="0" w:color="auto"/>
                            <w:left w:val="none" w:sz="0" w:space="0" w:color="auto"/>
                            <w:bottom w:val="none" w:sz="0" w:space="0" w:color="auto"/>
                            <w:right w:val="none" w:sz="0" w:space="0" w:color="auto"/>
                          </w:divBdr>
                        </w:div>
                        <w:div w:id="1299611549">
                          <w:marLeft w:val="0"/>
                          <w:marRight w:val="0"/>
                          <w:marTop w:val="0"/>
                          <w:marBottom w:val="0"/>
                          <w:divBdr>
                            <w:top w:val="none" w:sz="0" w:space="0" w:color="auto"/>
                            <w:left w:val="none" w:sz="0" w:space="0" w:color="auto"/>
                            <w:bottom w:val="none" w:sz="0" w:space="0" w:color="auto"/>
                            <w:right w:val="none" w:sz="0" w:space="0" w:color="auto"/>
                          </w:divBdr>
                        </w:div>
                        <w:div w:id="1311397076">
                          <w:marLeft w:val="0"/>
                          <w:marRight w:val="0"/>
                          <w:marTop w:val="0"/>
                          <w:marBottom w:val="0"/>
                          <w:divBdr>
                            <w:top w:val="none" w:sz="0" w:space="0" w:color="auto"/>
                            <w:left w:val="none" w:sz="0" w:space="0" w:color="auto"/>
                            <w:bottom w:val="none" w:sz="0" w:space="0" w:color="auto"/>
                            <w:right w:val="none" w:sz="0" w:space="0" w:color="auto"/>
                          </w:divBdr>
                        </w:div>
                        <w:div w:id="1318221746">
                          <w:marLeft w:val="0"/>
                          <w:marRight w:val="0"/>
                          <w:marTop w:val="0"/>
                          <w:marBottom w:val="0"/>
                          <w:divBdr>
                            <w:top w:val="none" w:sz="0" w:space="0" w:color="auto"/>
                            <w:left w:val="none" w:sz="0" w:space="0" w:color="auto"/>
                            <w:bottom w:val="none" w:sz="0" w:space="0" w:color="auto"/>
                            <w:right w:val="none" w:sz="0" w:space="0" w:color="auto"/>
                          </w:divBdr>
                        </w:div>
                        <w:div w:id="1332369528">
                          <w:marLeft w:val="0"/>
                          <w:marRight w:val="0"/>
                          <w:marTop w:val="0"/>
                          <w:marBottom w:val="0"/>
                          <w:divBdr>
                            <w:top w:val="none" w:sz="0" w:space="0" w:color="auto"/>
                            <w:left w:val="none" w:sz="0" w:space="0" w:color="auto"/>
                            <w:bottom w:val="none" w:sz="0" w:space="0" w:color="auto"/>
                            <w:right w:val="none" w:sz="0" w:space="0" w:color="auto"/>
                          </w:divBdr>
                        </w:div>
                        <w:div w:id="1395010739">
                          <w:marLeft w:val="0"/>
                          <w:marRight w:val="0"/>
                          <w:marTop w:val="0"/>
                          <w:marBottom w:val="0"/>
                          <w:divBdr>
                            <w:top w:val="none" w:sz="0" w:space="0" w:color="auto"/>
                            <w:left w:val="none" w:sz="0" w:space="0" w:color="auto"/>
                            <w:bottom w:val="none" w:sz="0" w:space="0" w:color="auto"/>
                            <w:right w:val="none" w:sz="0" w:space="0" w:color="auto"/>
                          </w:divBdr>
                        </w:div>
                        <w:div w:id="1451168013">
                          <w:marLeft w:val="0"/>
                          <w:marRight w:val="0"/>
                          <w:marTop w:val="0"/>
                          <w:marBottom w:val="0"/>
                          <w:divBdr>
                            <w:top w:val="none" w:sz="0" w:space="0" w:color="auto"/>
                            <w:left w:val="none" w:sz="0" w:space="0" w:color="auto"/>
                            <w:bottom w:val="none" w:sz="0" w:space="0" w:color="auto"/>
                            <w:right w:val="none" w:sz="0" w:space="0" w:color="auto"/>
                          </w:divBdr>
                        </w:div>
                        <w:div w:id="1466436234">
                          <w:marLeft w:val="0"/>
                          <w:marRight w:val="0"/>
                          <w:marTop w:val="0"/>
                          <w:marBottom w:val="0"/>
                          <w:divBdr>
                            <w:top w:val="none" w:sz="0" w:space="0" w:color="auto"/>
                            <w:left w:val="none" w:sz="0" w:space="0" w:color="auto"/>
                            <w:bottom w:val="none" w:sz="0" w:space="0" w:color="auto"/>
                            <w:right w:val="none" w:sz="0" w:space="0" w:color="auto"/>
                          </w:divBdr>
                        </w:div>
                        <w:div w:id="1469591170">
                          <w:marLeft w:val="0"/>
                          <w:marRight w:val="0"/>
                          <w:marTop w:val="0"/>
                          <w:marBottom w:val="0"/>
                          <w:divBdr>
                            <w:top w:val="none" w:sz="0" w:space="0" w:color="auto"/>
                            <w:left w:val="none" w:sz="0" w:space="0" w:color="auto"/>
                            <w:bottom w:val="none" w:sz="0" w:space="0" w:color="auto"/>
                            <w:right w:val="none" w:sz="0" w:space="0" w:color="auto"/>
                          </w:divBdr>
                        </w:div>
                        <w:div w:id="1501508083">
                          <w:marLeft w:val="0"/>
                          <w:marRight w:val="0"/>
                          <w:marTop w:val="0"/>
                          <w:marBottom w:val="0"/>
                          <w:divBdr>
                            <w:top w:val="none" w:sz="0" w:space="0" w:color="auto"/>
                            <w:left w:val="none" w:sz="0" w:space="0" w:color="auto"/>
                            <w:bottom w:val="none" w:sz="0" w:space="0" w:color="auto"/>
                            <w:right w:val="none" w:sz="0" w:space="0" w:color="auto"/>
                          </w:divBdr>
                        </w:div>
                        <w:div w:id="1629121534">
                          <w:marLeft w:val="0"/>
                          <w:marRight w:val="0"/>
                          <w:marTop w:val="0"/>
                          <w:marBottom w:val="0"/>
                          <w:divBdr>
                            <w:top w:val="none" w:sz="0" w:space="0" w:color="auto"/>
                            <w:left w:val="none" w:sz="0" w:space="0" w:color="auto"/>
                            <w:bottom w:val="none" w:sz="0" w:space="0" w:color="auto"/>
                            <w:right w:val="none" w:sz="0" w:space="0" w:color="auto"/>
                          </w:divBdr>
                        </w:div>
                        <w:div w:id="1670449496">
                          <w:marLeft w:val="0"/>
                          <w:marRight w:val="0"/>
                          <w:marTop w:val="0"/>
                          <w:marBottom w:val="0"/>
                          <w:divBdr>
                            <w:top w:val="none" w:sz="0" w:space="0" w:color="auto"/>
                            <w:left w:val="none" w:sz="0" w:space="0" w:color="auto"/>
                            <w:bottom w:val="none" w:sz="0" w:space="0" w:color="auto"/>
                            <w:right w:val="none" w:sz="0" w:space="0" w:color="auto"/>
                          </w:divBdr>
                        </w:div>
                        <w:div w:id="1679850435">
                          <w:marLeft w:val="0"/>
                          <w:marRight w:val="0"/>
                          <w:marTop w:val="0"/>
                          <w:marBottom w:val="0"/>
                          <w:divBdr>
                            <w:top w:val="none" w:sz="0" w:space="0" w:color="auto"/>
                            <w:left w:val="none" w:sz="0" w:space="0" w:color="auto"/>
                            <w:bottom w:val="none" w:sz="0" w:space="0" w:color="auto"/>
                            <w:right w:val="none" w:sz="0" w:space="0" w:color="auto"/>
                          </w:divBdr>
                        </w:div>
                        <w:div w:id="1713770227">
                          <w:marLeft w:val="0"/>
                          <w:marRight w:val="0"/>
                          <w:marTop w:val="0"/>
                          <w:marBottom w:val="0"/>
                          <w:divBdr>
                            <w:top w:val="none" w:sz="0" w:space="0" w:color="auto"/>
                            <w:left w:val="none" w:sz="0" w:space="0" w:color="auto"/>
                            <w:bottom w:val="none" w:sz="0" w:space="0" w:color="auto"/>
                            <w:right w:val="none" w:sz="0" w:space="0" w:color="auto"/>
                          </w:divBdr>
                        </w:div>
                        <w:div w:id="1757362472">
                          <w:marLeft w:val="0"/>
                          <w:marRight w:val="0"/>
                          <w:marTop w:val="0"/>
                          <w:marBottom w:val="0"/>
                          <w:divBdr>
                            <w:top w:val="none" w:sz="0" w:space="0" w:color="auto"/>
                            <w:left w:val="none" w:sz="0" w:space="0" w:color="auto"/>
                            <w:bottom w:val="none" w:sz="0" w:space="0" w:color="auto"/>
                            <w:right w:val="none" w:sz="0" w:space="0" w:color="auto"/>
                          </w:divBdr>
                        </w:div>
                        <w:div w:id="1787888119">
                          <w:marLeft w:val="0"/>
                          <w:marRight w:val="0"/>
                          <w:marTop w:val="0"/>
                          <w:marBottom w:val="0"/>
                          <w:divBdr>
                            <w:top w:val="none" w:sz="0" w:space="0" w:color="auto"/>
                            <w:left w:val="none" w:sz="0" w:space="0" w:color="auto"/>
                            <w:bottom w:val="none" w:sz="0" w:space="0" w:color="auto"/>
                            <w:right w:val="none" w:sz="0" w:space="0" w:color="auto"/>
                          </w:divBdr>
                        </w:div>
                        <w:div w:id="1875772354">
                          <w:marLeft w:val="0"/>
                          <w:marRight w:val="0"/>
                          <w:marTop w:val="0"/>
                          <w:marBottom w:val="0"/>
                          <w:divBdr>
                            <w:top w:val="none" w:sz="0" w:space="0" w:color="auto"/>
                            <w:left w:val="none" w:sz="0" w:space="0" w:color="auto"/>
                            <w:bottom w:val="none" w:sz="0" w:space="0" w:color="auto"/>
                            <w:right w:val="none" w:sz="0" w:space="0" w:color="auto"/>
                          </w:divBdr>
                        </w:div>
                        <w:div w:id="1879662474">
                          <w:marLeft w:val="0"/>
                          <w:marRight w:val="0"/>
                          <w:marTop w:val="0"/>
                          <w:marBottom w:val="0"/>
                          <w:divBdr>
                            <w:top w:val="none" w:sz="0" w:space="0" w:color="auto"/>
                            <w:left w:val="none" w:sz="0" w:space="0" w:color="auto"/>
                            <w:bottom w:val="none" w:sz="0" w:space="0" w:color="auto"/>
                            <w:right w:val="none" w:sz="0" w:space="0" w:color="auto"/>
                          </w:divBdr>
                        </w:div>
                        <w:div w:id="1883906779">
                          <w:marLeft w:val="0"/>
                          <w:marRight w:val="0"/>
                          <w:marTop w:val="0"/>
                          <w:marBottom w:val="0"/>
                          <w:divBdr>
                            <w:top w:val="none" w:sz="0" w:space="0" w:color="auto"/>
                            <w:left w:val="none" w:sz="0" w:space="0" w:color="auto"/>
                            <w:bottom w:val="none" w:sz="0" w:space="0" w:color="auto"/>
                            <w:right w:val="none" w:sz="0" w:space="0" w:color="auto"/>
                          </w:divBdr>
                        </w:div>
                        <w:div w:id="1897008679">
                          <w:marLeft w:val="0"/>
                          <w:marRight w:val="0"/>
                          <w:marTop w:val="0"/>
                          <w:marBottom w:val="0"/>
                          <w:divBdr>
                            <w:top w:val="none" w:sz="0" w:space="0" w:color="auto"/>
                            <w:left w:val="none" w:sz="0" w:space="0" w:color="auto"/>
                            <w:bottom w:val="none" w:sz="0" w:space="0" w:color="auto"/>
                            <w:right w:val="none" w:sz="0" w:space="0" w:color="auto"/>
                          </w:divBdr>
                        </w:div>
                        <w:div w:id="1936861380">
                          <w:marLeft w:val="0"/>
                          <w:marRight w:val="0"/>
                          <w:marTop w:val="0"/>
                          <w:marBottom w:val="0"/>
                          <w:divBdr>
                            <w:top w:val="none" w:sz="0" w:space="0" w:color="auto"/>
                            <w:left w:val="none" w:sz="0" w:space="0" w:color="auto"/>
                            <w:bottom w:val="none" w:sz="0" w:space="0" w:color="auto"/>
                            <w:right w:val="none" w:sz="0" w:space="0" w:color="auto"/>
                          </w:divBdr>
                        </w:div>
                        <w:div w:id="1976060397">
                          <w:marLeft w:val="0"/>
                          <w:marRight w:val="0"/>
                          <w:marTop w:val="0"/>
                          <w:marBottom w:val="0"/>
                          <w:divBdr>
                            <w:top w:val="none" w:sz="0" w:space="0" w:color="auto"/>
                            <w:left w:val="none" w:sz="0" w:space="0" w:color="auto"/>
                            <w:bottom w:val="none" w:sz="0" w:space="0" w:color="auto"/>
                            <w:right w:val="none" w:sz="0" w:space="0" w:color="auto"/>
                          </w:divBdr>
                        </w:div>
                        <w:div w:id="2043163006">
                          <w:marLeft w:val="0"/>
                          <w:marRight w:val="0"/>
                          <w:marTop w:val="0"/>
                          <w:marBottom w:val="0"/>
                          <w:divBdr>
                            <w:top w:val="none" w:sz="0" w:space="0" w:color="auto"/>
                            <w:left w:val="none" w:sz="0" w:space="0" w:color="auto"/>
                            <w:bottom w:val="none" w:sz="0" w:space="0" w:color="auto"/>
                            <w:right w:val="none" w:sz="0" w:space="0" w:color="auto"/>
                          </w:divBdr>
                        </w:div>
                        <w:div w:id="2062433386">
                          <w:marLeft w:val="0"/>
                          <w:marRight w:val="0"/>
                          <w:marTop w:val="0"/>
                          <w:marBottom w:val="0"/>
                          <w:divBdr>
                            <w:top w:val="none" w:sz="0" w:space="0" w:color="auto"/>
                            <w:left w:val="none" w:sz="0" w:space="0" w:color="auto"/>
                            <w:bottom w:val="none" w:sz="0" w:space="0" w:color="auto"/>
                            <w:right w:val="none" w:sz="0" w:space="0" w:color="auto"/>
                          </w:divBdr>
                        </w:div>
                        <w:div w:id="2077580785">
                          <w:marLeft w:val="0"/>
                          <w:marRight w:val="0"/>
                          <w:marTop w:val="0"/>
                          <w:marBottom w:val="0"/>
                          <w:divBdr>
                            <w:top w:val="none" w:sz="0" w:space="0" w:color="auto"/>
                            <w:left w:val="none" w:sz="0" w:space="0" w:color="auto"/>
                            <w:bottom w:val="none" w:sz="0" w:space="0" w:color="auto"/>
                            <w:right w:val="none" w:sz="0" w:space="0" w:color="auto"/>
                          </w:divBdr>
                        </w:div>
                        <w:div w:id="210472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357222">
          <w:marLeft w:val="0"/>
          <w:marRight w:val="0"/>
          <w:marTop w:val="0"/>
          <w:marBottom w:val="0"/>
          <w:divBdr>
            <w:top w:val="none" w:sz="0" w:space="0" w:color="auto"/>
            <w:left w:val="none" w:sz="0" w:space="0" w:color="auto"/>
            <w:bottom w:val="none" w:sz="0" w:space="0" w:color="auto"/>
            <w:right w:val="none" w:sz="0" w:space="0" w:color="auto"/>
          </w:divBdr>
          <w:divsChild>
            <w:div w:id="801192617">
              <w:marLeft w:val="0"/>
              <w:marRight w:val="0"/>
              <w:marTop w:val="0"/>
              <w:marBottom w:val="0"/>
              <w:divBdr>
                <w:top w:val="none" w:sz="0" w:space="0" w:color="auto"/>
                <w:left w:val="none" w:sz="0" w:space="0" w:color="auto"/>
                <w:bottom w:val="none" w:sz="0" w:space="0" w:color="auto"/>
                <w:right w:val="none" w:sz="0" w:space="0" w:color="auto"/>
              </w:divBdr>
              <w:divsChild>
                <w:div w:id="1067848533">
                  <w:marLeft w:val="0"/>
                  <w:marRight w:val="0"/>
                  <w:marTop w:val="0"/>
                  <w:marBottom w:val="0"/>
                  <w:divBdr>
                    <w:top w:val="none" w:sz="0" w:space="0" w:color="auto"/>
                    <w:left w:val="none" w:sz="0" w:space="0" w:color="auto"/>
                    <w:bottom w:val="none" w:sz="0" w:space="0" w:color="auto"/>
                    <w:right w:val="none" w:sz="0" w:space="0" w:color="auto"/>
                  </w:divBdr>
                  <w:divsChild>
                    <w:div w:id="588588077">
                      <w:marLeft w:val="-15"/>
                      <w:marRight w:val="0"/>
                      <w:marTop w:val="0"/>
                      <w:marBottom w:val="0"/>
                      <w:divBdr>
                        <w:top w:val="none" w:sz="0" w:space="0" w:color="auto"/>
                        <w:left w:val="none" w:sz="0" w:space="0" w:color="auto"/>
                        <w:bottom w:val="none" w:sz="0" w:space="0" w:color="auto"/>
                        <w:right w:val="none" w:sz="0" w:space="0" w:color="auto"/>
                      </w:divBdr>
                      <w:divsChild>
                        <w:div w:id="1374306690">
                          <w:marLeft w:val="0"/>
                          <w:marRight w:val="30"/>
                          <w:marTop w:val="45"/>
                          <w:marBottom w:val="60"/>
                          <w:divBdr>
                            <w:top w:val="none" w:sz="0" w:space="0" w:color="auto"/>
                            <w:left w:val="none" w:sz="0" w:space="0" w:color="auto"/>
                            <w:bottom w:val="none" w:sz="0" w:space="0" w:color="auto"/>
                            <w:right w:val="none" w:sz="0" w:space="0" w:color="auto"/>
                          </w:divBdr>
                        </w:div>
                      </w:divsChild>
                    </w:div>
                    <w:div w:id="948045099">
                      <w:marLeft w:val="0"/>
                      <w:marRight w:val="0"/>
                      <w:marTop w:val="0"/>
                      <w:marBottom w:val="0"/>
                      <w:divBdr>
                        <w:top w:val="none" w:sz="0" w:space="0" w:color="auto"/>
                        <w:left w:val="none" w:sz="0" w:space="0" w:color="auto"/>
                        <w:bottom w:val="none" w:sz="0" w:space="0" w:color="auto"/>
                        <w:right w:val="none" w:sz="0" w:space="0" w:color="auto"/>
                      </w:divBdr>
                      <w:divsChild>
                        <w:div w:id="16503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987816">
      <w:bodyDiv w:val="1"/>
      <w:marLeft w:val="0"/>
      <w:marRight w:val="0"/>
      <w:marTop w:val="0"/>
      <w:marBottom w:val="0"/>
      <w:divBdr>
        <w:top w:val="none" w:sz="0" w:space="0" w:color="auto"/>
        <w:left w:val="none" w:sz="0" w:space="0" w:color="auto"/>
        <w:bottom w:val="none" w:sz="0" w:space="0" w:color="auto"/>
        <w:right w:val="none" w:sz="0" w:space="0" w:color="auto"/>
      </w:divBdr>
    </w:div>
    <w:div w:id="346058761">
      <w:bodyDiv w:val="1"/>
      <w:marLeft w:val="0"/>
      <w:marRight w:val="0"/>
      <w:marTop w:val="0"/>
      <w:marBottom w:val="0"/>
      <w:divBdr>
        <w:top w:val="none" w:sz="0" w:space="0" w:color="auto"/>
        <w:left w:val="none" w:sz="0" w:space="0" w:color="auto"/>
        <w:bottom w:val="none" w:sz="0" w:space="0" w:color="auto"/>
        <w:right w:val="none" w:sz="0" w:space="0" w:color="auto"/>
      </w:divBdr>
    </w:div>
    <w:div w:id="346103668">
      <w:bodyDiv w:val="1"/>
      <w:marLeft w:val="0"/>
      <w:marRight w:val="0"/>
      <w:marTop w:val="0"/>
      <w:marBottom w:val="0"/>
      <w:divBdr>
        <w:top w:val="none" w:sz="0" w:space="0" w:color="auto"/>
        <w:left w:val="none" w:sz="0" w:space="0" w:color="auto"/>
        <w:bottom w:val="none" w:sz="0" w:space="0" w:color="auto"/>
        <w:right w:val="none" w:sz="0" w:space="0" w:color="auto"/>
      </w:divBdr>
    </w:div>
    <w:div w:id="348871273">
      <w:bodyDiv w:val="1"/>
      <w:marLeft w:val="0"/>
      <w:marRight w:val="0"/>
      <w:marTop w:val="0"/>
      <w:marBottom w:val="0"/>
      <w:divBdr>
        <w:top w:val="none" w:sz="0" w:space="0" w:color="auto"/>
        <w:left w:val="none" w:sz="0" w:space="0" w:color="auto"/>
        <w:bottom w:val="none" w:sz="0" w:space="0" w:color="auto"/>
        <w:right w:val="none" w:sz="0" w:space="0" w:color="auto"/>
      </w:divBdr>
    </w:div>
    <w:div w:id="349183778">
      <w:bodyDiv w:val="1"/>
      <w:marLeft w:val="0"/>
      <w:marRight w:val="0"/>
      <w:marTop w:val="0"/>
      <w:marBottom w:val="0"/>
      <w:divBdr>
        <w:top w:val="none" w:sz="0" w:space="0" w:color="auto"/>
        <w:left w:val="none" w:sz="0" w:space="0" w:color="auto"/>
        <w:bottom w:val="none" w:sz="0" w:space="0" w:color="auto"/>
        <w:right w:val="none" w:sz="0" w:space="0" w:color="auto"/>
      </w:divBdr>
    </w:div>
    <w:div w:id="349963144">
      <w:bodyDiv w:val="1"/>
      <w:marLeft w:val="0"/>
      <w:marRight w:val="0"/>
      <w:marTop w:val="0"/>
      <w:marBottom w:val="0"/>
      <w:divBdr>
        <w:top w:val="none" w:sz="0" w:space="0" w:color="auto"/>
        <w:left w:val="none" w:sz="0" w:space="0" w:color="auto"/>
        <w:bottom w:val="none" w:sz="0" w:space="0" w:color="auto"/>
        <w:right w:val="none" w:sz="0" w:space="0" w:color="auto"/>
      </w:divBdr>
    </w:div>
    <w:div w:id="352074282">
      <w:bodyDiv w:val="1"/>
      <w:marLeft w:val="0"/>
      <w:marRight w:val="0"/>
      <w:marTop w:val="0"/>
      <w:marBottom w:val="0"/>
      <w:divBdr>
        <w:top w:val="none" w:sz="0" w:space="0" w:color="auto"/>
        <w:left w:val="none" w:sz="0" w:space="0" w:color="auto"/>
        <w:bottom w:val="none" w:sz="0" w:space="0" w:color="auto"/>
        <w:right w:val="none" w:sz="0" w:space="0" w:color="auto"/>
      </w:divBdr>
    </w:div>
    <w:div w:id="356732490">
      <w:bodyDiv w:val="1"/>
      <w:marLeft w:val="0"/>
      <w:marRight w:val="0"/>
      <w:marTop w:val="0"/>
      <w:marBottom w:val="0"/>
      <w:divBdr>
        <w:top w:val="none" w:sz="0" w:space="0" w:color="auto"/>
        <w:left w:val="none" w:sz="0" w:space="0" w:color="auto"/>
        <w:bottom w:val="none" w:sz="0" w:space="0" w:color="auto"/>
        <w:right w:val="none" w:sz="0" w:space="0" w:color="auto"/>
      </w:divBdr>
    </w:div>
    <w:div w:id="357851715">
      <w:bodyDiv w:val="1"/>
      <w:marLeft w:val="0"/>
      <w:marRight w:val="0"/>
      <w:marTop w:val="0"/>
      <w:marBottom w:val="0"/>
      <w:divBdr>
        <w:top w:val="none" w:sz="0" w:space="0" w:color="auto"/>
        <w:left w:val="none" w:sz="0" w:space="0" w:color="auto"/>
        <w:bottom w:val="none" w:sz="0" w:space="0" w:color="auto"/>
        <w:right w:val="none" w:sz="0" w:space="0" w:color="auto"/>
      </w:divBdr>
    </w:div>
    <w:div w:id="359940020">
      <w:bodyDiv w:val="1"/>
      <w:marLeft w:val="0"/>
      <w:marRight w:val="0"/>
      <w:marTop w:val="0"/>
      <w:marBottom w:val="0"/>
      <w:divBdr>
        <w:top w:val="none" w:sz="0" w:space="0" w:color="auto"/>
        <w:left w:val="none" w:sz="0" w:space="0" w:color="auto"/>
        <w:bottom w:val="none" w:sz="0" w:space="0" w:color="auto"/>
        <w:right w:val="none" w:sz="0" w:space="0" w:color="auto"/>
      </w:divBdr>
    </w:div>
    <w:div w:id="361519165">
      <w:bodyDiv w:val="1"/>
      <w:marLeft w:val="0"/>
      <w:marRight w:val="0"/>
      <w:marTop w:val="0"/>
      <w:marBottom w:val="0"/>
      <w:divBdr>
        <w:top w:val="none" w:sz="0" w:space="0" w:color="auto"/>
        <w:left w:val="none" w:sz="0" w:space="0" w:color="auto"/>
        <w:bottom w:val="none" w:sz="0" w:space="0" w:color="auto"/>
        <w:right w:val="none" w:sz="0" w:space="0" w:color="auto"/>
      </w:divBdr>
    </w:div>
    <w:div w:id="365983031">
      <w:bodyDiv w:val="1"/>
      <w:marLeft w:val="0"/>
      <w:marRight w:val="0"/>
      <w:marTop w:val="0"/>
      <w:marBottom w:val="0"/>
      <w:divBdr>
        <w:top w:val="none" w:sz="0" w:space="0" w:color="auto"/>
        <w:left w:val="none" w:sz="0" w:space="0" w:color="auto"/>
        <w:bottom w:val="none" w:sz="0" w:space="0" w:color="auto"/>
        <w:right w:val="none" w:sz="0" w:space="0" w:color="auto"/>
      </w:divBdr>
    </w:div>
    <w:div w:id="371535298">
      <w:bodyDiv w:val="1"/>
      <w:marLeft w:val="0"/>
      <w:marRight w:val="0"/>
      <w:marTop w:val="0"/>
      <w:marBottom w:val="0"/>
      <w:divBdr>
        <w:top w:val="none" w:sz="0" w:space="0" w:color="auto"/>
        <w:left w:val="none" w:sz="0" w:space="0" w:color="auto"/>
        <w:bottom w:val="none" w:sz="0" w:space="0" w:color="auto"/>
        <w:right w:val="none" w:sz="0" w:space="0" w:color="auto"/>
      </w:divBdr>
    </w:div>
    <w:div w:id="371613619">
      <w:bodyDiv w:val="1"/>
      <w:marLeft w:val="0"/>
      <w:marRight w:val="0"/>
      <w:marTop w:val="0"/>
      <w:marBottom w:val="0"/>
      <w:divBdr>
        <w:top w:val="none" w:sz="0" w:space="0" w:color="auto"/>
        <w:left w:val="none" w:sz="0" w:space="0" w:color="auto"/>
        <w:bottom w:val="none" w:sz="0" w:space="0" w:color="auto"/>
        <w:right w:val="none" w:sz="0" w:space="0" w:color="auto"/>
      </w:divBdr>
    </w:div>
    <w:div w:id="379329269">
      <w:bodyDiv w:val="1"/>
      <w:marLeft w:val="0"/>
      <w:marRight w:val="0"/>
      <w:marTop w:val="0"/>
      <w:marBottom w:val="0"/>
      <w:divBdr>
        <w:top w:val="none" w:sz="0" w:space="0" w:color="auto"/>
        <w:left w:val="none" w:sz="0" w:space="0" w:color="auto"/>
        <w:bottom w:val="none" w:sz="0" w:space="0" w:color="auto"/>
        <w:right w:val="none" w:sz="0" w:space="0" w:color="auto"/>
      </w:divBdr>
    </w:div>
    <w:div w:id="382339937">
      <w:bodyDiv w:val="1"/>
      <w:marLeft w:val="0"/>
      <w:marRight w:val="0"/>
      <w:marTop w:val="0"/>
      <w:marBottom w:val="0"/>
      <w:divBdr>
        <w:top w:val="none" w:sz="0" w:space="0" w:color="auto"/>
        <w:left w:val="none" w:sz="0" w:space="0" w:color="auto"/>
        <w:bottom w:val="none" w:sz="0" w:space="0" w:color="auto"/>
        <w:right w:val="none" w:sz="0" w:space="0" w:color="auto"/>
      </w:divBdr>
    </w:div>
    <w:div w:id="382481579">
      <w:bodyDiv w:val="1"/>
      <w:marLeft w:val="0"/>
      <w:marRight w:val="0"/>
      <w:marTop w:val="0"/>
      <w:marBottom w:val="0"/>
      <w:divBdr>
        <w:top w:val="none" w:sz="0" w:space="0" w:color="auto"/>
        <w:left w:val="none" w:sz="0" w:space="0" w:color="auto"/>
        <w:bottom w:val="none" w:sz="0" w:space="0" w:color="auto"/>
        <w:right w:val="none" w:sz="0" w:space="0" w:color="auto"/>
      </w:divBdr>
    </w:div>
    <w:div w:id="389042653">
      <w:bodyDiv w:val="1"/>
      <w:marLeft w:val="0"/>
      <w:marRight w:val="0"/>
      <w:marTop w:val="0"/>
      <w:marBottom w:val="0"/>
      <w:divBdr>
        <w:top w:val="none" w:sz="0" w:space="0" w:color="auto"/>
        <w:left w:val="none" w:sz="0" w:space="0" w:color="auto"/>
        <w:bottom w:val="none" w:sz="0" w:space="0" w:color="auto"/>
        <w:right w:val="none" w:sz="0" w:space="0" w:color="auto"/>
      </w:divBdr>
    </w:div>
    <w:div w:id="390691376">
      <w:bodyDiv w:val="1"/>
      <w:marLeft w:val="0"/>
      <w:marRight w:val="0"/>
      <w:marTop w:val="0"/>
      <w:marBottom w:val="0"/>
      <w:divBdr>
        <w:top w:val="none" w:sz="0" w:space="0" w:color="auto"/>
        <w:left w:val="none" w:sz="0" w:space="0" w:color="auto"/>
        <w:bottom w:val="none" w:sz="0" w:space="0" w:color="auto"/>
        <w:right w:val="none" w:sz="0" w:space="0" w:color="auto"/>
      </w:divBdr>
    </w:div>
    <w:div w:id="391388796">
      <w:bodyDiv w:val="1"/>
      <w:marLeft w:val="0"/>
      <w:marRight w:val="0"/>
      <w:marTop w:val="0"/>
      <w:marBottom w:val="0"/>
      <w:divBdr>
        <w:top w:val="none" w:sz="0" w:space="0" w:color="auto"/>
        <w:left w:val="none" w:sz="0" w:space="0" w:color="auto"/>
        <w:bottom w:val="none" w:sz="0" w:space="0" w:color="auto"/>
        <w:right w:val="none" w:sz="0" w:space="0" w:color="auto"/>
      </w:divBdr>
    </w:div>
    <w:div w:id="394165024">
      <w:bodyDiv w:val="1"/>
      <w:marLeft w:val="0"/>
      <w:marRight w:val="0"/>
      <w:marTop w:val="0"/>
      <w:marBottom w:val="0"/>
      <w:divBdr>
        <w:top w:val="none" w:sz="0" w:space="0" w:color="auto"/>
        <w:left w:val="none" w:sz="0" w:space="0" w:color="auto"/>
        <w:bottom w:val="none" w:sz="0" w:space="0" w:color="auto"/>
        <w:right w:val="none" w:sz="0" w:space="0" w:color="auto"/>
      </w:divBdr>
    </w:div>
    <w:div w:id="401566903">
      <w:bodyDiv w:val="1"/>
      <w:marLeft w:val="0"/>
      <w:marRight w:val="0"/>
      <w:marTop w:val="0"/>
      <w:marBottom w:val="0"/>
      <w:divBdr>
        <w:top w:val="none" w:sz="0" w:space="0" w:color="auto"/>
        <w:left w:val="none" w:sz="0" w:space="0" w:color="auto"/>
        <w:bottom w:val="none" w:sz="0" w:space="0" w:color="auto"/>
        <w:right w:val="none" w:sz="0" w:space="0" w:color="auto"/>
      </w:divBdr>
    </w:div>
    <w:div w:id="409546945">
      <w:bodyDiv w:val="1"/>
      <w:marLeft w:val="0"/>
      <w:marRight w:val="0"/>
      <w:marTop w:val="0"/>
      <w:marBottom w:val="0"/>
      <w:divBdr>
        <w:top w:val="none" w:sz="0" w:space="0" w:color="auto"/>
        <w:left w:val="none" w:sz="0" w:space="0" w:color="auto"/>
        <w:bottom w:val="none" w:sz="0" w:space="0" w:color="auto"/>
        <w:right w:val="none" w:sz="0" w:space="0" w:color="auto"/>
      </w:divBdr>
    </w:div>
    <w:div w:id="412122430">
      <w:bodyDiv w:val="1"/>
      <w:marLeft w:val="0"/>
      <w:marRight w:val="0"/>
      <w:marTop w:val="0"/>
      <w:marBottom w:val="0"/>
      <w:divBdr>
        <w:top w:val="none" w:sz="0" w:space="0" w:color="auto"/>
        <w:left w:val="none" w:sz="0" w:space="0" w:color="auto"/>
        <w:bottom w:val="none" w:sz="0" w:space="0" w:color="auto"/>
        <w:right w:val="none" w:sz="0" w:space="0" w:color="auto"/>
      </w:divBdr>
    </w:div>
    <w:div w:id="413821478">
      <w:bodyDiv w:val="1"/>
      <w:marLeft w:val="0"/>
      <w:marRight w:val="0"/>
      <w:marTop w:val="0"/>
      <w:marBottom w:val="0"/>
      <w:divBdr>
        <w:top w:val="none" w:sz="0" w:space="0" w:color="auto"/>
        <w:left w:val="none" w:sz="0" w:space="0" w:color="auto"/>
        <w:bottom w:val="none" w:sz="0" w:space="0" w:color="auto"/>
        <w:right w:val="none" w:sz="0" w:space="0" w:color="auto"/>
      </w:divBdr>
    </w:div>
    <w:div w:id="414280503">
      <w:bodyDiv w:val="1"/>
      <w:marLeft w:val="0"/>
      <w:marRight w:val="0"/>
      <w:marTop w:val="0"/>
      <w:marBottom w:val="0"/>
      <w:divBdr>
        <w:top w:val="none" w:sz="0" w:space="0" w:color="auto"/>
        <w:left w:val="none" w:sz="0" w:space="0" w:color="auto"/>
        <w:bottom w:val="none" w:sz="0" w:space="0" w:color="auto"/>
        <w:right w:val="none" w:sz="0" w:space="0" w:color="auto"/>
      </w:divBdr>
    </w:div>
    <w:div w:id="416441346">
      <w:bodyDiv w:val="1"/>
      <w:marLeft w:val="0"/>
      <w:marRight w:val="0"/>
      <w:marTop w:val="0"/>
      <w:marBottom w:val="0"/>
      <w:divBdr>
        <w:top w:val="none" w:sz="0" w:space="0" w:color="auto"/>
        <w:left w:val="none" w:sz="0" w:space="0" w:color="auto"/>
        <w:bottom w:val="none" w:sz="0" w:space="0" w:color="auto"/>
        <w:right w:val="none" w:sz="0" w:space="0" w:color="auto"/>
      </w:divBdr>
    </w:div>
    <w:div w:id="420764167">
      <w:bodyDiv w:val="1"/>
      <w:marLeft w:val="0"/>
      <w:marRight w:val="0"/>
      <w:marTop w:val="0"/>
      <w:marBottom w:val="0"/>
      <w:divBdr>
        <w:top w:val="none" w:sz="0" w:space="0" w:color="auto"/>
        <w:left w:val="none" w:sz="0" w:space="0" w:color="auto"/>
        <w:bottom w:val="none" w:sz="0" w:space="0" w:color="auto"/>
        <w:right w:val="none" w:sz="0" w:space="0" w:color="auto"/>
      </w:divBdr>
    </w:div>
    <w:div w:id="421146781">
      <w:bodyDiv w:val="1"/>
      <w:marLeft w:val="0"/>
      <w:marRight w:val="0"/>
      <w:marTop w:val="0"/>
      <w:marBottom w:val="0"/>
      <w:divBdr>
        <w:top w:val="none" w:sz="0" w:space="0" w:color="auto"/>
        <w:left w:val="none" w:sz="0" w:space="0" w:color="auto"/>
        <w:bottom w:val="none" w:sz="0" w:space="0" w:color="auto"/>
        <w:right w:val="none" w:sz="0" w:space="0" w:color="auto"/>
      </w:divBdr>
    </w:div>
    <w:div w:id="423919602">
      <w:bodyDiv w:val="1"/>
      <w:marLeft w:val="0"/>
      <w:marRight w:val="0"/>
      <w:marTop w:val="0"/>
      <w:marBottom w:val="0"/>
      <w:divBdr>
        <w:top w:val="none" w:sz="0" w:space="0" w:color="auto"/>
        <w:left w:val="none" w:sz="0" w:space="0" w:color="auto"/>
        <w:bottom w:val="none" w:sz="0" w:space="0" w:color="auto"/>
        <w:right w:val="none" w:sz="0" w:space="0" w:color="auto"/>
      </w:divBdr>
    </w:div>
    <w:div w:id="427652352">
      <w:bodyDiv w:val="1"/>
      <w:marLeft w:val="0"/>
      <w:marRight w:val="0"/>
      <w:marTop w:val="0"/>
      <w:marBottom w:val="0"/>
      <w:divBdr>
        <w:top w:val="none" w:sz="0" w:space="0" w:color="auto"/>
        <w:left w:val="none" w:sz="0" w:space="0" w:color="auto"/>
        <w:bottom w:val="none" w:sz="0" w:space="0" w:color="auto"/>
        <w:right w:val="none" w:sz="0" w:space="0" w:color="auto"/>
      </w:divBdr>
    </w:div>
    <w:div w:id="430200856">
      <w:bodyDiv w:val="1"/>
      <w:marLeft w:val="0"/>
      <w:marRight w:val="0"/>
      <w:marTop w:val="0"/>
      <w:marBottom w:val="0"/>
      <w:divBdr>
        <w:top w:val="none" w:sz="0" w:space="0" w:color="auto"/>
        <w:left w:val="none" w:sz="0" w:space="0" w:color="auto"/>
        <w:bottom w:val="none" w:sz="0" w:space="0" w:color="auto"/>
        <w:right w:val="none" w:sz="0" w:space="0" w:color="auto"/>
      </w:divBdr>
    </w:div>
    <w:div w:id="434207598">
      <w:bodyDiv w:val="1"/>
      <w:marLeft w:val="0"/>
      <w:marRight w:val="0"/>
      <w:marTop w:val="0"/>
      <w:marBottom w:val="0"/>
      <w:divBdr>
        <w:top w:val="none" w:sz="0" w:space="0" w:color="auto"/>
        <w:left w:val="none" w:sz="0" w:space="0" w:color="auto"/>
        <w:bottom w:val="none" w:sz="0" w:space="0" w:color="auto"/>
        <w:right w:val="none" w:sz="0" w:space="0" w:color="auto"/>
      </w:divBdr>
    </w:div>
    <w:div w:id="434635428">
      <w:bodyDiv w:val="1"/>
      <w:marLeft w:val="0"/>
      <w:marRight w:val="0"/>
      <w:marTop w:val="0"/>
      <w:marBottom w:val="0"/>
      <w:divBdr>
        <w:top w:val="none" w:sz="0" w:space="0" w:color="auto"/>
        <w:left w:val="none" w:sz="0" w:space="0" w:color="auto"/>
        <w:bottom w:val="none" w:sz="0" w:space="0" w:color="auto"/>
        <w:right w:val="none" w:sz="0" w:space="0" w:color="auto"/>
      </w:divBdr>
    </w:div>
    <w:div w:id="443115930">
      <w:bodyDiv w:val="1"/>
      <w:marLeft w:val="0"/>
      <w:marRight w:val="0"/>
      <w:marTop w:val="0"/>
      <w:marBottom w:val="0"/>
      <w:divBdr>
        <w:top w:val="none" w:sz="0" w:space="0" w:color="auto"/>
        <w:left w:val="none" w:sz="0" w:space="0" w:color="auto"/>
        <w:bottom w:val="none" w:sz="0" w:space="0" w:color="auto"/>
        <w:right w:val="none" w:sz="0" w:space="0" w:color="auto"/>
      </w:divBdr>
    </w:div>
    <w:div w:id="446000098">
      <w:bodyDiv w:val="1"/>
      <w:marLeft w:val="0"/>
      <w:marRight w:val="0"/>
      <w:marTop w:val="0"/>
      <w:marBottom w:val="0"/>
      <w:divBdr>
        <w:top w:val="none" w:sz="0" w:space="0" w:color="auto"/>
        <w:left w:val="none" w:sz="0" w:space="0" w:color="auto"/>
        <w:bottom w:val="none" w:sz="0" w:space="0" w:color="auto"/>
        <w:right w:val="none" w:sz="0" w:space="0" w:color="auto"/>
      </w:divBdr>
    </w:div>
    <w:div w:id="450129010">
      <w:bodyDiv w:val="1"/>
      <w:marLeft w:val="0"/>
      <w:marRight w:val="0"/>
      <w:marTop w:val="0"/>
      <w:marBottom w:val="0"/>
      <w:divBdr>
        <w:top w:val="none" w:sz="0" w:space="0" w:color="auto"/>
        <w:left w:val="none" w:sz="0" w:space="0" w:color="auto"/>
        <w:bottom w:val="none" w:sz="0" w:space="0" w:color="auto"/>
        <w:right w:val="none" w:sz="0" w:space="0" w:color="auto"/>
      </w:divBdr>
    </w:div>
    <w:div w:id="451706336">
      <w:bodyDiv w:val="1"/>
      <w:marLeft w:val="0"/>
      <w:marRight w:val="0"/>
      <w:marTop w:val="0"/>
      <w:marBottom w:val="0"/>
      <w:divBdr>
        <w:top w:val="none" w:sz="0" w:space="0" w:color="auto"/>
        <w:left w:val="none" w:sz="0" w:space="0" w:color="auto"/>
        <w:bottom w:val="none" w:sz="0" w:space="0" w:color="auto"/>
        <w:right w:val="none" w:sz="0" w:space="0" w:color="auto"/>
      </w:divBdr>
    </w:div>
    <w:div w:id="452864454">
      <w:bodyDiv w:val="1"/>
      <w:marLeft w:val="0"/>
      <w:marRight w:val="0"/>
      <w:marTop w:val="0"/>
      <w:marBottom w:val="0"/>
      <w:divBdr>
        <w:top w:val="none" w:sz="0" w:space="0" w:color="auto"/>
        <w:left w:val="none" w:sz="0" w:space="0" w:color="auto"/>
        <w:bottom w:val="none" w:sz="0" w:space="0" w:color="auto"/>
        <w:right w:val="none" w:sz="0" w:space="0" w:color="auto"/>
      </w:divBdr>
    </w:div>
    <w:div w:id="457377558">
      <w:bodyDiv w:val="1"/>
      <w:marLeft w:val="0"/>
      <w:marRight w:val="0"/>
      <w:marTop w:val="0"/>
      <w:marBottom w:val="0"/>
      <w:divBdr>
        <w:top w:val="none" w:sz="0" w:space="0" w:color="auto"/>
        <w:left w:val="none" w:sz="0" w:space="0" w:color="auto"/>
        <w:bottom w:val="none" w:sz="0" w:space="0" w:color="auto"/>
        <w:right w:val="none" w:sz="0" w:space="0" w:color="auto"/>
      </w:divBdr>
    </w:div>
    <w:div w:id="458378475">
      <w:bodyDiv w:val="1"/>
      <w:marLeft w:val="0"/>
      <w:marRight w:val="0"/>
      <w:marTop w:val="0"/>
      <w:marBottom w:val="0"/>
      <w:divBdr>
        <w:top w:val="none" w:sz="0" w:space="0" w:color="auto"/>
        <w:left w:val="none" w:sz="0" w:space="0" w:color="auto"/>
        <w:bottom w:val="none" w:sz="0" w:space="0" w:color="auto"/>
        <w:right w:val="none" w:sz="0" w:space="0" w:color="auto"/>
      </w:divBdr>
    </w:div>
    <w:div w:id="458576537">
      <w:bodyDiv w:val="1"/>
      <w:marLeft w:val="0"/>
      <w:marRight w:val="0"/>
      <w:marTop w:val="0"/>
      <w:marBottom w:val="0"/>
      <w:divBdr>
        <w:top w:val="none" w:sz="0" w:space="0" w:color="auto"/>
        <w:left w:val="none" w:sz="0" w:space="0" w:color="auto"/>
        <w:bottom w:val="none" w:sz="0" w:space="0" w:color="auto"/>
        <w:right w:val="none" w:sz="0" w:space="0" w:color="auto"/>
      </w:divBdr>
    </w:div>
    <w:div w:id="461582973">
      <w:bodyDiv w:val="1"/>
      <w:marLeft w:val="0"/>
      <w:marRight w:val="0"/>
      <w:marTop w:val="0"/>
      <w:marBottom w:val="0"/>
      <w:divBdr>
        <w:top w:val="none" w:sz="0" w:space="0" w:color="auto"/>
        <w:left w:val="none" w:sz="0" w:space="0" w:color="auto"/>
        <w:bottom w:val="none" w:sz="0" w:space="0" w:color="auto"/>
        <w:right w:val="none" w:sz="0" w:space="0" w:color="auto"/>
      </w:divBdr>
    </w:div>
    <w:div w:id="467625232">
      <w:bodyDiv w:val="1"/>
      <w:marLeft w:val="0"/>
      <w:marRight w:val="0"/>
      <w:marTop w:val="0"/>
      <w:marBottom w:val="0"/>
      <w:divBdr>
        <w:top w:val="none" w:sz="0" w:space="0" w:color="auto"/>
        <w:left w:val="none" w:sz="0" w:space="0" w:color="auto"/>
        <w:bottom w:val="none" w:sz="0" w:space="0" w:color="auto"/>
        <w:right w:val="none" w:sz="0" w:space="0" w:color="auto"/>
      </w:divBdr>
      <w:divsChild>
        <w:div w:id="2114010480">
          <w:marLeft w:val="0"/>
          <w:marRight w:val="0"/>
          <w:marTop w:val="0"/>
          <w:marBottom w:val="0"/>
          <w:divBdr>
            <w:top w:val="none" w:sz="0" w:space="0" w:color="auto"/>
            <w:left w:val="none" w:sz="0" w:space="0" w:color="auto"/>
            <w:bottom w:val="none" w:sz="0" w:space="0" w:color="auto"/>
            <w:right w:val="none" w:sz="0" w:space="0" w:color="auto"/>
          </w:divBdr>
        </w:div>
      </w:divsChild>
    </w:div>
    <w:div w:id="471412497">
      <w:bodyDiv w:val="1"/>
      <w:marLeft w:val="0"/>
      <w:marRight w:val="0"/>
      <w:marTop w:val="0"/>
      <w:marBottom w:val="0"/>
      <w:divBdr>
        <w:top w:val="none" w:sz="0" w:space="0" w:color="auto"/>
        <w:left w:val="none" w:sz="0" w:space="0" w:color="auto"/>
        <w:bottom w:val="none" w:sz="0" w:space="0" w:color="auto"/>
        <w:right w:val="none" w:sz="0" w:space="0" w:color="auto"/>
      </w:divBdr>
    </w:div>
    <w:div w:id="472719549">
      <w:bodyDiv w:val="1"/>
      <w:marLeft w:val="0"/>
      <w:marRight w:val="0"/>
      <w:marTop w:val="0"/>
      <w:marBottom w:val="0"/>
      <w:divBdr>
        <w:top w:val="none" w:sz="0" w:space="0" w:color="auto"/>
        <w:left w:val="none" w:sz="0" w:space="0" w:color="auto"/>
        <w:bottom w:val="none" w:sz="0" w:space="0" w:color="auto"/>
        <w:right w:val="none" w:sz="0" w:space="0" w:color="auto"/>
      </w:divBdr>
    </w:div>
    <w:div w:id="475336921">
      <w:bodyDiv w:val="1"/>
      <w:marLeft w:val="0"/>
      <w:marRight w:val="0"/>
      <w:marTop w:val="0"/>
      <w:marBottom w:val="0"/>
      <w:divBdr>
        <w:top w:val="none" w:sz="0" w:space="0" w:color="auto"/>
        <w:left w:val="none" w:sz="0" w:space="0" w:color="auto"/>
        <w:bottom w:val="none" w:sz="0" w:space="0" w:color="auto"/>
        <w:right w:val="none" w:sz="0" w:space="0" w:color="auto"/>
      </w:divBdr>
    </w:div>
    <w:div w:id="477846913">
      <w:bodyDiv w:val="1"/>
      <w:marLeft w:val="0"/>
      <w:marRight w:val="0"/>
      <w:marTop w:val="0"/>
      <w:marBottom w:val="0"/>
      <w:divBdr>
        <w:top w:val="none" w:sz="0" w:space="0" w:color="auto"/>
        <w:left w:val="none" w:sz="0" w:space="0" w:color="auto"/>
        <w:bottom w:val="none" w:sz="0" w:space="0" w:color="auto"/>
        <w:right w:val="none" w:sz="0" w:space="0" w:color="auto"/>
      </w:divBdr>
    </w:div>
    <w:div w:id="478039842">
      <w:bodyDiv w:val="1"/>
      <w:marLeft w:val="0"/>
      <w:marRight w:val="0"/>
      <w:marTop w:val="0"/>
      <w:marBottom w:val="0"/>
      <w:divBdr>
        <w:top w:val="none" w:sz="0" w:space="0" w:color="auto"/>
        <w:left w:val="none" w:sz="0" w:space="0" w:color="auto"/>
        <w:bottom w:val="none" w:sz="0" w:space="0" w:color="auto"/>
        <w:right w:val="none" w:sz="0" w:space="0" w:color="auto"/>
      </w:divBdr>
    </w:div>
    <w:div w:id="484199877">
      <w:bodyDiv w:val="1"/>
      <w:marLeft w:val="0"/>
      <w:marRight w:val="0"/>
      <w:marTop w:val="0"/>
      <w:marBottom w:val="0"/>
      <w:divBdr>
        <w:top w:val="none" w:sz="0" w:space="0" w:color="auto"/>
        <w:left w:val="none" w:sz="0" w:space="0" w:color="auto"/>
        <w:bottom w:val="none" w:sz="0" w:space="0" w:color="auto"/>
        <w:right w:val="none" w:sz="0" w:space="0" w:color="auto"/>
      </w:divBdr>
    </w:div>
    <w:div w:id="487406415">
      <w:bodyDiv w:val="1"/>
      <w:marLeft w:val="0"/>
      <w:marRight w:val="0"/>
      <w:marTop w:val="0"/>
      <w:marBottom w:val="0"/>
      <w:divBdr>
        <w:top w:val="none" w:sz="0" w:space="0" w:color="auto"/>
        <w:left w:val="none" w:sz="0" w:space="0" w:color="auto"/>
        <w:bottom w:val="none" w:sz="0" w:space="0" w:color="auto"/>
        <w:right w:val="none" w:sz="0" w:space="0" w:color="auto"/>
      </w:divBdr>
    </w:div>
    <w:div w:id="489832310">
      <w:bodyDiv w:val="1"/>
      <w:marLeft w:val="0"/>
      <w:marRight w:val="0"/>
      <w:marTop w:val="0"/>
      <w:marBottom w:val="0"/>
      <w:divBdr>
        <w:top w:val="none" w:sz="0" w:space="0" w:color="auto"/>
        <w:left w:val="none" w:sz="0" w:space="0" w:color="auto"/>
        <w:bottom w:val="none" w:sz="0" w:space="0" w:color="auto"/>
        <w:right w:val="none" w:sz="0" w:space="0" w:color="auto"/>
      </w:divBdr>
    </w:div>
    <w:div w:id="491877150">
      <w:bodyDiv w:val="1"/>
      <w:marLeft w:val="0"/>
      <w:marRight w:val="0"/>
      <w:marTop w:val="0"/>
      <w:marBottom w:val="0"/>
      <w:divBdr>
        <w:top w:val="none" w:sz="0" w:space="0" w:color="auto"/>
        <w:left w:val="none" w:sz="0" w:space="0" w:color="auto"/>
        <w:bottom w:val="none" w:sz="0" w:space="0" w:color="auto"/>
        <w:right w:val="none" w:sz="0" w:space="0" w:color="auto"/>
      </w:divBdr>
    </w:div>
    <w:div w:id="492724474">
      <w:bodyDiv w:val="1"/>
      <w:marLeft w:val="0"/>
      <w:marRight w:val="0"/>
      <w:marTop w:val="0"/>
      <w:marBottom w:val="0"/>
      <w:divBdr>
        <w:top w:val="none" w:sz="0" w:space="0" w:color="auto"/>
        <w:left w:val="none" w:sz="0" w:space="0" w:color="auto"/>
        <w:bottom w:val="none" w:sz="0" w:space="0" w:color="auto"/>
        <w:right w:val="none" w:sz="0" w:space="0" w:color="auto"/>
      </w:divBdr>
    </w:div>
    <w:div w:id="493762798">
      <w:bodyDiv w:val="1"/>
      <w:marLeft w:val="0"/>
      <w:marRight w:val="0"/>
      <w:marTop w:val="0"/>
      <w:marBottom w:val="0"/>
      <w:divBdr>
        <w:top w:val="none" w:sz="0" w:space="0" w:color="auto"/>
        <w:left w:val="none" w:sz="0" w:space="0" w:color="auto"/>
        <w:bottom w:val="none" w:sz="0" w:space="0" w:color="auto"/>
        <w:right w:val="none" w:sz="0" w:space="0" w:color="auto"/>
      </w:divBdr>
      <w:divsChild>
        <w:div w:id="157311528">
          <w:marLeft w:val="0"/>
          <w:marRight w:val="0"/>
          <w:marTop w:val="0"/>
          <w:marBottom w:val="0"/>
          <w:divBdr>
            <w:top w:val="none" w:sz="0" w:space="0" w:color="auto"/>
            <w:left w:val="none" w:sz="0" w:space="0" w:color="auto"/>
            <w:bottom w:val="none" w:sz="0" w:space="0" w:color="auto"/>
            <w:right w:val="none" w:sz="0" w:space="0" w:color="auto"/>
          </w:divBdr>
        </w:div>
        <w:div w:id="228344989">
          <w:marLeft w:val="0"/>
          <w:marRight w:val="0"/>
          <w:marTop w:val="0"/>
          <w:marBottom w:val="0"/>
          <w:divBdr>
            <w:top w:val="none" w:sz="0" w:space="0" w:color="auto"/>
            <w:left w:val="none" w:sz="0" w:space="0" w:color="auto"/>
            <w:bottom w:val="none" w:sz="0" w:space="0" w:color="auto"/>
            <w:right w:val="none" w:sz="0" w:space="0" w:color="auto"/>
          </w:divBdr>
        </w:div>
        <w:div w:id="283080766">
          <w:marLeft w:val="0"/>
          <w:marRight w:val="0"/>
          <w:marTop w:val="0"/>
          <w:marBottom w:val="0"/>
          <w:divBdr>
            <w:top w:val="none" w:sz="0" w:space="0" w:color="auto"/>
            <w:left w:val="none" w:sz="0" w:space="0" w:color="auto"/>
            <w:bottom w:val="none" w:sz="0" w:space="0" w:color="auto"/>
            <w:right w:val="none" w:sz="0" w:space="0" w:color="auto"/>
          </w:divBdr>
        </w:div>
        <w:div w:id="391318626">
          <w:marLeft w:val="0"/>
          <w:marRight w:val="0"/>
          <w:marTop w:val="0"/>
          <w:marBottom w:val="0"/>
          <w:divBdr>
            <w:top w:val="none" w:sz="0" w:space="0" w:color="auto"/>
            <w:left w:val="none" w:sz="0" w:space="0" w:color="auto"/>
            <w:bottom w:val="none" w:sz="0" w:space="0" w:color="auto"/>
            <w:right w:val="none" w:sz="0" w:space="0" w:color="auto"/>
          </w:divBdr>
        </w:div>
        <w:div w:id="449399322">
          <w:marLeft w:val="0"/>
          <w:marRight w:val="0"/>
          <w:marTop w:val="0"/>
          <w:marBottom w:val="0"/>
          <w:divBdr>
            <w:top w:val="none" w:sz="0" w:space="0" w:color="auto"/>
            <w:left w:val="none" w:sz="0" w:space="0" w:color="auto"/>
            <w:bottom w:val="none" w:sz="0" w:space="0" w:color="auto"/>
            <w:right w:val="none" w:sz="0" w:space="0" w:color="auto"/>
          </w:divBdr>
        </w:div>
        <w:div w:id="645476002">
          <w:marLeft w:val="0"/>
          <w:marRight w:val="0"/>
          <w:marTop w:val="0"/>
          <w:marBottom w:val="0"/>
          <w:divBdr>
            <w:top w:val="none" w:sz="0" w:space="0" w:color="auto"/>
            <w:left w:val="none" w:sz="0" w:space="0" w:color="auto"/>
            <w:bottom w:val="none" w:sz="0" w:space="0" w:color="auto"/>
            <w:right w:val="none" w:sz="0" w:space="0" w:color="auto"/>
          </w:divBdr>
        </w:div>
        <w:div w:id="778061005">
          <w:marLeft w:val="0"/>
          <w:marRight w:val="0"/>
          <w:marTop w:val="0"/>
          <w:marBottom w:val="0"/>
          <w:divBdr>
            <w:top w:val="none" w:sz="0" w:space="0" w:color="auto"/>
            <w:left w:val="none" w:sz="0" w:space="0" w:color="auto"/>
            <w:bottom w:val="none" w:sz="0" w:space="0" w:color="auto"/>
            <w:right w:val="none" w:sz="0" w:space="0" w:color="auto"/>
          </w:divBdr>
        </w:div>
        <w:div w:id="823159641">
          <w:marLeft w:val="0"/>
          <w:marRight w:val="0"/>
          <w:marTop w:val="0"/>
          <w:marBottom w:val="0"/>
          <w:divBdr>
            <w:top w:val="none" w:sz="0" w:space="0" w:color="auto"/>
            <w:left w:val="none" w:sz="0" w:space="0" w:color="auto"/>
            <w:bottom w:val="none" w:sz="0" w:space="0" w:color="auto"/>
            <w:right w:val="none" w:sz="0" w:space="0" w:color="auto"/>
          </w:divBdr>
        </w:div>
        <w:div w:id="1236625037">
          <w:marLeft w:val="0"/>
          <w:marRight w:val="0"/>
          <w:marTop w:val="0"/>
          <w:marBottom w:val="0"/>
          <w:divBdr>
            <w:top w:val="none" w:sz="0" w:space="0" w:color="auto"/>
            <w:left w:val="none" w:sz="0" w:space="0" w:color="auto"/>
            <w:bottom w:val="none" w:sz="0" w:space="0" w:color="auto"/>
            <w:right w:val="none" w:sz="0" w:space="0" w:color="auto"/>
          </w:divBdr>
        </w:div>
        <w:div w:id="1382898333">
          <w:marLeft w:val="0"/>
          <w:marRight w:val="0"/>
          <w:marTop w:val="0"/>
          <w:marBottom w:val="0"/>
          <w:divBdr>
            <w:top w:val="none" w:sz="0" w:space="0" w:color="auto"/>
            <w:left w:val="none" w:sz="0" w:space="0" w:color="auto"/>
            <w:bottom w:val="none" w:sz="0" w:space="0" w:color="auto"/>
            <w:right w:val="none" w:sz="0" w:space="0" w:color="auto"/>
          </w:divBdr>
        </w:div>
        <w:div w:id="1383872336">
          <w:marLeft w:val="0"/>
          <w:marRight w:val="0"/>
          <w:marTop w:val="0"/>
          <w:marBottom w:val="0"/>
          <w:divBdr>
            <w:top w:val="none" w:sz="0" w:space="0" w:color="auto"/>
            <w:left w:val="none" w:sz="0" w:space="0" w:color="auto"/>
            <w:bottom w:val="none" w:sz="0" w:space="0" w:color="auto"/>
            <w:right w:val="none" w:sz="0" w:space="0" w:color="auto"/>
          </w:divBdr>
        </w:div>
        <w:div w:id="1406099961">
          <w:marLeft w:val="0"/>
          <w:marRight w:val="0"/>
          <w:marTop w:val="0"/>
          <w:marBottom w:val="0"/>
          <w:divBdr>
            <w:top w:val="none" w:sz="0" w:space="0" w:color="auto"/>
            <w:left w:val="none" w:sz="0" w:space="0" w:color="auto"/>
            <w:bottom w:val="none" w:sz="0" w:space="0" w:color="auto"/>
            <w:right w:val="none" w:sz="0" w:space="0" w:color="auto"/>
          </w:divBdr>
        </w:div>
        <w:div w:id="1635520180">
          <w:marLeft w:val="0"/>
          <w:marRight w:val="0"/>
          <w:marTop w:val="0"/>
          <w:marBottom w:val="0"/>
          <w:divBdr>
            <w:top w:val="none" w:sz="0" w:space="0" w:color="auto"/>
            <w:left w:val="none" w:sz="0" w:space="0" w:color="auto"/>
            <w:bottom w:val="none" w:sz="0" w:space="0" w:color="auto"/>
            <w:right w:val="none" w:sz="0" w:space="0" w:color="auto"/>
          </w:divBdr>
        </w:div>
      </w:divsChild>
    </w:div>
    <w:div w:id="495465533">
      <w:bodyDiv w:val="1"/>
      <w:marLeft w:val="0"/>
      <w:marRight w:val="0"/>
      <w:marTop w:val="0"/>
      <w:marBottom w:val="0"/>
      <w:divBdr>
        <w:top w:val="none" w:sz="0" w:space="0" w:color="auto"/>
        <w:left w:val="none" w:sz="0" w:space="0" w:color="auto"/>
        <w:bottom w:val="none" w:sz="0" w:space="0" w:color="auto"/>
        <w:right w:val="none" w:sz="0" w:space="0" w:color="auto"/>
      </w:divBdr>
    </w:div>
    <w:div w:id="497966213">
      <w:bodyDiv w:val="1"/>
      <w:marLeft w:val="0"/>
      <w:marRight w:val="0"/>
      <w:marTop w:val="0"/>
      <w:marBottom w:val="0"/>
      <w:divBdr>
        <w:top w:val="none" w:sz="0" w:space="0" w:color="auto"/>
        <w:left w:val="none" w:sz="0" w:space="0" w:color="auto"/>
        <w:bottom w:val="none" w:sz="0" w:space="0" w:color="auto"/>
        <w:right w:val="none" w:sz="0" w:space="0" w:color="auto"/>
      </w:divBdr>
    </w:div>
    <w:div w:id="498544067">
      <w:bodyDiv w:val="1"/>
      <w:marLeft w:val="0"/>
      <w:marRight w:val="0"/>
      <w:marTop w:val="0"/>
      <w:marBottom w:val="0"/>
      <w:divBdr>
        <w:top w:val="none" w:sz="0" w:space="0" w:color="auto"/>
        <w:left w:val="none" w:sz="0" w:space="0" w:color="auto"/>
        <w:bottom w:val="none" w:sz="0" w:space="0" w:color="auto"/>
        <w:right w:val="none" w:sz="0" w:space="0" w:color="auto"/>
      </w:divBdr>
    </w:div>
    <w:div w:id="498618934">
      <w:bodyDiv w:val="1"/>
      <w:marLeft w:val="0"/>
      <w:marRight w:val="0"/>
      <w:marTop w:val="0"/>
      <w:marBottom w:val="0"/>
      <w:divBdr>
        <w:top w:val="none" w:sz="0" w:space="0" w:color="auto"/>
        <w:left w:val="none" w:sz="0" w:space="0" w:color="auto"/>
        <w:bottom w:val="none" w:sz="0" w:space="0" w:color="auto"/>
        <w:right w:val="none" w:sz="0" w:space="0" w:color="auto"/>
      </w:divBdr>
    </w:div>
    <w:div w:id="503738575">
      <w:bodyDiv w:val="1"/>
      <w:marLeft w:val="0"/>
      <w:marRight w:val="0"/>
      <w:marTop w:val="0"/>
      <w:marBottom w:val="0"/>
      <w:divBdr>
        <w:top w:val="none" w:sz="0" w:space="0" w:color="auto"/>
        <w:left w:val="none" w:sz="0" w:space="0" w:color="auto"/>
        <w:bottom w:val="none" w:sz="0" w:space="0" w:color="auto"/>
        <w:right w:val="none" w:sz="0" w:space="0" w:color="auto"/>
      </w:divBdr>
    </w:div>
    <w:div w:id="504059359">
      <w:bodyDiv w:val="1"/>
      <w:marLeft w:val="0"/>
      <w:marRight w:val="0"/>
      <w:marTop w:val="0"/>
      <w:marBottom w:val="0"/>
      <w:divBdr>
        <w:top w:val="none" w:sz="0" w:space="0" w:color="auto"/>
        <w:left w:val="none" w:sz="0" w:space="0" w:color="auto"/>
        <w:bottom w:val="none" w:sz="0" w:space="0" w:color="auto"/>
        <w:right w:val="none" w:sz="0" w:space="0" w:color="auto"/>
      </w:divBdr>
    </w:div>
    <w:div w:id="504367444">
      <w:bodyDiv w:val="1"/>
      <w:marLeft w:val="0"/>
      <w:marRight w:val="0"/>
      <w:marTop w:val="0"/>
      <w:marBottom w:val="0"/>
      <w:divBdr>
        <w:top w:val="none" w:sz="0" w:space="0" w:color="auto"/>
        <w:left w:val="none" w:sz="0" w:space="0" w:color="auto"/>
        <w:bottom w:val="none" w:sz="0" w:space="0" w:color="auto"/>
        <w:right w:val="none" w:sz="0" w:space="0" w:color="auto"/>
      </w:divBdr>
    </w:div>
    <w:div w:id="509488653">
      <w:bodyDiv w:val="1"/>
      <w:marLeft w:val="0"/>
      <w:marRight w:val="0"/>
      <w:marTop w:val="0"/>
      <w:marBottom w:val="0"/>
      <w:divBdr>
        <w:top w:val="none" w:sz="0" w:space="0" w:color="auto"/>
        <w:left w:val="none" w:sz="0" w:space="0" w:color="auto"/>
        <w:bottom w:val="none" w:sz="0" w:space="0" w:color="auto"/>
        <w:right w:val="none" w:sz="0" w:space="0" w:color="auto"/>
      </w:divBdr>
    </w:div>
    <w:div w:id="514809623">
      <w:bodyDiv w:val="1"/>
      <w:marLeft w:val="0"/>
      <w:marRight w:val="0"/>
      <w:marTop w:val="0"/>
      <w:marBottom w:val="0"/>
      <w:divBdr>
        <w:top w:val="none" w:sz="0" w:space="0" w:color="auto"/>
        <w:left w:val="none" w:sz="0" w:space="0" w:color="auto"/>
        <w:bottom w:val="none" w:sz="0" w:space="0" w:color="auto"/>
        <w:right w:val="none" w:sz="0" w:space="0" w:color="auto"/>
      </w:divBdr>
    </w:div>
    <w:div w:id="516044650">
      <w:bodyDiv w:val="1"/>
      <w:marLeft w:val="0"/>
      <w:marRight w:val="0"/>
      <w:marTop w:val="0"/>
      <w:marBottom w:val="0"/>
      <w:divBdr>
        <w:top w:val="none" w:sz="0" w:space="0" w:color="auto"/>
        <w:left w:val="none" w:sz="0" w:space="0" w:color="auto"/>
        <w:bottom w:val="none" w:sz="0" w:space="0" w:color="auto"/>
        <w:right w:val="none" w:sz="0" w:space="0" w:color="auto"/>
      </w:divBdr>
    </w:div>
    <w:div w:id="516887666">
      <w:bodyDiv w:val="1"/>
      <w:marLeft w:val="0"/>
      <w:marRight w:val="0"/>
      <w:marTop w:val="0"/>
      <w:marBottom w:val="0"/>
      <w:divBdr>
        <w:top w:val="none" w:sz="0" w:space="0" w:color="auto"/>
        <w:left w:val="none" w:sz="0" w:space="0" w:color="auto"/>
        <w:bottom w:val="none" w:sz="0" w:space="0" w:color="auto"/>
        <w:right w:val="none" w:sz="0" w:space="0" w:color="auto"/>
      </w:divBdr>
    </w:div>
    <w:div w:id="521936552">
      <w:bodyDiv w:val="1"/>
      <w:marLeft w:val="0"/>
      <w:marRight w:val="0"/>
      <w:marTop w:val="0"/>
      <w:marBottom w:val="0"/>
      <w:divBdr>
        <w:top w:val="none" w:sz="0" w:space="0" w:color="auto"/>
        <w:left w:val="none" w:sz="0" w:space="0" w:color="auto"/>
        <w:bottom w:val="none" w:sz="0" w:space="0" w:color="auto"/>
        <w:right w:val="none" w:sz="0" w:space="0" w:color="auto"/>
      </w:divBdr>
    </w:div>
    <w:div w:id="524442856">
      <w:bodyDiv w:val="1"/>
      <w:marLeft w:val="0"/>
      <w:marRight w:val="0"/>
      <w:marTop w:val="0"/>
      <w:marBottom w:val="0"/>
      <w:divBdr>
        <w:top w:val="none" w:sz="0" w:space="0" w:color="auto"/>
        <w:left w:val="none" w:sz="0" w:space="0" w:color="auto"/>
        <w:bottom w:val="none" w:sz="0" w:space="0" w:color="auto"/>
        <w:right w:val="none" w:sz="0" w:space="0" w:color="auto"/>
      </w:divBdr>
    </w:div>
    <w:div w:id="524830089">
      <w:bodyDiv w:val="1"/>
      <w:marLeft w:val="0"/>
      <w:marRight w:val="0"/>
      <w:marTop w:val="0"/>
      <w:marBottom w:val="0"/>
      <w:divBdr>
        <w:top w:val="none" w:sz="0" w:space="0" w:color="auto"/>
        <w:left w:val="none" w:sz="0" w:space="0" w:color="auto"/>
        <w:bottom w:val="none" w:sz="0" w:space="0" w:color="auto"/>
        <w:right w:val="none" w:sz="0" w:space="0" w:color="auto"/>
      </w:divBdr>
    </w:div>
    <w:div w:id="524901685">
      <w:bodyDiv w:val="1"/>
      <w:marLeft w:val="0"/>
      <w:marRight w:val="0"/>
      <w:marTop w:val="0"/>
      <w:marBottom w:val="0"/>
      <w:divBdr>
        <w:top w:val="none" w:sz="0" w:space="0" w:color="auto"/>
        <w:left w:val="none" w:sz="0" w:space="0" w:color="auto"/>
        <w:bottom w:val="none" w:sz="0" w:space="0" w:color="auto"/>
        <w:right w:val="none" w:sz="0" w:space="0" w:color="auto"/>
      </w:divBdr>
    </w:div>
    <w:div w:id="524902899">
      <w:bodyDiv w:val="1"/>
      <w:marLeft w:val="0"/>
      <w:marRight w:val="0"/>
      <w:marTop w:val="0"/>
      <w:marBottom w:val="0"/>
      <w:divBdr>
        <w:top w:val="none" w:sz="0" w:space="0" w:color="auto"/>
        <w:left w:val="none" w:sz="0" w:space="0" w:color="auto"/>
        <w:bottom w:val="none" w:sz="0" w:space="0" w:color="auto"/>
        <w:right w:val="none" w:sz="0" w:space="0" w:color="auto"/>
      </w:divBdr>
    </w:div>
    <w:div w:id="527958898">
      <w:bodyDiv w:val="1"/>
      <w:marLeft w:val="0"/>
      <w:marRight w:val="0"/>
      <w:marTop w:val="0"/>
      <w:marBottom w:val="0"/>
      <w:divBdr>
        <w:top w:val="none" w:sz="0" w:space="0" w:color="auto"/>
        <w:left w:val="none" w:sz="0" w:space="0" w:color="auto"/>
        <w:bottom w:val="none" w:sz="0" w:space="0" w:color="auto"/>
        <w:right w:val="none" w:sz="0" w:space="0" w:color="auto"/>
      </w:divBdr>
    </w:div>
    <w:div w:id="529143298">
      <w:bodyDiv w:val="1"/>
      <w:marLeft w:val="0"/>
      <w:marRight w:val="0"/>
      <w:marTop w:val="0"/>
      <w:marBottom w:val="0"/>
      <w:divBdr>
        <w:top w:val="none" w:sz="0" w:space="0" w:color="auto"/>
        <w:left w:val="none" w:sz="0" w:space="0" w:color="auto"/>
        <w:bottom w:val="none" w:sz="0" w:space="0" w:color="auto"/>
        <w:right w:val="none" w:sz="0" w:space="0" w:color="auto"/>
      </w:divBdr>
    </w:div>
    <w:div w:id="529682313">
      <w:bodyDiv w:val="1"/>
      <w:marLeft w:val="0"/>
      <w:marRight w:val="0"/>
      <w:marTop w:val="0"/>
      <w:marBottom w:val="0"/>
      <w:divBdr>
        <w:top w:val="none" w:sz="0" w:space="0" w:color="auto"/>
        <w:left w:val="none" w:sz="0" w:space="0" w:color="auto"/>
        <w:bottom w:val="none" w:sz="0" w:space="0" w:color="auto"/>
        <w:right w:val="none" w:sz="0" w:space="0" w:color="auto"/>
      </w:divBdr>
    </w:div>
    <w:div w:id="534192366">
      <w:bodyDiv w:val="1"/>
      <w:marLeft w:val="0"/>
      <w:marRight w:val="0"/>
      <w:marTop w:val="0"/>
      <w:marBottom w:val="0"/>
      <w:divBdr>
        <w:top w:val="none" w:sz="0" w:space="0" w:color="auto"/>
        <w:left w:val="none" w:sz="0" w:space="0" w:color="auto"/>
        <w:bottom w:val="none" w:sz="0" w:space="0" w:color="auto"/>
        <w:right w:val="none" w:sz="0" w:space="0" w:color="auto"/>
      </w:divBdr>
    </w:div>
    <w:div w:id="537208386">
      <w:bodyDiv w:val="1"/>
      <w:marLeft w:val="0"/>
      <w:marRight w:val="0"/>
      <w:marTop w:val="0"/>
      <w:marBottom w:val="0"/>
      <w:divBdr>
        <w:top w:val="none" w:sz="0" w:space="0" w:color="auto"/>
        <w:left w:val="none" w:sz="0" w:space="0" w:color="auto"/>
        <w:bottom w:val="none" w:sz="0" w:space="0" w:color="auto"/>
        <w:right w:val="none" w:sz="0" w:space="0" w:color="auto"/>
      </w:divBdr>
    </w:div>
    <w:div w:id="537350457">
      <w:bodyDiv w:val="1"/>
      <w:marLeft w:val="0"/>
      <w:marRight w:val="0"/>
      <w:marTop w:val="0"/>
      <w:marBottom w:val="0"/>
      <w:divBdr>
        <w:top w:val="none" w:sz="0" w:space="0" w:color="auto"/>
        <w:left w:val="none" w:sz="0" w:space="0" w:color="auto"/>
        <w:bottom w:val="none" w:sz="0" w:space="0" w:color="auto"/>
        <w:right w:val="none" w:sz="0" w:space="0" w:color="auto"/>
      </w:divBdr>
    </w:div>
    <w:div w:id="541022832">
      <w:bodyDiv w:val="1"/>
      <w:marLeft w:val="0"/>
      <w:marRight w:val="0"/>
      <w:marTop w:val="0"/>
      <w:marBottom w:val="0"/>
      <w:divBdr>
        <w:top w:val="none" w:sz="0" w:space="0" w:color="auto"/>
        <w:left w:val="none" w:sz="0" w:space="0" w:color="auto"/>
        <w:bottom w:val="none" w:sz="0" w:space="0" w:color="auto"/>
        <w:right w:val="none" w:sz="0" w:space="0" w:color="auto"/>
      </w:divBdr>
    </w:div>
    <w:div w:id="544022338">
      <w:bodyDiv w:val="1"/>
      <w:marLeft w:val="0"/>
      <w:marRight w:val="0"/>
      <w:marTop w:val="0"/>
      <w:marBottom w:val="0"/>
      <w:divBdr>
        <w:top w:val="none" w:sz="0" w:space="0" w:color="auto"/>
        <w:left w:val="none" w:sz="0" w:space="0" w:color="auto"/>
        <w:bottom w:val="none" w:sz="0" w:space="0" w:color="auto"/>
        <w:right w:val="none" w:sz="0" w:space="0" w:color="auto"/>
      </w:divBdr>
    </w:div>
    <w:div w:id="544685918">
      <w:bodyDiv w:val="1"/>
      <w:marLeft w:val="0"/>
      <w:marRight w:val="0"/>
      <w:marTop w:val="0"/>
      <w:marBottom w:val="0"/>
      <w:divBdr>
        <w:top w:val="none" w:sz="0" w:space="0" w:color="auto"/>
        <w:left w:val="none" w:sz="0" w:space="0" w:color="auto"/>
        <w:bottom w:val="none" w:sz="0" w:space="0" w:color="auto"/>
        <w:right w:val="none" w:sz="0" w:space="0" w:color="auto"/>
      </w:divBdr>
    </w:div>
    <w:div w:id="546842089">
      <w:bodyDiv w:val="1"/>
      <w:marLeft w:val="0"/>
      <w:marRight w:val="0"/>
      <w:marTop w:val="0"/>
      <w:marBottom w:val="0"/>
      <w:divBdr>
        <w:top w:val="none" w:sz="0" w:space="0" w:color="auto"/>
        <w:left w:val="none" w:sz="0" w:space="0" w:color="auto"/>
        <w:bottom w:val="none" w:sz="0" w:space="0" w:color="auto"/>
        <w:right w:val="none" w:sz="0" w:space="0" w:color="auto"/>
      </w:divBdr>
      <w:divsChild>
        <w:div w:id="385182808">
          <w:marLeft w:val="0"/>
          <w:marRight w:val="0"/>
          <w:marTop w:val="0"/>
          <w:marBottom w:val="0"/>
          <w:divBdr>
            <w:top w:val="none" w:sz="0" w:space="0" w:color="auto"/>
            <w:left w:val="none" w:sz="0" w:space="0" w:color="auto"/>
            <w:bottom w:val="none" w:sz="0" w:space="0" w:color="auto"/>
            <w:right w:val="none" w:sz="0" w:space="0" w:color="auto"/>
          </w:divBdr>
          <w:divsChild>
            <w:div w:id="440808192">
              <w:marLeft w:val="0"/>
              <w:marRight w:val="0"/>
              <w:marTop w:val="0"/>
              <w:marBottom w:val="0"/>
              <w:divBdr>
                <w:top w:val="none" w:sz="0" w:space="0" w:color="auto"/>
                <w:left w:val="none" w:sz="0" w:space="0" w:color="auto"/>
                <w:bottom w:val="none" w:sz="0" w:space="0" w:color="auto"/>
                <w:right w:val="none" w:sz="0" w:space="0" w:color="auto"/>
              </w:divBdr>
              <w:divsChild>
                <w:div w:id="269095528">
                  <w:marLeft w:val="0"/>
                  <w:marRight w:val="0"/>
                  <w:marTop w:val="0"/>
                  <w:marBottom w:val="0"/>
                  <w:divBdr>
                    <w:top w:val="none" w:sz="0" w:space="0" w:color="auto"/>
                    <w:left w:val="none" w:sz="0" w:space="0" w:color="auto"/>
                    <w:bottom w:val="none" w:sz="0" w:space="0" w:color="auto"/>
                    <w:right w:val="none" w:sz="0" w:space="0" w:color="auto"/>
                  </w:divBdr>
                </w:div>
                <w:div w:id="270548660">
                  <w:marLeft w:val="0"/>
                  <w:marRight w:val="0"/>
                  <w:marTop w:val="0"/>
                  <w:marBottom w:val="0"/>
                  <w:divBdr>
                    <w:top w:val="none" w:sz="0" w:space="0" w:color="auto"/>
                    <w:left w:val="none" w:sz="0" w:space="0" w:color="auto"/>
                    <w:bottom w:val="none" w:sz="0" w:space="0" w:color="auto"/>
                    <w:right w:val="none" w:sz="0" w:space="0" w:color="auto"/>
                  </w:divBdr>
                  <w:divsChild>
                    <w:div w:id="384456507">
                      <w:marLeft w:val="0"/>
                      <w:marRight w:val="0"/>
                      <w:marTop w:val="0"/>
                      <w:marBottom w:val="0"/>
                      <w:divBdr>
                        <w:top w:val="none" w:sz="0" w:space="0" w:color="auto"/>
                        <w:left w:val="none" w:sz="0" w:space="0" w:color="auto"/>
                        <w:bottom w:val="none" w:sz="0" w:space="0" w:color="auto"/>
                        <w:right w:val="none" w:sz="0" w:space="0" w:color="auto"/>
                      </w:divBdr>
                    </w:div>
                    <w:div w:id="102891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963553">
          <w:marLeft w:val="0"/>
          <w:marRight w:val="83"/>
          <w:marTop w:val="0"/>
          <w:marBottom w:val="0"/>
          <w:divBdr>
            <w:top w:val="none" w:sz="0" w:space="0" w:color="auto"/>
            <w:left w:val="none" w:sz="0" w:space="0" w:color="auto"/>
            <w:bottom w:val="none" w:sz="0" w:space="0" w:color="auto"/>
            <w:right w:val="none" w:sz="0" w:space="0" w:color="auto"/>
          </w:divBdr>
        </w:div>
      </w:divsChild>
    </w:div>
    <w:div w:id="548734638">
      <w:bodyDiv w:val="1"/>
      <w:marLeft w:val="0"/>
      <w:marRight w:val="0"/>
      <w:marTop w:val="0"/>
      <w:marBottom w:val="0"/>
      <w:divBdr>
        <w:top w:val="none" w:sz="0" w:space="0" w:color="auto"/>
        <w:left w:val="none" w:sz="0" w:space="0" w:color="auto"/>
        <w:bottom w:val="none" w:sz="0" w:space="0" w:color="auto"/>
        <w:right w:val="none" w:sz="0" w:space="0" w:color="auto"/>
      </w:divBdr>
    </w:div>
    <w:div w:id="549923105">
      <w:bodyDiv w:val="1"/>
      <w:marLeft w:val="0"/>
      <w:marRight w:val="0"/>
      <w:marTop w:val="0"/>
      <w:marBottom w:val="0"/>
      <w:divBdr>
        <w:top w:val="none" w:sz="0" w:space="0" w:color="auto"/>
        <w:left w:val="none" w:sz="0" w:space="0" w:color="auto"/>
        <w:bottom w:val="none" w:sz="0" w:space="0" w:color="auto"/>
        <w:right w:val="none" w:sz="0" w:space="0" w:color="auto"/>
      </w:divBdr>
    </w:div>
    <w:div w:id="553125478">
      <w:bodyDiv w:val="1"/>
      <w:marLeft w:val="0"/>
      <w:marRight w:val="0"/>
      <w:marTop w:val="0"/>
      <w:marBottom w:val="0"/>
      <w:divBdr>
        <w:top w:val="none" w:sz="0" w:space="0" w:color="auto"/>
        <w:left w:val="none" w:sz="0" w:space="0" w:color="auto"/>
        <w:bottom w:val="none" w:sz="0" w:space="0" w:color="auto"/>
        <w:right w:val="none" w:sz="0" w:space="0" w:color="auto"/>
      </w:divBdr>
    </w:div>
    <w:div w:id="553933637">
      <w:bodyDiv w:val="1"/>
      <w:marLeft w:val="0"/>
      <w:marRight w:val="0"/>
      <w:marTop w:val="0"/>
      <w:marBottom w:val="0"/>
      <w:divBdr>
        <w:top w:val="none" w:sz="0" w:space="0" w:color="auto"/>
        <w:left w:val="none" w:sz="0" w:space="0" w:color="auto"/>
        <w:bottom w:val="none" w:sz="0" w:space="0" w:color="auto"/>
        <w:right w:val="none" w:sz="0" w:space="0" w:color="auto"/>
      </w:divBdr>
      <w:divsChild>
        <w:div w:id="617419825">
          <w:marLeft w:val="0"/>
          <w:marRight w:val="0"/>
          <w:marTop w:val="0"/>
          <w:marBottom w:val="0"/>
          <w:divBdr>
            <w:top w:val="none" w:sz="0" w:space="0" w:color="auto"/>
            <w:left w:val="none" w:sz="0" w:space="0" w:color="auto"/>
            <w:bottom w:val="none" w:sz="0" w:space="0" w:color="auto"/>
            <w:right w:val="none" w:sz="0" w:space="0" w:color="auto"/>
          </w:divBdr>
        </w:div>
      </w:divsChild>
    </w:div>
    <w:div w:id="554586611">
      <w:bodyDiv w:val="1"/>
      <w:marLeft w:val="0"/>
      <w:marRight w:val="0"/>
      <w:marTop w:val="0"/>
      <w:marBottom w:val="0"/>
      <w:divBdr>
        <w:top w:val="none" w:sz="0" w:space="0" w:color="auto"/>
        <w:left w:val="none" w:sz="0" w:space="0" w:color="auto"/>
        <w:bottom w:val="none" w:sz="0" w:space="0" w:color="auto"/>
        <w:right w:val="none" w:sz="0" w:space="0" w:color="auto"/>
      </w:divBdr>
    </w:div>
    <w:div w:id="555316833">
      <w:bodyDiv w:val="1"/>
      <w:marLeft w:val="0"/>
      <w:marRight w:val="0"/>
      <w:marTop w:val="0"/>
      <w:marBottom w:val="0"/>
      <w:divBdr>
        <w:top w:val="none" w:sz="0" w:space="0" w:color="auto"/>
        <w:left w:val="none" w:sz="0" w:space="0" w:color="auto"/>
        <w:bottom w:val="none" w:sz="0" w:space="0" w:color="auto"/>
        <w:right w:val="none" w:sz="0" w:space="0" w:color="auto"/>
      </w:divBdr>
    </w:div>
    <w:div w:id="555899269">
      <w:bodyDiv w:val="1"/>
      <w:marLeft w:val="0"/>
      <w:marRight w:val="0"/>
      <w:marTop w:val="0"/>
      <w:marBottom w:val="0"/>
      <w:divBdr>
        <w:top w:val="none" w:sz="0" w:space="0" w:color="auto"/>
        <w:left w:val="none" w:sz="0" w:space="0" w:color="auto"/>
        <w:bottom w:val="none" w:sz="0" w:space="0" w:color="auto"/>
        <w:right w:val="none" w:sz="0" w:space="0" w:color="auto"/>
      </w:divBdr>
    </w:div>
    <w:div w:id="556354752">
      <w:bodyDiv w:val="1"/>
      <w:marLeft w:val="0"/>
      <w:marRight w:val="0"/>
      <w:marTop w:val="0"/>
      <w:marBottom w:val="0"/>
      <w:divBdr>
        <w:top w:val="none" w:sz="0" w:space="0" w:color="auto"/>
        <w:left w:val="none" w:sz="0" w:space="0" w:color="auto"/>
        <w:bottom w:val="none" w:sz="0" w:space="0" w:color="auto"/>
        <w:right w:val="none" w:sz="0" w:space="0" w:color="auto"/>
      </w:divBdr>
    </w:div>
    <w:div w:id="558172836">
      <w:bodyDiv w:val="1"/>
      <w:marLeft w:val="0"/>
      <w:marRight w:val="0"/>
      <w:marTop w:val="0"/>
      <w:marBottom w:val="0"/>
      <w:divBdr>
        <w:top w:val="none" w:sz="0" w:space="0" w:color="auto"/>
        <w:left w:val="none" w:sz="0" w:space="0" w:color="auto"/>
        <w:bottom w:val="none" w:sz="0" w:space="0" w:color="auto"/>
        <w:right w:val="none" w:sz="0" w:space="0" w:color="auto"/>
      </w:divBdr>
    </w:div>
    <w:div w:id="560098143">
      <w:bodyDiv w:val="1"/>
      <w:marLeft w:val="0"/>
      <w:marRight w:val="0"/>
      <w:marTop w:val="0"/>
      <w:marBottom w:val="0"/>
      <w:divBdr>
        <w:top w:val="none" w:sz="0" w:space="0" w:color="auto"/>
        <w:left w:val="none" w:sz="0" w:space="0" w:color="auto"/>
        <w:bottom w:val="none" w:sz="0" w:space="0" w:color="auto"/>
        <w:right w:val="none" w:sz="0" w:space="0" w:color="auto"/>
      </w:divBdr>
    </w:div>
    <w:div w:id="561020734">
      <w:bodyDiv w:val="1"/>
      <w:marLeft w:val="0"/>
      <w:marRight w:val="0"/>
      <w:marTop w:val="0"/>
      <w:marBottom w:val="0"/>
      <w:divBdr>
        <w:top w:val="none" w:sz="0" w:space="0" w:color="auto"/>
        <w:left w:val="none" w:sz="0" w:space="0" w:color="auto"/>
        <w:bottom w:val="none" w:sz="0" w:space="0" w:color="auto"/>
        <w:right w:val="none" w:sz="0" w:space="0" w:color="auto"/>
      </w:divBdr>
    </w:div>
    <w:div w:id="564293561">
      <w:bodyDiv w:val="1"/>
      <w:marLeft w:val="0"/>
      <w:marRight w:val="0"/>
      <w:marTop w:val="0"/>
      <w:marBottom w:val="0"/>
      <w:divBdr>
        <w:top w:val="none" w:sz="0" w:space="0" w:color="auto"/>
        <w:left w:val="none" w:sz="0" w:space="0" w:color="auto"/>
        <w:bottom w:val="none" w:sz="0" w:space="0" w:color="auto"/>
        <w:right w:val="none" w:sz="0" w:space="0" w:color="auto"/>
      </w:divBdr>
    </w:div>
    <w:div w:id="565334885">
      <w:bodyDiv w:val="1"/>
      <w:marLeft w:val="0"/>
      <w:marRight w:val="0"/>
      <w:marTop w:val="0"/>
      <w:marBottom w:val="0"/>
      <w:divBdr>
        <w:top w:val="none" w:sz="0" w:space="0" w:color="auto"/>
        <w:left w:val="none" w:sz="0" w:space="0" w:color="auto"/>
        <w:bottom w:val="none" w:sz="0" w:space="0" w:color="auto"/>
        <w:right w:val="none" w:sz="0" w:space="0" w:color="auto"/>
      </w:divBdr>
    </w:div>
    <w:div w:id="565452585">
      <w:bodyDiv w:val="1"/>
      <w:marLeft w:val="0"/>
      <w:marRight w:val="0"/>
      <w:marTop w:val="0"/>
      <w:marBottom w:val="0"/>
      <w:divBdr>
        <w:top w:val="none" w:sz="0" w:space="0" w:color="auto"/>
        <w:left w:val="none" w:sz="0" w:space="0" w:color="auto"/>
        <w:bottom w:val="none" w:sz="0" w:space="0" w:color="auto"/>
        <w:right w:val="none" w:sz="0" w:space="0" w:color="auto"/>
      </w:divBdr>
    </w:div>
    <w:div w:id="566260426">
      <w:bodyDiv w:val="1"/>
      <w:marLeft w:val="0"/>
      <w:marRight w:val="0"/>
      <w:marTop w:val="0"/>
      <w:marBottom w:val="0"/>
      <w:divBdr>
        <w:top w:val="none" w:sz="0" w:space="0" w:color="auto"/>
        <w:left w:val="none" w:sz="0" w:space="0" w:color="auto"/>
        <w:bottom w:val="none" w:sz="0" w:space="0" w:color="auto"/>
        <w:right w:val="none" w:sz="0" w:space="0" w:color="auto"/>
      </w:divBdr>
    </w:div>
    <w:div w:id="568662156">
      <w:bodyDiv w:val="1"/>
      <w:marLeft w:val="0"/>
      <w:marRight w:val="0"/>
      <w:marTop w:val="0"/>
      <w:marBottom w:val="0"/>
      <w:divBdr>
        <w:top w:val="none" w:sz="0" w:space="0" w:color="auto"/>
        <w:left w:val="none" w:sz="0" w:space="0" w:color="auto"/>
        <w:bottom w:val="none" w:sz="0" w:space="0" w:color="auto"/>
        <w:right w:val="none" w:sz="0" w:space="0" w:color="auto"/>
      </w:divBdr>
      <w:divsChild>
        <w:div w:id="2100329158">
          <w:marLeft w:val="0"/>
          <w:marRight w:val="0"/>
          <w:marTop w:val="0"/>
          <w:marBottom w:val="0"/>
          <w:divBdr>
            <w:top w:val="none" w:sz="0" w:space="0" w:color="auto"/>
            <w:left w:val="none" w:sz="0" w:space="0" w:color="auto"/>
            <w:bottom w:val="none" w:sz="0" w:space="0" w:color="auto"/>
            <w:right w:val="none" w:sz="0" w:space="0" w:color="auto"/>
          </w:divBdr>
        </w:div>
      </w:divsChild>
    </w:div>
    <w:div w:id="569537223">
      <w:bodyDiv w:val="1"/>
      <w:marLeft w:val="0"/>
      <w:marRight w:val="0"/>
      <w:marTop w:val="0"/>
      <w:marBottom w:val="0"/>
      <w:divBdr>
        <w:top w:val="none" w:sz="0" w:space="0" w:color="auto"/>
        <w:left w:val="none" w:sz="0" w:space="0" w:color="auto"/>
        <w:bottom w:val="none" w:sz="0" w:space="0" w:color="auto"/>
        <w:right w:val="none" w:sz="0" w:space="0" w:color="auto"/>
      </w:divBdr>
    </w:div>
    <w:div w:id="570702625">
      <w:bodyDiv w:val="1"/>
      <w:marLeft w:val="0"/>
      <w:marRight w:val="0"/>
      <w:marTop w:val="0"/>
      <w:marBottom w:val="0"/>
      <w:divBdr>
        <w:top w:val="none" w:sz="0" w:space="0" w:color="auto"/>
        <w:left w:val="none" w:sz="0" w:space="0" w:color="auto"/>
        <w:bottom w:val="none" w:sz="0" w:space="0" w:color="auto"/>
        <w:right w:val="none" w:sz="0" w:space="0" w:color="auto"/>
      </w:divBdr>
    </w:div>
    <w:div w:id="573008402">
      <w:bodyDiv w:val="1"/>
      <w:marLeft w:val="0"/>
      <w:marRight w:val="0"/>
      <w:marTop w:val="0"/>
      <w:marBottom w:val="0"/>
      <w:divBdr>
        <w:top w:val="none" w:sz="0" w:space="0" w:color="auto"/>
        <w:left w:val="none" w:sz="0" w:space="0" w:color="auto"/>
        <w:bottom w:val="none" w:sz="0" w:space="0" w:color="auto"/>
        <w:right w:val="none" w:sz="0" w:space="0" w:color="auto"/>
      </w:divBdr>
    </w:div>
    <w:div w:id="573011536">
      <w:bodyDiv w:val="1"/>
      <w:marLeft w:val="0"/>
      <w:marRight w:val="0"/>
      <w:marTop w:val="0"/>
      <w:marBottom w:val="0"/>
      <w:divBdr>
        <w:top w:val="none" w:sz="0" w:space="0" w:color="auto"/>
        <w:left w:val="none" w:sz="0" w:space="0" w:color="auto"/>
        <w:bottom w:val="none" w:sz="0" w:space="0" w:color="auto"/>
        <w:right w:val="none" w:sz="0" w:space="0" w:color="auto"/>
      </w:divBdr>
    </w:div>
    <w:div w:id="576475356">
      <w:bodyDiv w:val="1"/>
      <w:marLeft w:val="0"/>
      <w:marRight w:val="0"/>
      <w:marTop w:val="0"/>
      <w:marBottom w:val="0"/>
      <w:divBdr>
        <w:top w:val="none" w:sz="0" w:space="0" w:color="auto"/>
        <w:left w:val="none" w:sz="0" w:space="0" w:color="auto"/>
        <w:bottom w:val="none" w:sz="0" w:space="0" w:color="auto"/>
        <w:right w:val="none" w:sz="0" w:space="0" w:color="auto"/>
      </w:divBdr>
    </w:div>
    <w:div w:id="578249620">
      <w:bodyDiv w:val="1"/>
      <w:marLeft w:val="0"/>
      <w:marRight w:val="0"/>
      <w:marTop w:val="0"/>
      <w:marBottom w:val="0"/>
      <w:divBdr>
        <w:top w:val="none" w:sz="0" w:space="0" w:color="auto"/>
        <w:left w:val="none" w:sz="0" w:space="0" w:color="auto"/>
        <w:bottom w:val="none" w:sz="0" w:space="0" w:color="auto"/>
        <w:right w:val="none" w:sz="0" w:space="0" w:color="auto"/>
      </w:divBdr>
    </w:div>
    <w:div w:id="583606427">
      <w:bodyDiv w:val="1"/>
      <w:marLeft w:val="0"/>
      <w:marRight w:val="0"/>
      <w:marTop w:val="0"/>
      <w:marBottom w:val="0"/>
      <w:divBdr>
        <w:top w:val="none" w:sz="0" w:space="0" w:color="auto"/>
        <w:left w:val="none" w:sz="0" w:space="0" w:color="auto"/>
        <w:bottom w:val="none" w:sz="0" w:space="0" w:color="auto"/>
        <w:right w:val="none" w:sz="0" w:space="0" w:color="auto"/>
      </w:divBdr>
    </w:div>
    <w:div w:id="583687153">
      <w:bodyDiv w:val="1"/>
      <w:marLeft w:val="0"/>
      <w:marRight w:val="0"/>
      <w:marTop w:val="0"/>
      <w:marBottom w:val="0"/>
      <w:divBdr>
        <w:top w:val="none" w:sz="0" w:space="0" w:color="auto"/>
        <w:left w:val="none" w:sz="0" w:space="0" w:color="auto"/>
        <w:bottom w:val="none" w:sz="0" w:space="0" w:color="auto"/>
        <w:right w:val="none" w:sz="0" w:space="0" w:color="auto"/>
      </w:divBdr>
    </w:div>
    <w:div w:id="584194809">
      <w:bodyDiv w:val="1"/>
      <w:marLeft w:val="0"/>
      <w:marRight w:val="0"/>
      <w:marTop w:val="0"/>
      <w:marBottom w:val="0"/>
      <w:divBdr>
        <w:top w:val="none" w:sz="0" w:space="0" w:color="auto"/>
        <w:left w:val="none" w:sz="0" w:space="0" w:color="auto"/>
        <w:bottom w:val="none" w:sz="0" w:space="0" w:color="auto"/>
        <w:right w:val="none" w:sz="0" w:space="0" w:color="auto"/>
      </w:divBdr>
    </w:div>
    <w:div w:id="584263006">
      <w:bodyDiv w:val="1"/>
      <w:marLeft w:val="0"/>
      <w:marRight w:val="0"/>
      <w:marTop w:val="0"/>
      <w:marBottom w:val="0"/>
      <w:divBdr>
        <w:top w:val="none" w:sz="0" w:space="0" w:color="auto"/>
        <w:left w:val="none" w:sz="0" w:space="0" w:color="auto"/>
        <w:bottom w:val="none" w:sz="0" w:space="0" w:color="auto"/>
        <w:right w:val="none" w:sz="0" w:space="0" w:color="auto"/>
      </w:divBdr>
    </w:div>
    <w:div w:id="585962020">
      <w:bodyDiv w:val="1"/>
      <w:marLeft w:val="0"/>
      <w:marRight w:val="0"/>
      <w:marTop w:val="0"/>
      <w:marBottom w:val="0"/>
      <w:divBdr>
        <w:top w:val="none" w:sz="0" w:space="0" w:color="auto"/>
        <w:left w:val="none" w:sz="0" w:space="0" w:color="auto"/>
        <w:bottom w:val="none" w:sz="0" w:space="0" w:color="auto"/>
        <w:right w:val="none" w:sz="0" w:space="0" w:color="auto"/>
      </w:divBdr>
    </w:div>
    <w:div w:id="586572523">
      <w:bodyDiv w:val="1"/>
      <w:marLeft w:val="0"/>
      <w:marRight w:val="0"/>
      <w:marTop w:val="0"/>
      <w:marBottom w:val="0"/>
      <w:divBdr>
        <w:top w:val="none" w:sz="0" w:space="0" w:color="auto"/>
        <w:left w:val="none" w:sz="0" w:space="0" w:color="auto"/>
        <w:bottom w:val="none" w:sz="0" w:space="0" w:color="auto"/>
        <w:right w:val="none" w:sz="0" w:space="0" w:color="auto"/>
      </w:divBdr>
    </w:div>
    <w:div w:id="591007830">
      <w:bodyDiv w:val="1"/>
      <w:marLeft w:val="0"/>
      <w:marRight w:val="0"/>
      <w:marTop w:val="0"/>
      <w:marBottom w:val="0"/>
      <w:divBdr>
        <w:top w:val="none" w:sz="0" w:space="0" w:color="auto"/>
        <w:left w:val="none" w:sz="0" w:space="0" w:color="auto"/>
        <w:bottom w:val="none" w:sz="0" w:space="0" w:color="auto"/>
        <w:right w:val="none" w:sz="0" w:space="0" w:color="auto"/>
      </w:divBdr>
    </w:div>
    <w:div w:id="592052598">
      <w:bodyDiv w:val="1"/>
      <w:marLeft w:val="0"/>
      <w:marRight w:val="0"/>
      <w:marTop w:val="0"/>
      <w:marBottom w:val="0"/>
      <w:divBdr>
        <w:top w:val="none" w:sz="0" w:space="0" w:color="auto"/>
        <w:left w:val="none" w:sz="0" w:space="0" w:color="auto"/>
        <w:bottom w:val="none" w:sz="0" w:space="0" w:color="auto"/>
        <w:right w:val="none" w:sz="0" w:space="0" w:color="auto"/>
      </w:divBdr>
    </w:div>
    <w:div w:id="598761651">
      <w:bodyDiv w:val="1"/>
      <w:marLeft w:val="0"/>
      <w:marRight w:val="0"/>
      <w:marTop w:val="0"/>
      <w:marBottom w:val="0"/>
      <w:divBdr>
        <w:top w:val="none" w:sz="0" w:space="0" w:color="auto"/>
        <w:left w:val="none" w:sz="0" w:space="0" w:color="auto"/>
        <w:bottom w:val="none" w:sz="0" w:space="0" w:color="auto"/>
        <w:right w:val="none" w:sz="0" w:space="0" w:color="auto"/>
      </w:divBdr>
    </w:div>
    <w:div w:id="598872315">
      <w:bodyDiv w:val="1"/>
      <w:marLeft w:val="0"/>
      <w:marRight w:val="0"/>
      <w:marTop w:val="0"/>
      <w:marBottom w:val="0"/>
      <w:divBdr>
        <w:top w:val="none" w:sz="0" w:space="0" w:color="auto"/>
        <w:left w:val="none" w:sz="0" w:space="0" w:color="auto"/>
        <w:bottom w:val="none" w:sz="0" w:space="0" w:color="auto"/>
        <w:right w:val="none" w:sz="0" w:space="0" w:color="auto"/>
      </w:divBdr>
    </w:div>
    <w:div w:id="599457875">
      <w:bodyDiv w:val="1"/>
      <w:marLeft w:val="0"/>
      <w:marRight w:val="0"/>
      <w:marTop w:val="0"/>
      <w:marBottom w:val="0"/>
      <w:divBdr>
        <w:top w:val="none" w:sz="0" w:space="0" w:color="auto"/>
        <w:left w:val="none" w:sz="0" w:space="0" w:color="auto"/>
        <w:bottom w:val="none" w:sz="0" w:space="0" w:color="auto"/>
        <w:right w:val="none" w:sz="0" w:space="0" w:color="auto"/>
      </w:divBdr>
    </w:div>
    <w:div w:id="602809601">
      <w:bodyDiv w:val="1"/>
      <w:marLeft w:val="0"/>
      <w:marRight w:val="0"/>
      <w:marTop w:val="0"/>
      <w:marBottom w:val="0"/>
      <w:divBdr>
        <w:top w:val="none" w:sz="0" w:space="0" w:color="auto"/>
        <w:left w:val="none" w:sz="0" w:space="0" w:color="auto"/>
        <w:bottom w:val="none" w:sz="0" w:space="0" w:color="auto"/>
        <w:right w:val="none" w:sz="0" w:space="0" w:color="auto"/>
      </w:divBdr>
    </w:div>
    <w:div w:id="606885625">
      <w:bodyDiv w:val="1"/>
      <w:marLeft w:val="0"/>
      <w:marRight w:val="0"/>
      <w:marTop w:val="0"/>
      <w:marBottom w:val="0"/>
      <w:divBdr>
        <w:top w:val="none" w:sz="0" w:space="0" w:color="auto"/>
        <w:left w:val="none" w:sz="0" w:space="0" w:color="auto"/>
        <w:bottom w:val="none" w:sz="0" w:space="0" w:color="auto"/>
        <w:right w:val="none" w:sz="0" w:space="0" w:color="auto"/>
      </w:divBdr>
    </w:div>
    <w:div w:id="612129210">
      <w:bodyDiv w:val="1"/>
      <w:marLeft w:val="0"/>
      <w:marRight w:val="0"/>
      <w:marTop w:val="0"/>
      <w:marBottom w:val="0"/>
      <w:divBdr>
        <w:top w:val="none" w:sz="0" w:space="0" w:color="auto"/>
        <w:left w:val="none" w:sz="0" w:space="0" w:color="auto"/>
        <w:bottom w:val="none" w:sz="0" w:space="0" w:color="auto"/>
        <w:right w:val="none" w:sz="0" w:space="0" w:color="auto"/>
      </w:divBdr>
    </w:div>
    <w:div w:id="612976623">
      <w:bodyDiv w:val="1"/>
      <w:marLeft w:val="0"/>
      <w:marRight w:val="0"/>
      <w:marTop w:val="0"/>
      <w:marBottom w:val="0"/>
      <w:divBdr>
        <w:top w:val="none" w:sz="0" w:space="0" w:color="auto"/>
        <w:left w:val="none" w:sz="0" w:space="0" w:color="auto"/>
        <w:bottom w:val="none" w:sz="0" w:space="0" w:color="auto"/>
        <w:right w:val="none" w:sz="0" w:space="0" w:color="auto"/>
      </w:divBdr>
    </w:div>
    <w:div w:id="615261478">
      <w:bodyDiv w:val="1"/>
      <w:marLeft w:val="0"/>
      <w:marRight w:val="0"/>
      <w:marTop w:val="0"/>
      <w:marBottom w:val="0"/>
      <w:divBdr>
        <w:top w:val="none" w:sz="0" w:space="0" w:color="auto"/>
        <w:left w:val="none" w:sz="0" w:space="0" w:color="auto"/>
        <w:bottom w:val="none" w:sz="0" w:space="0" w:color="auto"/>
        <w:right w:val="none" w:sz="0" w:space="0" w:color="auto"/>
      </w:divBdr>
    </w:div>
    <w:div w:id="622229582">
      <w:bodyDiv w:val="1"/>
      <w:marLeft w:val="0"/>
      <w:marRight w:val="0"/>
      <w:marTop w:val="0"/>
      <w:marBottom w:val="0"/>
      <w:divBdr>
        <w:top w:val="none" w:sz="0" w:space="0" w:color="auto"/>
        <w:left w:val="none" w:sz="0" w:space="0" w:color="auto"/>
        <w:bottom w:val="none" w:sz="0" w:space="0" w:color="auto"/>
        <w:right w:val="none" w:sz="0" w:space="0" w:color="auto"/>
      </w:divBdr>
    </w:div>
    <w:div w:id="622342368">
      <w:bodyDiv w:val="1"/>
      <w:marLeft w:val="0"/>
      <w:marRight w:val="0"/>
      <w:marTop w:val="0"/>
      <w:marBottom w:val="0"/>
      <w:divBdr>
        <w:top w:val="none" w:sz="0" w:space="0" w:color="auto"/>
        <w:left w:val="none" w:sz="0" w:space="0" w:color="auto"/>
        <w:bottom w:val="none" w:sz="0" w:space="0" w:color="auto"/>
        <w:right w:val="none" w:sz="0" w:space="0" w:color="auto"/>
      </w:divBdr>
    </w:div>
    <w:div w:id="624232632">
      <w:bodyDiv w:val="1"/>
      <w:marLeft w:val="0"/>
      <w:marRight w:val="0"/>
      <w:marTop w:val="0"/>
      <w:marBottom w:val="0"/>
      <w:divBdr>
        <w:top w:val="none" w:sz="0" w:space="0" w:color="auto"/>
        <w:left w:val="none" w:sz="0" w:space="0" w:color="auto"/>
        <w:bottom w:val="none" w:sz="0" w:space="0" w:color="auto"/>
        <w:right w:val="none" w:sz="0" w:space="0" w:color="auto"/>
      </w:divBdr>
      <w:divsChild>
        <w:div w:id="880245609">
          <w:marLeft w:val="0"/>
          <w:marRight w:val="0"/>
          <w:marTop w:val="0"/>
          <w:marBottom w:val="0"/>
          <w:divBdr>
            <w:top w:val="none" w:sz="0" w:space="0" w:color="auto"/>
            <w:left w:val="none" w:sz="0" w:space="0" w:color="auto"/>
            <w:bottom w:val="none" w:sz="0" w:space="0" w:color="auto"/>
            <w:right w:val="none" w:sz="0" w:space="0" w:color="auto"/>
          </w:divBdr>
        </w:div>
      </w:divsChild>
    </w:div>
    <w:div w:id="627055550">
      <w:bodyDiv w:val="1"/>
      <w:marLeft w:val="0"/>
      <w:marRight w:val="0"/>
      <w:marTop w:val="0"/>
      <w:marBottom w:val="0"/>
      <w:divBdr>
        <w:top w:val="none" w:sz="0" w:space="0" w:color="auto"/>
        <w:left w:val="none" w:sz="0" w:space="0" w:color="auto"/>
        <w:bottom w:val="none" w:sz="0" w:space="0" w:color="auto"/>
        <w:right w:val="none" w:sz="0" w:space="0" w:color="auto"/>
      </w:divBdr>
    </w:div>
    <w:div w:id="631136785">
      <w:bodyDiv w:val="1"/>
      <w:marLeft w:val="0"/>
      <w:marRight w:val="0"/>
      <w:marTop w:val="0"/>
      <w:marBottom w:val="0"/>
      <w:divBdr>
        <w:top w:val="none" w:sz="0" w:space="0" w:color="auto"/>
        <w:left w:val="none" w:sz="0" w:space="0" w:color="auto"/>
        <w:bottom w:val="none" w:sz="0" w:space="0" w:color="auto"/>
        <w:right w:val="none" w:sz="0" w:space="0" w:color="auto"/>
      </w:divBdr>
    </w:div>
    <w:div w:id="633365728">
      <w:bodyDiv w:val="1"/>
      <w:marLeft w:val="0"/>
      <w:marRight w:val="0"/>
      <w:marTop w:val="0"/>
      <w:marBottom w:val="0"/>
      <w:divBdr>
        <w:top w:val="none" w:sz="0" w:space="0" w:color="auto"/>
        <w:left w:val="none" w:sz="0" w:space="0" w:color="auto"/>
        <w:bottom w:val="none" w:sz="0" w:space="0" w:color="auto"/>
        <w:right w:val="none" w:sz="0" w:space="0" w:color="auto"/>
      </w:divBdr>
    </w:div>
    <w:div w:id="634068280">
      <w:bodyDiv w:val="1"/>
      <w:marLeft w:val="0"/>
      <w:marRight w:val="0"/>
      <w:marTop w:val="0"/>
      <w:marBottom w:val="0"/>
      <w:divBdr>
        <w:top w:val="none" w:sz="0" w:space="0" w:color="auto"/>
        <w:left w:val="none" w:sz="0" w:space="0" w:color="auto"/>
        <w:bottom w:val="none" w:sz="0" w:space="0" w:color="auto"/>
        <w:right w:val="none" w:sz="0" w:space="0" w:color="auto"/>
      </w:divBdr>
      <w:divsChild>
        <w:div w:id="260525791">
          <w:marLeft w:val="0"/>
          <w:marRight w:val="0"/>
          <w:marTop w:val="15"/>
          <w:marBottom w:val="0"/>
          <w:divBdr>
            <w:top w:val="none" w:sz="0" w:space="0" w:color="auto"/>
            <w:left w:val="none" w:sz="0" w:space="0" w:color="auto"/>
            <w:bottom w:val="none" w:sz="0" w:space="0" w:color="auto"/>
            <w:right w:val="none" w:sz="0" w:space="0" w:color="auto"/>
          </w:divBdr>
          <w:divsChild>
            <w:div w:id="586618962">
              <w:marLeft w:val="0"/>
              <w:marRight w:val="0"/>
              <w:marTop w:val="0"/>
              <w:marBottom w:val="0"/>
              <w:divBdr>
                <w:top w:val="none" w:sz="0" w:space="0" w:color="auto"/>
                <w:left w:val="none" w:sz="0" w:space="0" w:color="auto"/>
                <w:bottom w:val="none" w:sz="0" w:space="0" w:color="auto"/>
                <w:right w:val="none" w:sz="0" w:space="0" w:color="auto"/>
              </w:divBdr>
              <w:divsChild>
                <w:div w:id="30811187">
                  <w:marLeft w:val="0"/>
                  <w:marRight w:val="0"/>
                  <w:marTop w:val="0"/>
                  <w:marBottom w:val="0"/>
                  <w:divBdr>
                    <w:top w:val="none" w:sz="0" w:space="0" w:color="auto"/>
                    <w:left w:val="none" w:sz="0" w:space="0" w:color="auto"/>
                    <w:bottom w:val="none" w:sz="0" w:space="0" w:color="auto"/>
                    <w:right w:val="none" w:sz="0" w:space="0" w:color="auto"/>
                  </w:divBdr>
                </w:div>
                <w:div w:id="48841882">
                  <w:marLeft w:val="0"/>
                  <w:marRight w:val="0"/>
                  <w:marTop w:val="0"/>
                  <w:marBottom w:val="0"/>
                  <w:divBdr>
                    <w:top w:val="none" w:sz="0" w:space="0" w:color="auto"/>
                    <w:left w:val="none" w:sz="0" w:space="0" w:color="auto"/>
                    <w:bottom w:val="none" w:sz="0" w:space="0" w:color="auto"/>
                    <w:right w:val="none" w:sz="0" w:space="0" w:color="auto"/>
                  </w:divBdr>
                </w:div>
                <w:div w:id="69272413">
                  <w:marLeft w:val="0"/>
                  <w:marRight w:val="0"/>
                  <w:marTop w:val="0"/>
                  <w:marBottom w:val="0"/>
                  <w:divBdr>
                    <w:top w:val="none" w:sz="0" w:space="0" w:color="auto"/>
                    <w:left w:val="none" w:sz="0" w:space="0" w:color="auto"/>
                    <w:bottom w:val="none" w:sz="0" w:space="0" w:color="auto"/>
                    <w:right w:val="none" w:sz="0" w:space="0" w:color="auto"/>
                  </w:divBdr>
                </w:div>
                <w:div w:id="142739935">
                  <w:marLeft w:val="0"/>
                  <w:marRight w:val="0"/>
                  <w:marTop w:val="0"/>
                  <w:marBottom w:val="0"/>
                  <w:divBdr>
                    <w:top w:val="none" w:sz="0" w:space="0" w:color="auto"/>
                    <w:left w:val="none" w:sz="0" w:space="0" w:color="auto"/>
                    <w:bottom w:val="none" w:sz="0" w:space="0" w:color="auto"/>
                    <w:right w:val="none" w:sz="0" w:space="0" w:color="auto"/>
                  </w:divBdr>
                </w:div>
                <w:div w:id="147943483">
                  <w:marLeft w:val="0"/>
                  <w:marRight w:val="0"/>
                  <w:marTop w:val="0"/>
                  <w:marBottom w:val="0"/>
                  <w:divBdr>
                    <w:top w:val="none" w:sz="0" w:space="0" w:color="auto"/>
                    <w:left w:val="none" w:sz="0" w:space="0" w:color="auto"/>
                    <w:bottom w:val="none" w:sz="0" w:space="0" w:color="auto"/>
                    <w:right w:val="none" w:sz="0" w:space="0" w:color="auto"/>
                  </w:divBdr>
                </w:div>
                <w:div w:id="188491852">
                  <w:marLeft w:val="0"/>
                  <w:marRight w:val="0"/>
                  <w:marTop w:val="0"/>
                  <w:marBottom w:val="0"/>
                  <w:divBdr>
                    <w:top w:val="none" w:sz="0" w:space="0" w:color="auto"/>
                    <w:left w:val="none" w:sz="0" w:space="0" w:color="auto"/>
                    <w:bottom w:val="none" w:sz="0" w:space="0" w:color="auto"/>
                    <w:right w:val="none" w:sz="0" w:space="0" w:color="auto"/>
                  </w:divBdr>
                </w:div>
                <w:div w:id="258222060">
                  <w:marLeft w:val="0"/>
                  <w:marRight w:val="0"/>
                  <w:marTop w:val="0"/>
                  <w:marBottom w:val="0"/>
                  <w:divBdr>
                    <w:top w:val="none" w:sz="0" w:space="0" w:color="auto"/>
                    <w:left w:val="none" w:sz="0" w:space="0" w:color="auto"/>
                    <w:bottom w:val="none" w:sz="0" w:space="0" w:color="auto"/>
                    <w:right w:val="none" w:sz="0" w:space="0" w:color="auto"/>
                  </w:divBdr>
                </w:div>
                <w:div w:id="366561565">
                  <w:marLeft w:val="0"/>
                  <w:marRight w:val="0"/>
                  <w:marTop w:val="0"/>
                  <w:marBottom w:val="0"/>
                  <w:divBdr>
                    <w:top w:val="none" w:sz="0" w:space="0" w:color="auto"/>
                    <w:left w:val="none" w:sz="0" w:space="0" w:color="auto"/>
                    <w:bottom w:val="none" w:sz="0" w:space="0" w:color="auto"/>
                    <w:right w:val="none" w:sz="0" w:space="0" w:color="auto"/>
                  </w:divBdr>
                </w:div>
                <w:div w:id="387845432">
                  <w:marLeft w:val="0"/>
                  <w:marRight w:val="0"/>
                  <w:marTop w:val="0"/>
                  <w:marBottom w:val="0"/>
                  <w:divBdr>
                    <w:top w:val="none" w:sz="0" w:space="0" w:color="auto"/>
                    <w:left w:val="none" w:sz="0" w:space="0" w:color="auto"/>
                    <w:bottom w:val="none" w:sz="0" w:space="0" w:color="auto"/>
                    <w:right w:val="none" w:sz="0" w:space="0" w:color="auto"/>
                  </w:divBdr>
                </w:div>
                <w:div w:id="450979554">
                  <w:marLeft w:val="0"/>
                  <w:marRight w:val="0"/>
                  <w:marTop w:val="0"/>
                  <w:marBottom w:val="0"/>
                  <w:divBdr>
                    <w:top w:val="none" w:sz="0" w:space="0" w:color="auto"/>
                    <w:left w:val="none" w:sz="0" w:space="0" w:color="auto"/>
                    <w:bottom w:val="none" w:sz="0" w:space="0" w:color="auto"/>
                    <w:right w:val="none" w:sz="0" w:space="0" w:color="auto"/>
                  </w:divBdr>
                </w:div>
                <w:div w:id="579290825">
                  <w:marLeft w:val="0"/>
                  <w:marRight w:val="0"/>
                  <w:marTop w:val="0"/>
                  <w:marBottom w:val="0"/>
                  <w:divBdr>
                    <w:top w:val="none" w:sz="0" w:space="0" w:color="auto"/>
                    <w:left w:val="none" w:sz="0" w:space="0" w:color="auto"/>
                    <w:bottom w:val="none" w:sz="0" w:space="0" w:color="auto"/>
                    <w:right w:val="none" w:sz="0" w:space="0" w:color="auto"/>
                  </w:divBdr>
                </w:div>
                <w:div w:id="591668497">
                  <w:marLeft w:val="0"/>
                  <w:marRight w:val="0"/>
                  <w:marTop w:val="0"/>
                  <w:marBottom w:val="0"/>
                  <w:divBdr>
                    <w:top w:val="none" w:sz="0" w:space="0" w:color="auto"/>
                    <w:left w:val="none" w:sz="0" w:space="0" w:color="auto"/>
                    <w:bottom w:val="none" w:sz="0" w:space="0" w:color="auto"/>
                    <w:right w:val="none" w:sz="0" w:space="0" w:color="auto"/>
                  </w:divBdr>
                </w:div>
                <w:div w:id="840387591">
                  <w:marLeft w:val="0"/>
                  <w:marRight w:val="0"/>
                  <w:marTop w:val="0"/>
                  <w:marBottom w:val="0"/>
                  <w:divBdr>
                    <w:top w:val="none" w:sz="0" w:space="0" w:color="auto"/>
                    <w:left w:val="none" w:sz="0" w:space="0" w:color="auto"/>
                    <w:bottom w:val="none" w:sz="0" w:space="0" w:color="auto"/>
                    <w:right w:val="none" w:sz="0" w:space="0" w:color="auto"/>
                  </w:divBdr>
                </w:div>
                <w:div w:id="897328391">
                  <w:marLeft w:val="0"/>
                  <w:marRight w:val="0"/>
                  <w:marTop w:val="0"/>
                  <w:marBottom w:val="0"/>
                  <w:divBdr>
                    <w:top w:val="none" w:sz="0" w:space="0" w:color="auto"/>
                    <w:left w:val="none" w:sz="0" w:space="0" w:color="auto"/>
                    <w:bottom w:val="none" w:sz="0" w:space="0" w:color="auto"/>
                    <w:right w:val="none" w:sz="0" w:space="0" w:color="auto"/>
                  </w:divBdr>
                </w:div>
                <w:div w:id="926615484">
                  <w:marLeft w:val="0"/>
                  <w:marRight w:val="0"/>
                  <w:marTop w:val="0"/>
                  <w:marBottom w:val="0"/>
                  <w:divBdr>
                    <w:top w:val="none" w:sz="0" w:space="0" w:color="auto"/>
                    <w:left w:val="none" w:sz="0" w:space="0" w:color="auto"/>
                    <w:bottom w:val="none" w:sz="0" w:space="0" w:color="auto"/>
                    <w:right w:val="none" w:sz="0" w:space="0" w:color="auto"/>
                  </w:divBdr>
                </w:div>
                <w:div w:id="981806497">
                  <w:marLeft w:val="0"/>
                  <w:marRight w:val="0"/>
                  <w:marTop w:val="0"/>
                  <w:marBottom w:val="0"/>
                  <w:divBdr>
                    <w:top w:val="none" w:sz="0" w:space="0" w:color="auto"/>
                    <w:left w:val="none" w:sz="0" w:space="0" w:color="auto"/>
                    <w:bottom w:val="none" w:sz="0" w:space="0" w:color="auto"/>
                    <w:right w:val="none" w:sz="0" w:space="0" w:color="auto"/>
                  </w:divBdr>
                </w:div>
                <w:div w:id="1096098270">
                  <w:marLeft w:val="0"/>
                  <w:marRight w:val="0"/>
                  <w:marTop w:val="0"/>
                  <w:marBottom w:val="0"/>
                  <w:divBdr>
                    <w:top w:val="none" w:sz="0" w:space="0" w:color="auto"/>
                    <w:left w:val="none" w:sz="0" w:space="0" w:color="auto"/>
                    <w:bottom w:val="none" w:sz="0" w:space="0" w:color="auto"/>
                    <w:right w:val="none" w:sz="0" w:space="0" w:color="auto"/>
                  </w:divBdr>
                </w:div>
                <w:div w:id="1269775970">
                  <w:marLeft w:val="0"/>
                  <w:marRight w:val="0"/>
                  <w:marTop w:val="0"/>
                  <w:marBottom w:val="0"/>
                  <w:divBdr>
                    <w:top w:val="none" w:sz="0" w:space="0" w:color="auto"/>
                    <w:left w:val="none" w:sz="0" w:space="0" w:color="auto"/>
                    <w:bottom w:val="none" w:sz="0" w:space="0" w:color="auto"/>
                    <w:right w:val="none" w:sz="0" w:space="0" w:color="auto"/>
                  </w:divBdr>
                </w:div>
                <w:div w:id="1337659126">
                  <w:marLeft w:val="0"/>
                  <w:marRight w:val="0"/>
                  <w:marTop w:val="0"/>
                  <w:marBottom w:val="0"/>
                  <w:divBdr>
                    <w:top w:val="none" w:sz="0" w:space="0" w:color="auto"/>
                    <w:left w:val="none" w:sz="0" w:space="0" w:color="auto"/>
                    <w:bottom w:val="none" w:sz="0" w:space="0" w:color="auto"/>
                    <w:right w:val="none" w:sz="0" w:space="0" w:color="auto"/>
                  </w:divBdr>
                </w:div>
                <w:div w:id="1354838984">
                  <w:marLeft w:val="0"/>
                  <w:marRight w:val="0"/>
                  <w:marTop w:val="0"/>
                  <w:marBottom w:val="0"/>
                  <w:divBdr>
                    <w:top w:val="none" w:sz="0" w:space="0" w:color="auto"/>
                    <w:left w:val="none" w:sz="0" w:space="0" w:color="auto"/>
                    <w:bottom w:val="none" w:sz="0" w:space="0" w:color="auto"/>
                    <w:right w:val="none" w:sz="0" w:space="0" w:color="auto"/>
                  </w:divBdr>
                </w:div>
                <w:div w:id="1363092173">
                  <w:marLeft w:val="0"/>
                  <w:marRight w:val="0"/>
                  <w:marTop w:val="0"/>
                  <w:marBottom w:val="0"/>
                  <w:divBdr>
                    <w:top w:val="none" w:sz="0" w:space="0" w:color="auto"/>
                    <w:left w:val="none" w:sz="0" w:space="0" w:color="auto"/>
                    <w:bottom w:val="none" w:sz="0" w:space="0" w:color="auto"/>
                    <w:right w:val="none" w:sz="0" w:space="0" w:color="auto"/>
                  </w:divBdr>
                </w:div>
                <w:div w:id="1513104496">
                  <w:marLeft w:val="0"/>
                  <w:marRight w:val="0"/>
                  <w:marTop w:val="0"/>
                  <w:marBottom w:val="0"/>
                  <w:divBdr>
                    <w:top w:val="none" w:sz="0" w:space="0" w:color="auto"/>
                    <w:left w:val="none" w:sz="0" w:space="0" w:color="auto"/>
                    <w:bottom w:val="none" w:sz="0" w:space="0" w:color="auto"/>
                    <w:right w:val="none" w:sz="0" w:space="0" w:color="auto"/>
                  </w:divBdr>
                </w:div>
                <w:div w:id="1584413688">
                  <w:marLeft w:val="0"/>
                  <w:marRight w:val="0"/>
                  <w:marTop w:val="0"/>
                  <w:marBottom w:val="0"/>
                  <w:divBdr>
                    <w:top w:val="none" w:sz="0" w:space="0" w:color="auto"/>
                    <w:left w:val="none" w:sz="0" w:space="0" w:color="auto"/>
                    <w:bottom w:val="none" w:sz="0" w:space="0" w:color="auto"/>
                    <w:right w:val="none" w:sz="0" w:space="0" w:color="auto"/>
                  </w:divBdr>
                </w:div>
                <w:div w:id="1608468288">
                  <w:marLeft w:val="0"/>
                  <w:marRight w:val="0"/>
                  <w:marTop w:val="0"/>
                  <w:marBottom w:val="0"/>
                  <w:divBdr>
                    <w:top w:val="none" w:sz="0" w:space="0" w:color="auto"/>
                    <w:left w:val="none" w:sz="0" w:space="0" w:color="auto"/>
                    <w:bottom w:val="none" w:sz="0" w:space="0" w:color="auto"/>
                    <w:right w:val="none" w:sz="0" w:space="0" w:color="auto"/>
                  </w:divBdr>
                </w:div>
                <w:div w:id="1779250185">
                  <w:marLeft w:val="0"/>
                  <w:marRight w:val="0"/>
                  <w:marTop w:val="0"/>
                  <w:marBottom w:val="0"/>
                  <w:divBdr>
                    <w:top w:val="none" w:sz="0" w:space="0" w:color="auto"/>
                    <w:left w:val="none" w:sz="0" w:space="0" w:color="auto"/>
                    <w:bottom w:val="none" w:sz="0" w:space="0" w:color="auto"/>
                    <w:right w:val="none" w:sz="0" w:space="0" w:color="auto"/>
                  </w:divBdr>
                </w:div>
                <w:div w:id="1931427086">
                  <w:marLeft w:val="0"/>
                  <w:marRight w:val="0"/>
                  <w:marTop w:val="0"/>
                  <w:marBottom w:val="0"/>
                  <w:divBdr>
                    <w:top w:val="none" w:sz="0" w:space="0" w:color="auto"/>
                    <w:left w:val="none" w:sz="0" w:space="0" w:color="auto"/>
                    <w:bottom w:val="none" w:sz="0" w:space="0" w:color="auto"/>
                    <w:right w:val="none" w:sz="0" w:space="0" w:color="auto"/>
                  </w:divBdr>
                </w:div>
                <w:div w:id="212194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421174">
          <w:marLeft w:val="0"/>
          <w:marRight w:val="0"/>
          <w:marTop w:val="15"/>
          <w:marBottom w:val="0"/>
          <w:divBdr>
            <w:top w:val="none" w:sz="0" w:space="0" w:color="auto"/>
            <w:left w:val="none" w:sz="0" w:space="0" w:color="auto"/>
            <w:bottom w:val="none" w:sz="0" w:space="0" w:color="auto"/>
            <w:right w:val="none" w:sz="0" w:space="0" w:color="auto"/>
          </w:divBdr>
          <w:divsChild>
            <w:div w:id="1378629169">
              <w:marLeft w:val="0"/>
              <w:marRight w:val="0"/>
              <w:marTop w:val="0"/>
              <w:marBottom w:val="0"/>
              <w:divBdr>
                <w:top w:val="none" w:sz="0" w:space="0" w:color="auto"/>
                <w:left w:val="none" w:sz="0" w:space="0" w:color="auto"/>
                <w:bottom w:val="none" w:sz="0" w:space="0" w:color="auto"/>
                <w:right w:val="none" w:sz="0" w:space="0" w:color="auto"/>
              </w:divBdr>
              <w:divsChild>
                <w:div w:id="184560430">
                  <w:marLeft w:val="0"/>
                  <w:marRight w:val="0"/>
                  <w:marTop w:val="0"/>
                  <w:marBottom w:val="0"/>
                  <w:divBdr>
                    <w:top w:val="none" w:sz="0" w:space="0" w:color="auto"/>
                    <w:left w:val="none" w:sz="0" w:space="0" w:color="auto"/>
                    <w:bottom w:val="none" w:sz="0" w:space="0" w:color="auto"/>
                    <w:right w:val="none" w:sz="0" w:space="0" w:color="auto"/>
                  </w:divBdr>
                </w:div>
                <w:div w:id="214699716">
                  <w:marLeft w:val="0"/>
                  <w:marRight w:val="0"/>
                  <w:marTop w:val="0"/>
                  <w:marBottom w:val="0"/>
                  <w:divBdr>
                    <w:top w:val="none" w:sz="0" w:space="0" w:color="auto"/>
                    <w:left w:val="none" w:sz="0" w:space="0" w:color="auto"/>
                    <w:bottom w:val="none" w:sz="0" w:space="0" w:color="auto"/>
                    <w:right w:val="none" w:sz="0" w:space="0" w:color="auto"/>
                  </w:divBdr>
                </w:div>
                <w:div w:id="291522786">
                  <w:marLeft w:val="0"/>
                  <w:marRight w:val="0"/>
                  <w:marTop w:val="0"/>
                  <w:marBottom w:val="0"/>
                  <w:divBdr>
                    <w:top w:val="none" w:sz="0" w:space="0" w:color="auto"/>
                    <w:left w:val="none" w:sz="0" w:space="0" w:color="auto"/>
                    <w:bottom w:val="none" w:sz="0" w:space="0" w:color="auto"/>
                    <w:right w:val="none" w:sz="0" w:space="0" w:color="auto"/>
                  </w:divBdr>
                </w:div>
                <w:div w:id="525876230">
                  <w:marLeft w:val="0"/>
                  <w:marRight w:val="0"/>
                  <w:marTop w:val="0"/>
                  <w:marBottom w:val="0"/>
                  <w:divBdr>
                    <w:top w:val="none" w:sz="0" w:space="0" w:color="auto"/>
                    <w:left w:val="none" w:sz="0" w:space="0" w:color="auto"/>
                    <w:bottom w:val="none" w:sz="0" w:space="0" w:color="auto"/>
                    <w:right w:val="none" w:sz="0" w:space="0" w:color="auto"/>
                  </w:divBdr>
                </w:div>
                <w:div w:id="645668171">
                  <w:marLeft w:val="0"/>
                  <w:marRight w:val="0"/>
                  <w:marTop w:val="0"/>
                  <w:marBottom w:val="0"/>
                  <w:divBdr>
                    <w:top w:val="none" w:sz="0" w:space="0" w:color="auto"/>
                    <w:left w:val="none" w:sz="0" w:space="0" w:color="auto"/>
                    <w:bottom w:val="none" w:sz="0" w:space="0" w:color="auto"/>
                    <w:right w:val="none" w:sz="0" w:space="0" w:color="auto"/>
                  </w:divBdr>
                </w:div>
                <w:div w:id="695009668">
                  <w:marLeft w:val="0"/>
                  <w:marRight w:val="0"/>
                  <w:marTop w:val="0"/>
                  <w:marBottom w:val="0"/>
                  <w:divBdr>
                    <w:top w:val="none" w:sz="0" w:space="0" w:color="auto"/>
                    <w:left w:val="none" w:sz="0" w:space="0" w:color="auto"/>
                    <w:bottom w:val="none" w:sz="0" w:space="0" w:color="auto"/>
                    <w:right w:val="none" w:sz="0" w:space="0" w:color="auto"/>
                  </w:divBdr>
                </w:div>
                <w:div w:id="698898344">
                  <w:marLeft w:val="0"/>
                  <w:marRight w:val="0"/>
                  <w:marTop w:val="0"/>
                  <w:marBottom w:val="0"/>
                  <w:divBdr>
                    <w:top w:val="none" w:sz="0" w:space="0" w:color="auto"/>
                    <w:left w:val="none" w:sz="0" w:space="0" w:color="auto"/>
                    <w:bottom w:val="none" w:sz="0" w:space="0" w:color="auto"/>
                    <w:right w:val="none" w:sz="0" w:space="0" w:color="auto"/>
                  </w:divBdr>
                </w:div>
                <w:div w:id="803162465">
                  <w:marLeft w:val="0"/>
                  <w:marRight w:val="0"/>
                  <w:marTop w:val="0"/>
                  <w:marBottom w:val="0"/>
                  <w:divBdr>
                    <w:top w:val="none" w:sz="0" w:space="0" w:color="auto"/>
                    <w:left w:val="none" w:sz="0" w:space="0" w:color="auto"/>
                    <w:bottom w:val="none" w:sz="0" w:space="0" w:color="auto"/>
                    <w:right w:val="none" w:sz="0" w:space="0" w:color="auto"/>
                  </w:divBdr>
                </w:div>
                <w:div w:id="879710176">
                  <w:marLeft w:val="0"/>
                  <w:marRight w:val="0"/>
                  <w:marTop w:val="0"/>
                  <w:marBottom w:val="0"/>
                  <w:divBdr>
                    <w:top w:val="none" w:sz="0" w:space="0" w:color="auto"/>
                    <w:left w:val="none" w:sz="0" w:space="0" w:color="auto"/>
                    <w:bottom w:val="none" w:sz="0" w:space="0" w:color="auto"/>
                    <w:right w:val="none" w:sz="0" w:space="0" w:color="auto"/>
                  </w:divBdr>
                </w:div>
                <w:div w:id="943153755">
                  <w:marLeft w:val="0"/>
                  <w:marRight w:val="0"/>
                  <w:marTop w:val="0"/>
                  <w:marBottom w:val="0"/>
                  <w:divBdr>
                    <w:top w:val="none" w:sz="0" w:space="0" w:color="auto"/>
                    <w:left w:val="none" w:sz="0" w:space="0" w:color="auto"/>
                    <w:bottom w:val="none" w:sz="0" w:space="0" w:color="auto"/>
                    <w:right w:val="none" w:sz="0" w:space="0" w:color="auto"/>
                  </w:divBdr>
                </w:div>
                <w:div w:id="986134310">
                  <w:marLeft w:val="0"/>
                  <w:marRight w:val="0"/>
                  <w:marTop w:val="0"/>
                  <w:marBottom w:val="0"/>
                  <w:divBdr>
                    <w:top w:val="none" w:sz="0" w:space="0" w:color="auto"/>
                    <w:left w:val="none" w:sz="0" w:space="0" w:color="auto"/>
                    <w:bottom w:val="none" w:sz="0" w:space="0" w:color="auto"/>
                    <w:right w:val="none" w:sz="0" w:space="0" w:color="auto"/>
                  </w:divBdr>
                </w:div>
                <w:div w:id="999501497">
                  <w:marLeft w:val="0"/>
                  <w:marRight w:val="0"/>
                  <w:marTop w:val="0"/>
                  <w:marBottom w:val="0"/>
                  <w:divBdr>
                    <w:top w:val="none" w:sz="0" w:space="0" w:color="auto"/>
                    <w:left w:val="none" w:sz="0" w:space="0" w:color="auto"/>
                    <w:bottom w:val="none" w:sz="0" w:space="0" w:color="auto"/>
                    <w:right w:val="none" w:sz="0" w:space="0" w:color="auto"/>
                  </w:divBdr>
                </w:div>
                <w:div w:id="1099638795">
                  <w:marLeft w:val="0"/>
                  <w:marRight w:val="0"/>
                  <w:marTop w:val="0"/>
                  <w:marBottom w:val="0"/>
                  <w:divBdr>
                    <w:top w:val="none" w:sz="0" w:space="0" w:color="auto"/>
                    <w:left w:val="none" w:sz="0" w:space="0" w:color="auto"/>
                    <w:bottom w:val="none" w:sz="0" w:space="0" w:color="auto"/>
                    <w:right w:val="none" w:sz="0" w:space="0" w:color="auto"/>
                  </w:divBdr>
                </w:div>
                <w:div w:id="1170800709">
                  <w:marLeft w:val="0"/>
                  <w:marRight w:val="0"/>
                  <w:marTop w:val="0"/>
                  <w:marBottom w:val="0"/>
                  <w:divBdr>
                    <w:top w:val="none" w:sz="0" w:space="0" w:color="auto"/>
                    <w:left w:val="none" w:sz="0" w:space="0" w:color="auto"/>
                    <w:bottom w:val="none" w:sz="0" w:space="0" w:color="auto"/>
                    <w:right w:val="none" w:sz="0" w:space="0" w:color="auto"/>
                  </w:divBdr>
                </w:div>
                <w:div w:id="1216236534">
                  <w:marLeft w:val="0"/>
                  <w:marRight w:val="0"/>
                  <w:marTop w:val="0"/>
                  <w:marBottom w:val="0"/>
                  <w:divBdr>
                    <w:top w:val="none" w:sz="0" w:space="0" w:color="auto"/>
                    <w:left w:val="none" w:sz="0" w:space="0" w:color="auto"/>
                    <w:bottom w:val="none" w:sz="0" w:space="0" w:color="auto"/>
                    <w:right w:val="none" w:sz="0" w:space="0" w:color="auto"/>
                  </w:divBdr>
                </w:div>
                <w:div w:id="1226650038">
                  <w:marLeft w:val="0"/>
                  <w:marRight w:val="0"/>
                  <w:marTop w:val="0"/>
                  <w:marBottom w:val="0"/>
                  <w:divBdr>
                    <w:top w:val="none" w:sz="0" w:space="0" w:color="auto"/>
                    <w:left w:val="none" w:sz="0" w:space="0" w:color="auto"/>
                    <w:bottom w:val="none" w:sz="0" w:space="0" w:color="auto"/>
                    <w:right w:val="none" w:sz="0" w:space="0" w:color="auto"/>
                  </w:divBdr>
                </w:div>
                <w:div w:id="1416046749">
                  <w:marLeft w:val="0"/>
                  <w:marRight w:val="0"/>
                  <w:marTop w:val="0"/>
                  <w:marBottom w:val="0"/>
                  <w:divBdr>
                    <w:top w:val="none" w:sz="0" w:space="0" w:color="auto"/>
                    <w:left w:val="none" w:sz="0" w:space="0" w:color="auto"/>
                    <w:bottom w:val="none" w:sz="0" w:space="0" w:color="auto"/>
                    <w:right w:val="none" w:sz="0" w:space="0" w:color="auto"/>
                  </w:divBdr>
                </w:div>
                <w:div w:id="1420982549">
                  <w:marLeft w:val="0"/>
                  <w:marRight w:val="0"/>
                  <w:marTop w:val="0"/>
                  <w:marBottom w:val="0"/>
                  <w:divBdr>
                    <w:top w:val="none" w:sz="0" w:space="0" w:color="auto"/>
                    <w:left w:val="none" w:sz="0" w:space="0" w:color="auto"/>
                    <w:bottom w:val="none" w:sz="0" w:space="0" w:color="auto"/>
                    <w:right w:val="none" w:sz="0" w:space="0" w:color="auto"/>
                  </w:divBdr>
                </w:div>
                <w:div w:id="1521043030">
                  <w:marLeft w:val="0"/>
                  <w:marRight w:val="0"/>
                  <w:marTop w:val="0"/>
                  <w:marBottom w:val="0"/>
                  <w:divBdr>
                    <w:top w:val="none" w:sz="0" w:space="0" w:color="auto"/>
                    <w:left w:val="none" w:sz="0" w:space="0" w:color="auto"/>
                    <w:bottom w:val="none" w:sz="0" w:space="0" w:color="auto"/>
                    <w:right w:val="none" w:sz="0" w:space="0" w:color="auto"/>
                  </w:divBdr>
                </w:div>
                <w:div w:id="1664971891">
                  <w:marLeft w:val="0"/>
                  <w:marRight w:val="0"/>
                  <w:marTop w:val="0"/>
                  <w:marBottom w:val="0"/>
                  <w:divBdr>
                    <w:top w:val="none" w:sz="0" w:space="0" w:color="auto"/>
                    <w:left w:val="none" w:sz="0" w:space="0" w:color="auto"/>
                    <w:bottom w:val="none" w:sz="0" w:space="0" w:color="auto"/>
                    <w:right w:val="none" w:sz="0" w:space="0" w:color="auto"/>
                  </w:divBdr>
                </w:div>
                <w:div w:id="1745253646">
                  <w:marLeft w:val="0"/>
                  <w:marRight w:val="0"/>
                  <w:marTop w:val="0"/>
                  <w:marBottom w:val="0"/>
                  <w:divBdr>
                    <w:top w:val="none" w:sz="0" w:space="0" w:color="auto"/>
                    <w:left w:val="none" w:sz="0" w:space="0" w:color="auto"/>
                    <w:bottom w:val="none" w:sz="0" w:space="0" w:color="auto"/>
                    <w:right w:val="none" w:sz="0" w:space="0" w:color="auto"/>
                  </w:divBdr>
                </w:div>
                <w:div w:id="1766851062">
                  <w:marLeft w:val="0"/>
                  <w:marRight w:val="0"/>
                  <w:marTop w:val="0"/>
                  <w:marBottom w:val="0"/>
                  <w:divBdr>
                    <w:top w:val="none" w:sz="0" w:space="0" w:color="auto"/>
                    <w:left w:val="none" w:sz="0" w:space="0" w:color="auto"/>
                    <w:bottom w:val="none" w:sz="0" w:space="0" w:color="auto"/>
                    <w:right w:val="none" w:sz="0" w:space="0" w:color="auto"/>
                  </w:divBdr>
                </w:div>
                <w:div w:id="1832063556">
                  <w:marLeft w:val="0"/>
                  <w:marRight w:val="0"/>
                  <w:marTop w:val="0"/>
                  <w:marBottom w:val="0"/>
                  <w:divBdr>
                    <w:top w:val="none" w:sz="0" w:space="0" w:color="auto"/>
                    <w:left w:val="none" w:sz="0" w:space="0" w:color="auto"/>
                    <w:bottom w:val="none" w:sz="0" w:space="0" w:color="auto"/>
                    <w:right w:val="none" w:sz="0" w:space="0" w:color="auto"/>
                  </w:divBdr>
                </w:div>
                <w:div w:id="1944150375">
                  <w:marLeft w:val="0"/>
                  <w:marRight w:val="0"/>
                  <w:marTop w:val="0"/>
                  <w:marBottom w:val="0"/>
                  <w:divBdr>
                    <w:top w:val="none" w:sz="0" w:space="0" w:color="auto"/>
                    <w:left w:val="none" w:sz="0" w:space="0" w:color="auto"/>
                    <w:bottom w:val="none" w:sz="0" w:space="0" w:color="auto"/>
                    <w:right w:val="none" w:sz="0" w:space="0" w:color="auto"/>
                  </w:divBdr>
                </w:div>
                <w:div w:id="2027704512">
                  <w:marLeft w:val="0"/>
                  <w:marRight w:val="0"/>
                  <w:marTop w:val="0"/>
                  <w:marBottom w:val="0"/>
                  <w:divBdr>
                    <w:top w:val="none" w:sz="0" w:space="0" w:color="auto"/>
                    <w:left w:val="none" w:sz="0" w:space="0" w:color="auto"/>
                    <w:bottom w:val="none" w:sz="0" w:space="0" w:color="auto"/>
                    <w:right w:val="none" w:sz="0" w:space="0" w:color="auto"/>
                  </w:divBdr>
                </w:div>
                <w:div w:id="2057582535">
                  <w:marLeft w:val="0"/>
                  <w:marRight w:val="0"/>
                  <w:marTop w:val="0"/>
                  <w:marBottom w:val="0"/>
                  <w:divBdr>
                    <w:top w:val="none" w:sz="0" w:space="0" w:color="auto"/>
                    <w:left w:val="none" w:sz="0" w:space="0" w:color="auto"/>
                    <w:bottom w:val="none" w:sz="0" w:space="0" w:color="auto"/>
                    <w:right w:val="none" w:sz="0" w:space="0" w:color="auto"/>
                  </w:divBdr>
                </w:div>
                <w:div w:id="211925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94496">
          <w:marLeft w:val="0"/>
          <w:marRight w:val="0"/>
          <w:marTop w:val="15"/>
          <w:marBottom w:val="0"/>
          <w:divBdr>
            <w:top w:val="none" w:sz="0" w:space="0" w:color="auto"/>
            <w:left w:val="none" w:sz="0" w:space="0" w:color="auto"/>
            <w:bottom w:val="none" w:sz="0" w:space="0" w:color="auto"/>
            <w:right w:val="none" w:sz="0" w:space="0" w:color="auto"/>
          </w:divBdr>
          <w:divsChild>
            <w:div w:id="1836260341">
              <w:marLeft w:val="0"/>
              <w:marRight w:val="0"/>
              <w:marTop w:val="0"/>
              <w:marBottom w:val="0"/>
              <w:divBdr>
                <w:top w:val="none" w:sz="0" w:space="0" w:color="auto"/>
                <w:left w:val="none" w:sz="0" w:space="0" w:color="auto"/>
                <w:bottom w:val="none" w:sz="0" w:space="0" w:color="auto"/>
                <w:right w:val="none" w:sz="0" w:space="0" w:color="auto"/>
              </w:divBdr>
              <w:divsChild>
                <w:div w:id="44332791">
                  <w:marLeft w:val="0"/>
                  <w:marRight w:val="0"/>
                  <w:marTop w:val="0"/>
                  <w:marBottom w:val="0"/>
                  <w:divBdr>
                    <w:top w:val="none" w:sz="0" w:space="0" w:color="auto"/>
                    <w:left w:val="none" w:sz="0" w:space="0" w:color="auto"/>
                    <w:bottom w:val="none" w:sz="0" w:space="0" w:color="auto"/>
                    <w:right w:val="none" w:sz="0" w:space="0" w:color="auto"/>
                  </w:divBdr>
                </w:div>
                <w:div w:id="180749324">
                  <w:marLeft w:val="0"/>
                  <w:marRight w:val="0"/>
                  <w:marTop w:val="0"/>
                  <w:marBottom w:val="0"/>
                  <w:divBdr>
                    <w:top w:val="none" w:sz="0" w:space="0" w:color="auto"/>
                    <w:left w:val="none" w:sz="0" w:space="0" w:color="auto"/>
                    <w:bottom w:val="none" w:sz="0" w:space="0" w:color="auto"/>
                    <w:right w:val="none" w:sz="0" w:space="0" w:color="auto"/>
                  </w:divBdr>
                </w:div>
                <w:div w:id="298414250">
                  <w:marLeft w:val="0"/>
                  <w:marRight w:val="0"/>
                  <w:marTop w:val="0"/>
                  <w:marBottom w:val="0"/>
                  <w:divBdr>
                    <w:top w:val="none" w:sz="0" w:space="0" w:color="auto"/>
                    <w:left w:val="none" w:sz="0" w:space="0" w:color="auto"/>
                    <w:bottom w:val="none" w:sz="0" w:space="0" w:color="auto"/>
                    <w:right w:val="none" w:sz="0" w:space="0" w:color="auto"/>
                  </w:divBdr>
                </w:div>
                <w:div w:id="521213409">
                  <w:marLeft w:val="0"/>
                  <w:marRight w:val="0"/>
                  <w:marTop w:val="0"/>
                  <w:marBottom w:val="0"/>
                  <w:divBdr>
                    <w:top w:val="none" w:sz="0" w:space="0" w:color="auto"/>
                    <w:left w:val="none" w:sz="0" w:space="0" w:color="auto"/>
                    <w:bottom w:val="none" w:sz="0" w:space="0" w:color="auto"/>
                    <w:right w:val="none" w:sz="0" w:space="0" w:color="auto"/>
                  </w:divBdr>
                </w:div>
                <w:div w:id="880945758">
                  <w:marLeft w:val="0"/>
                  <w:marRight w:val="0"/>
                  <w:marTop w:val="0"/>
                  <w:marBottom w:val="0"/>
                  <w:divBdr>
                    <w:top w:val="none" w:sz="0" w:space="0" w:color="auto"/>
                    <w:left w:val="none" w:sz="0" w:space="0" w:color="auto"/>
                    <w:bottom w:val="none" w:sz="0" w:space="0" w:color="auto"/>
                    <w:right w:val="none" w:sz="0" w:space="0" w:color="auto"/>
                  </w:divBdr>
                </w:div>
                <w:div w:id="899294076">
                  <w:marLeft w:val="0"/>
                  <w:marRight w:val="0"/>
                  <w:marTop w:val="0"/>
                  <w:marBottom w:val="0"/>
                  <w:divBdr>
                    <w:top w:val="none" w:sz="0" w:space="0" w:color="auto"/>
                    <w:left w:val="none" w:sz="0" w:space="0" w:color="auto"/>
                    <w:bottom w:val="none" w:sz="0" w:space="0" w:color="auto"/>
                    <w:right w:val="none" w:sz="0" w:space="0" w:color="auto"/>
                  </w:divBdr>
                </w:div>
                <w:div w:id="1031494283">
                  <w:marLeft w:val="0"/>
                  <w:marRight w:val="0"/>
                  <w:marTop w:val="0"/>
                  <w:marBottom w:val="0"/>
                  <w:divBdr>
                    <w:top w:val="none" w:sz="0" w:space="0" w:color="auto"/>
                    <w:left w:val="none" w:sz="0" w:space="0" w:color="auto"/>
                    <w:bottom w:val="none" w:sz="0" w:space="0" w:color="auto"/>
                    <w:right w:val="none" w:sz="0" w:space="0" w:color="auto"/>
                  </w:divBdr>
                </w:div>
                <w:div w:id="1124689945">
                  <w:marLeft w:val="0"/>
                  <w:marRight w:val="0"/>
                  <w:marTop w:val="0"/>
                  <w:marBottom w:val="0"/>
                  <w:divBdr>
                    <w:top w:val="none" w:sz="0" w:space="0" w:color="auto"/>
                    <w:left w:val="none" w:sz="0" w:space="0" w:color="auto"/>
                    <w:bottom w:val="none" w:sz="0" w:space="0" w:color="auto"/>
                    <w:right w:val="none" w:sz="0" w:space="0" w:color="auto"/>
                  </w:divBdr>
                </w:div>
                <w:div w:id="1419055102">
                  <w:marLeft w:val="0"/>
                  <w:marRight w:val="0"/>
                  <w:marTop w:val="0"/>
                  <w:marBottom w:val="0"/>
                  <w:divBdr>
                    <w:top w:val="none" w:sz="0" w:space="0" w:color="auto"/>
                    <w:left w:val="none" w:sz="0" w:space="0" w:color="auto"/>
                    <w:bottom w:val="none" w:sz="0" w:space="0" w:color="auto"/>
                    <w:right w:val="none" w:sz="0" w:space="0" w:color="auto"/>
                  </w:divBdr>
                </w:div>
                <w:div w:id="1525485205">
                  <w:marLeft w:val="0"/>
                  <w:marRight w:val="0"/>
                  <w:marTop w:val="0"/>
                  <w:marBottom w:val="0"/>
                  <w:divBdr>
                    <w:top w:val="none" w:sz="0" w:space="0" w:color="auto"/>
                    <w:left w:val="none" w:sz="0" w:space="0" w:color="auto"/>
                    <w:bottom w:val="none" w:sz="0" w:space="0" w:color="auto"/>
                    <w:right w:val="none" w:sz="0" w:space="0" w:color="auto"/>
                  </w:divBdr>
                </w:div>
                <w:div w:id="1537962511">
                  <w:marLeft w:val="0"/>
                  <w:marRight w:val="0"/>
                  <w:marTop w:val="0"/>
                  <w:marBottom w:val="0"/>
                  <w:divBdr>
                    <w:top w:val="none" w:sz="0" w:space="0" w:color="auto"/>
                    <w:left w:val="none" w:sz="0" w:space="0" w:color="auto"/>
                    <w:bottom w:val="none" w:sz="0" w:space="0" w:color="auto"/>
                    <w:right w:val="none" w:sz="0" w:space="0" w:color="auto"/>
                  </w:divBdr>
                </w:div>
                <w:div w:id="167263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242144">
          <w:marLeft w:val="0"/>
          <w:marRight w:val="0"/>
          <w:marTop w:val="15"/>
          <w:marBottom w:val="0"/>
          <w:divBdr>
            <w:top w:val="none" w:sz="0" w:space="0" w:color="auto"/>
            <w:left w:val="none" w:sz="0" w:space="0" w:color="auto"/>
            <w:bottom w:val="none" w:sz="0" w:space="0" w:color="auto"/>
            <w:right w:val="none" w:sz="0" w:space="0" w:color="auto"/>
          </w:divBdr>
          <w:divsChild>
            <w:div w:id="1013916222">
              <w:marLeft w:val="0"/>
              <w:marRight w:val="0"/>
              <w:marTop w:val="0"/>
              <w:marBottom w:val="0"/>
              <w:divBdr>
                <w:top w:val="none" w:sz="0" w:space="0" w:color="auto"/>
                <w:left w:val="none" w:sz="0" w:space="0" w:color="auto"/>
                <w:bottom w:val="none" w:sz="0" w:space="0" w:color="auto"/>
                <w:right w:val="none" w:sz="0" w:space="0" w:color="auto"/>
              </w:divBdr>
              <w:divsChild>
                <w:div w:id="47464650">
                  <w:marLeft w:val="0"/>
                  <w:marRight w:val="0"/>
                  <w:marTop w:val="0"/>
                  <w:marBottom w:val="0"/>
                  <w:divBdr>
                    <w:top w:val="none" w:sz="0" w:space="0" w:color="auto"/>
                    <w:left w:val="none" w:sz="0" w:space="0" w:color="auto"/>
                    <w:bottom w:val="none" w:sz="0" w:space="0" w:color="auto"/>
                    <w:right w:val="none" w:sz="0" w:space="0" w:color="auto"/>
                  </w:divBdr>
                </w:div>
                <w:div w:id="147789651">
                  <w:marLeft w:val="0"/>
                  <w:marRight w:val="0"/>
                  <w:marTop w:val="0"/>
                  <w:marBottom w:val="0"/>
                  <w:divBdr>
                    <w:top w:val="none" w:sz="0" w:space="0" w:color="auto"/>
                    <w:left w:val="none" w:sz="0" w:space="0" w:color="auto"/>
                    <w:bottom w:val="none" w:sz="0" w:space="0" w:color="auto"/>
                    <w:right w:val="none" w:sz="0" w:space="0" w:color="auto"/>
                  </w:divBdr>
                </w:div>
                <w:div w:id="151067295">
                  <w:marLeft w:val="0"/>
                  <w:marRight w:val="0"/>
                  <w:marTop w:val="0"/>
                  <w:marBottom w:val="0"/>
                  <w:divBdr>
                    <w:top w:val="none" w:sz="0" w:space="0" w:color="auto"/>
                    <w:left w:val="none" w:sz="0" w:space="0" w:color="auto"/>
                    <w:bottom w:val="none" w:sz="0" w:space="0" w:color="auto"/>
                    <w:right w:val="none" w:sz="0" w:space="0" w:color="auto"/>
                  </w:divBdr>
                </w:div>
                <w:div w:id="177431031">
                  <w:marLeft w:val="0"/>
                  <w:marRight w:val="0"/>
                  <w:marTop w:val="0"/>
                  <w:marBottom w:val="0"/>
                  <w:divBdr>
                    <w:top w:val="none" w:sz="0" w:space="0" w:color="auto"/>
                    <w:left w:val="none" w:sz="0" w:space="0" w:color="auto"/>
                    <w:bottom w:val="none" w:sz="0" w:space="0" w:color="auto"/>
                    <w:right w:val="none" w:sz="0" w:space="0" w:color="auto"/>
                  </w:divBdr>
                </w:div>
                <w:div w:id="206188249">
                  <w:marLeft w:val="0"/>
                  <w:marRight w:val="0"/>
                  <w:marTop w:val="0"/>
                  <w:marBottom w:val="0"/>
                  <w:divBdr>
                    <w:top w:val="none" w:sz="0" w:space="0" w:color="auto"/>
                    <w:left w:val="none" w:sz="0" w:space="0" w:color="auto"/>
                    <w:bottom w:val="none" w:sz="0" w:space="0" w:color="auto"/>
                    <w:right w:val="none" w:sz="0" w:space="0" w:color="auto"/>
                  </w:divBdr>
                </w:div>
                <w:div w:id="253322822">
                  <w:marLeft w:val="0"/>
                  <w:marRight w:val="0"/>
                  <w:marTop w:val="0"/>
                  <w:marBottom w:val="0"/>
                  <w:divBdr>
                    <w:top w:val="none" w:sz="0" w:space="0" w:color="auto"/>
                    <w:left w:val="none" w:sz="0" w:space="0" w:color="auto"/>
                    <w:bottom w:val="none" w:sz="0" w:space="0" w:color="auto"/>
                    <w:right w:val="none" w:sz="0" w:space="0" w:color="auto"/>
                  </w:divBdr>
                </w:div>
                <w:div w:id="330064562">
                  <w:marLeft w:val="0"/>
                  <w:marRight w:val="0"/>
                  <w:marTop w:val="0"/>
                  <w:marBottom w:val="0"/>
                  <w:divBdr>
                    <w:top w:val="none" w:sz="0" w:space="0" w:color="auto"/>
                    <w:left w:val="none" w:sz="0" w:space="0" w:color="auto"/>
                    <w:bottom w:val="none" w:sz="0" w:space="0" w:color="auto"/>
                    <w:right w:val="none" w:sz="0" w:space="0" w:color="auto"/>
                  </w:divBdr>
                </w:div>
                <w:div w:id="350495436">
                  <w:marLeft w:val="0"/>
                  <w:marRight w:val="0"/>
                  <w:marTop w:val="0"/>
                  <w:marBottom w:val="0"/>
                  <w:divBdr>
                    <w:top w:val="none" w:sz="0" w:space="0" w:color="auto"/>
                    <w:left w:val="none" w:sz="0" w:space="0" w:color="auto"/>
                    <w:bottom w:val="none" w:sz="0" w:space="0" w:color="auto"/>
                    <w:right w:val="none" w:sz="0" w:space="0" w:color="auto"/>
                  </w:divBdr>
                </w:div>
                <w:div w:id="479544844">
                  <w:marLeft w:val="0"/>
                  <w:marRight w:val="0"/>
                  <w:marTop w:val="0"/>
                  <w:marBottom w:val="0"/>
                  <w:divBdr>
                    <w:top w:val="none" w:sz="0" w:space="0" w:color="auto"/>
                    <w:left w:val="none" w:sz="0" w:space="0" w:color="auto"/>
                    <w:bottom w:val="none" w:sz="0" w:space="0" w:color="auto"/>
                    <w:right w:val="none" w:sz="0" w:space="0" w:color="auto"/>
                  </w:divBdr>
                </w:div>
                <w:div w:id="495344378">
                  <w:marLeft w:val="0"/>
                  <w:marRight w:val="0"/>
                  <w:marTop w:val="0"/>
                  <w:marBottom w:val="0"/>
                  <w:divBdr>
                    <w:top w:val="none" w:sz="0" w:space="0" w:color="auto"/>
                    <w:left w:val="none" w:sz="0" w:space="0" w:color="auto"/>
                    <w:bottom w:val="none" w:sz="0" w:space="0" w:color="auto"/>
                    <w:right w:val="none" w:sz="0" w:space="0" w:color="auto"/>
                  </w:divBdr>
                </w:div>
                <w:div w:id="677000141">
                  <w:marLeft w:val="0"/>
                  <w:marRight w:val="0"/>
                  <w:marTop w:val="0"/>
                  <w:marBottom w:val="0"/>
                  <w:divBdr>
                    <w:top w:val="none" w:sz="0" w:space="0" w:color="auto"/>
                    <w:left w:val="none" w:sz="0" w:space="0" w:color="auto"/>
                    <w:bottom w:val="none" w:sz="0" w:space="0" w:color="auto"/>
                    <w:right w:val="none" w:sz="0" w:space="0" w:color="auto"/>
                  </w:divBdr>
                </w:div>
                <w:div w:id="711996264">
                  <w:marLeft w:val="0"/>
                  <w:marRight w:val="0"/>
                  <w:marTop w:val="0"/>
                  <w:marBottom w:val="0"/>
                  <w:divBdr>
                    <w:top w:val="none" w:sz="0" w:space="0" w:color="auto"/>
                    <w:left w:val="none" w:sz="0" w:space="0" w:color="auto"/>
                    <w:bottom w:val="none" w:sz="0" w:space="0" w:color="auto"/>
                    <w:right w:val="none" w:sz="0" w:space="0" w:color="auto"/>
                  </w:divBdr>
                </w:div>
                <w:div w:id="762338758">
                  <w:marLeft w:val="0"/>
                  <w:marRight w:val="0"/>
                  <w:marTop w:val="0"/>
                  <w:marBottom w:val="0"/>
                  <w:divBdr>
                    <w:top w:val="none" w:sz="0" w:space="0" w:color="auto"/>
                    <w:left w:val="none" w:sz="0" w:space="0" w:color="auto"/>
                    <w:bottom w:val="none" w:sz="0" w:space="0" w:color="auto"/>
                    <w:right w:val="none" w:sz="0" w:space="0" w:color="auto"/>
                  </w:divBdr>
                </w:div>
                <w:div w:id="823932285">
                  <w:marLeft w:val="0"/>
                  <w:marRight w:val="0"/>
                  <w:marTop w:val="0"/>
                  <w:marBottom w:val="0"/>
                  <w:divBdr>
                    <w:top w:val="none" w:sz="0" w:space="0" w:color="auto"/>
                    <w:left w:val="none" w:sz="0" w:space="0" w:color="auto"/>
                    <w:bottom w:val="none" w:sz="0" w:space="0" w:color="auto"/>
                    <w:right w:val="none" w:sz="0" w:space="0" w:color="auto"/>
                  </w:divBdr>
                </w:div>
                <w:div w:id="1108038593">
                  <w:marLeft w:val="0"/>
                  <w:marRight w:val="0"/>
                  <w:marTop w:val="0"/>
                  <w:marBottom w:val="0"/>
                  <w:divBdr>
                    <w:top w:val="none" w:sz="0" w:space="0" w:color="auto"/>
                    <w:left w:val="none" w:sz="0" w:space="0" w:color="auto"/>
                    <w:bottom w:val="none" w:sz="0" w:space="0" w:color="auto"/>
                    <w:right w:val="none" w:sz="0" w:space="0" w:color="auto"/>
                  </w:divBdr>
                </w:div>
                <w:div w:id="1187674121">
                  <w:marLeft w:val="0"/>
                  <w:marRight w:val="0"/>
                  <w:marTop w:val="0"/>
                  <w:marBottom w:val="0"/>
                  <w:divBdr>
                    <w:top w:val="none" w:sz="0" w:space="0" w:color="auto"/>
                    <w:left w:val="none" w:sz="0" w:space="0" w:color="auto"/>
                    <w:bottom w:val="none" w:sz="0" w:space="0" w:color="auto"/>
                    <w:right w:val="none" w:sz="0" w:space="0" w:color="auto"/>
                  </w:divBdr>
                </w:div>
                <w:div w:id="1434787786">
                  <w:marLeft w:val="0"/>
                  <w:marRight w:val="0"/>
                  <w:marTop w:val="0"/>
                  <w:marBottom w:val="0"/>
                  <w:divBdr>
                    <w:top w:val="none" w:sz="0" w:space="0" w:color="auto"/>
                    <w:left w:val="none" w:sz="0" w:space="0" w:color="auto"/>
                    <w:bottom w:val="none" w:sz="0" w:space="0" w:color="auto"/>
                    <w:right w:val="none" w:sz="0" w:space="0" w:color="auto"/>
                  </w:divBdr>
                </w:div>
                <w:div w:id="1455178109">
                  <w:marLeft w:val="0"/>
                  <w:marRight w:val="0"/>
                  <w:marTop w:val="0"/>
                  <w:marBottom w:val="0"/>
                  <w:divBdr>
                    <w:top w:val="none" w:sz="0" w:space="0" w:color="auto"/>
                    <w:left w:val="none" w:sz="0" w:space="0" w:color="auto"/>
                    <w:bottom w:val="none" w:sz="0" w:space="0" w:color="auto"/>
                    <w:right w:val="none" w:sz="0" w:space="0" w:color="auto"/>
                  </w:divBdr>
                </w:div>
                <w:div w:id="1471751422">
                  <w:marLeft w:val="0"/>
                  <w:marRight w:val="0"/>
                  <w:marTop w:val="0"/>
                  <w:marBottom w:val="0"/>
                  <w:divBdr>
                    <w:top w:val="none" w:sz="0" w:space="0" w:color="auto"/>
                    <w:left w:val="none" w:sz="0" w:space="0" w:color="auto"/>
                    <w:bottom w:val="none" w:sz="0" w:space="0" w:color="auto"/>
                    <w:right w:val="none" w:sz="0" w:space="0" w:color="auto"/>
                  </w:divBdr>
                </w:div>
                <w:div w:id="1534882941">
                  <w:marLeft w:val="0"/>
                  <w:marRight w:val="0"/>
                  <w:marTop w:val="0"/>
                  <w:marBottom w:val="0"/>
                  <w:divBdr>
                    <w:top w:val="none" w:sz="0" w:space="0" w:color="auto"/>
                    <w:left w:val="none" w:sz="0" w:space="0" w:color="auto"/>
                    <w:bottom w:val="none" w:sz="0" w:space="0" w:color="auto"/>
                    <w:right w:val="none" w:sz="0" w:space="0" w:color="auto"/>
                  </w:divBdr>
                </w:div>
                <w:div w:id="1552645219">
                  <w:marLeft w:val="0"/>
                  <w:marRight w:val="0"/>
                  <w:marTop w:val="0"/>
                  <w:marBottom w:val="0"/>
                  <w:divBdr>
                    <w:top w:val="none" w:sz="0" w:space="0" w:color="auto"/>
                    <w:left w:val="none" w:sz="0" w:space="0" w:color="auto"/>
                    <w:bottom w:val="none" w:sz="0" w:space="0" w:color="auto"/>
                    <w:right w:val="none" w:sz="0" w:space="0" w:color="auto"/>
                  </w:divBdr>
                </w:div>
                <w:div w:id="1572620362">
                  <w:marLeft w:val="0"/>
                  <w:marRight w:val="0"/>
                  <w:marTop w:val="0"/>
                  <w:marBottom w:val="0"/>
                  <w:divBdr>
                    <w:top w:val="none" w:sz="0" w:space="0" w:color="auto"/>
                    <w:left w:val="none" w:sz="0" w:space="0" w:color="auto"/>
                    <w:bottom w:val="none" w:sz="0" w:space="0" w:color="auto"/>
                    <w:right w:val="none" w:sz="0" w:space="0" w:color="auto"/>
                  </w:divBdr>
                </w:div>
                <w:div w:id="1631402818">
                  <w:marLeft w:val="0"/>
                  <w:marRight w:val="0"/>
                  <w:marTop w:val="0"/>
                  <w:marBottom w:val="0"/>
                  <w:divBdr>
                    <w:top w:val="none" w:sz="0" w:space="0" w:color="auto"/>
                    <w:left w:val="none" w:sz="0" w:space="0" w:color="auto"/>
                    <w:bottom w:val="none" w:sz="0" w:space="0" w:color="auto"/>
                    <w:right w:val="none" w:sz="0" w:space="0" w:color="auto"/>
                  </w:divBdr>
                </w:div>
                <w:div w:id="1639337835">
                  <w:marLeft w:val="0"/>
                  <w:marRight w:val="0"/>
                  <w:marTop w:val="0"/>
                  <w:marBottom w:val="0"/>
                  <w:divBdr>
                    <w:top w:val="none" w:sz="0" w:space="0" w:color="auto"/>
                    <w:left w:val="none" w:sz="0" w:space="0" w:color="auto"/>
                    <w:bottom w:val="none" w:sz="0" w:space="0" w:color="auto"/>
                    <w:right w:val="none" w:sz="0" w:space="0" w:color="auto"/>
                  </w:divBdr>
                </w:div>
                <w:div w:id="1822112048">
                  <w:marLeft w:val="0"/>
                  <w:marRight w:val="0"/>
                  <w:marTop w:val="0"/>
                  <w:marBottom w:val="0"/>
                  <w:divBdr>
                    <w:top w:val="none" w:sz="0" w:space="0" w:color="auto"/>
                    <w:left w:val="none" w:sz="0" w:space="0" w:color="auto"/>
                    <w:bottom w:val="none" w:sz="0" w:space="0" w:color="auto"/>
                    <w:right w:val="none" w:sz="0" w:space="0" w:color="auto"/>
                  </w:divBdr>
                </w:div>
                <w:div w:id="1828328619">
                  <w:marLeft w:val="0"/>
                  <w:marRight w:val="0"/>
                  <w:marTop w:val="0"/>
                  <w:marBottom w:val="0"/>
                  <w:divBdr>
                    <w:top w:val="none" w:sz="0" w:space="0" w:color="auto"/>
                    <w:left w:val="none" w:sz="0" w:space="0" w:color="auto"/>
                    <w:bottom w:val="none" w:sz="0" w:space="0" w:color="auto"/>
                    <w:right w:val="none" w:sz="0" w:space="0" w:color="auto"/>
                  </w:divBdr>
                </w:div>
                <w:div w:id="1839611292">
                  <w:marLeft w:val="0"/>
                  <w:marRight w:val="0"/>
                  <w:marTop w:val="0"/>
                  <w:marBottom w:val="0"/>
                  <w:divBdr>
                    <w:top w:val="none" w:sz="0" w:space="0" w:color="auto"/>
                    <w:left w:val="none" w:sz="0" w:space="0" w:color="auto"/>
                    <w:bottom w:val="none" w:sz="0" w:space="0" w:color="auto"/>
                    <w:right w:val="none" w:sz="0" w:space="0" w:color="auto"/>
                  </w:divBdr>
                </w:div>
                <w:div w:id="1953199690">
                  <w:marLeft w:val="0"/>
                  <w:marRight w:val="0"/>
                  <w:marTop w:val="0"/>
                  <w:marBottom w:val="0"/>
                  <w:divBdr>
                    <w:top w:val="none" w:sz="0" w:space="0" w:color="auto"/>
                    <w:left w:val="none" w:sz="0" w:space="0" w:color="auto"/>
                    <w:bottom w:val="none" w:sz="0" w:space="0" w:color="auto"/>
                    <w:right w:val="none" w:sz="0" w:space="0" w:color="auto"/>
                  </w:divBdr>
                </w:div>
                <w:div w:id="197200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75546">
          <w:marLeft w:val="0"/>
          <w:marRight w:val="0"/>
          <w:marTop w:val="15"/>
          <w:marBottom w:val="0"/>
          <w:divBdr>
            <w:top w:val="none" w:sz="0" w:space="0" w:color="auto"/>
            <w:left w:val="none" w:sz="0" w:space="0" w:color="auto"/>
            <w:bottom w:val="none" w:sz="0" w:space="0" w:color="auto"/>
            <w:right w:val="none" w:sz="0" w:space="0" w:color="auto"/>
          </w:divBdr>
          <w:divsChild>
            <w:div w:id="1978367330">
              <w:marLeft w:val="0"/>
              <w:marRight w:val="0"/>
              <w:marTop w:val="0"/>
              <w:marBottom w:val="0"/>
              <w:divBdr>
                <w:top w:val="none" w:sz="0" w:space="0" w:color="auto"/>
                <w:left w:val="none" w:sz="0" w:space="0" w:color="auto"/>
                <w:bottom w:val="none" w:sz="0" w:space="0" w:color="auto"/>
                <w:right w:val="none" w:sz="0" w:space="0" w:color="auto"/>
              </w:divBdr>
              <w:divsChild>
                <w:div w:id="14236478">
                  <w:marLeft w:val="0"/>
                  <w:marRight w:val="0"/>
                  <w:marTop w:val="0"/>
                  <w:marBottom w:val="0"/>
                  <w:divBdr>
                    <w:top w:val="none" w:sz="0" w:space="0" w:color="auto"/>
                    <w:left w:val="none" w:sz="0" w:space="0" w:color="auto"/>
                    <w:bottom w:val="none" w:sz="0" w:space="0" w:color="auto"/>
                    <w:right w:val="none" w:sz="0" w:space="0" w:color="auto"/>
                  </w:divBdr>
                </w:div>
                <w:div w:id="159318166">
                  <w:marLeft w:val="0"/>
                  <w:marRight w:val="0"/>
                  <w:marTop w:val="0"/>
                  <w:marBottom w:val="0"/>
                  <w:divBdr>
                    <w:top w:val="none" w:sz="0" w:space="0" w:color="auto"/>
                    <w:left w:val="none" w:sz="0" w:space="0" w:color="auto"/>
                    <w:bottom w:val="none" w:sz="0" w:space="0" w:color="auto"/>
                    <w:right w:val="none" w:sz="0" w:space="0" w:color="auto"/>
                  </w:divBdr>
                </w:div>
                <w:div w:id="187378602">
                  <w:marLeft w:val="0"/>
                  <w:marRight w:val="0"/>
                  <w:marTop w:val="0"/>
                  <w:marBottom w:val="0"/>
                  <w:divBdr>
                    <w:top w:val="none" w:sz="0" w:space="0" w:color="auto"/>
                    <w:left w:val="none" w:sz="0" w:space="0" w:color="auto"/>
                    <w:bottom w:val="none" w:sz="0" w:space="0" w:color="auto"/>
                    <w:right w:val="none" w:sz="0" w:space="0" w:color="auto"/>
                  </w:divBdr>
                </w:div>
                <w:div w:id="394354344">
                  <w:marLeft w:val="0"/>
                  <w:marRight w:val="0"/>
                  <w:marTop w:val="0"/>
                  <w:marBottom w:val="0"/>
                  <w:divBdr>
                    <w:top w:val="none" w:sz="0" w:space="0" w:color="auto"/>
                    <w:left w:val="none" w:sz="0" w:space="0" w:color="auto"/>
                    <w:bottom w:val="none" w:sz="0" w:space="0" w:color="auto"/>
                    <w:right w:val="none" w:sz="0" w:space="0" w:color="auto"/>
                  </w:divBdr>
                </w:div>
                <w:div w:id="517695247">
                  <w:marLeft w:val="0"/>
                  <w:marRight w:val="0"/>
                  <w:marTop w:val="0"/>
                  <w:marBottom w:val="0"/>
                  <w:divBdr>
                    <w:top w:val="none" w:sz="0" w:space="0" w:color="auto"/>
                    <w:left w:val="none" w:sz="0" w:space="0" w:color="auto"/>
                    <w:bottom w:val="none" w:sz="0" w:space="0" w:color="auto"/>
                    <w:right w:val="none" w:sz="0" w:space="0" w:color="auto"/>
                  </w:divBdr>
                </w:div>
                <w:div w:id="526023318">
                  <w:marLeft w:val="0"/>
                  <w:marRight w:val="0"/>
                  <w:marTop w:val="0"/>
                  <w:marBottom w:val="0"/>
                  <w:divBdr>
                    <w:top w:val="none" w:sz="0" w:space="0" w:color="auto"/>
                    <w:left w:val="none" w:sz="0" w:space="0" w:color="auto"/>
                    <w:bottom w:val="none" w:sz="0" w:space="0" w:color="auto"/>
                    <w:right w:val="none" w:sz="0" w:space="0" w:color="auto"/>
                  </w:divBdr>
                </w:div>
                <w:div w:id="607853334">
                  <w:marLeft w:val="0"/>
                  <w:marRight w:val="0"/>
                  <w:marTop w:val="0"/>
                  <w:marBottom w:val="0"/>
                  <w:divBdr>
                    <w:top w:val="none" w:sz="0" w:space="0" w:color="auto"/>
                    <w:left w:val="none" w:sz="0" w:space="0" w:color="auto"/>
                    <w:bottom w:val="none" w:sz="0" w:space="0" w:color="auto"/>
                    <w:right w:val="none" w:sz="0" w:space="0" w:color="auto"/>
                  </w:divBdr>
                </w:div>
                <w:div w:id="725029012">
                  <w:marLeft w:val="0"/>
                  <w:marRight w:val="0"/>
                  <w:marTop w:val="0"/>
                  <w:marBottom w:val="0"/>
                  <w:divBdr>
                    <w:top w:val="none" w:sz="0" w:space="0" w:color="auto"/>
                    <w:left w:val="none" w:sz="0" w:space="0" w:color="auto"/>
                    <w:bottom w:val="none" w:sz="0" w:space="0" w:color="auto"/>
                    <w:right w:val="none" w:sz="0" w:space="0" w:color="auto"/>
                  </w:divBdr>
                </w:div>
                <w:div w:id="837158865">
                  <w:marLeft w:val="0"/>
                  <w:marRight w:val="0"/>
                  <w:marTop w:val="0"/>
                  <w:marBottom w:val="0"/>
                  <w:divBdr>
                    <w:top w:val="none" w:sz="0" w:space="0" w:color="auto"/>
                    <w:left w:val="none" w:sz="0" w:space="0" w:color="auto"/>
                    <w:bottom w:val="none" w:sz="0" w:space="0" w:color="auto"/>
                    <w:right w:val="none" w:sz="0" w:space="0" w:color="auto"/>
                  </w:divBdr>
                </w:div>
                <w:div w:id="859274877">
                  <w:marLeft w:val="0"/>
                  <w:marRight w:val="0"/>
                  <w:marTop w:val="0"/>
                  <w:marBottom w:val="0"/>
                  <w:divBdr>
                    <w:top w:val="none" w:sz="0" w:space="0" w:color="auto"/>
                    <w:left w:val="none" w:sz="0" w:space="0" w:color="auto"/>
                    <w:bottom w:val="none" w:sz="0" w:space="0" w:color="auto"/>
                    <w:right w:val="none" w:sz="0" w:space="0" w:color="auto"/>
                  </w:divBdr>
                </w:div>
                <w:div w:id="977223538">
                  <w:marLeft w:val="0"/>
                  <w:marRight w:val="0"/>
                  <w:marTop w:val="0"/>
                  <w:marBottom w:val="0"/>
                  <w:divBdr>
                    <w:top w:val="none" w:sz="0" w:space="0" w:color="auto"/>
                    <w:left w:val="none" w:sz="0" w:space="0" w:color="auto"/>
                    <w:bottom w:val="none" w:sz="0" w:space="0" w:color="auto"/>
                    <w:right w:val="none" w:sz="0" w:space="0" w:color="auto"/>
                  </w:divBdr>
                </w:div>
                <w:div w:id="1005329885">
                  <w:marLeft w:val="0"/>
                  <w:marRight w:val="0"/>
                  <w:marTop w:val="0"/>
                  <w:marBottom w:val="0"/>
                  <w:divBdr>
                    <w:top w:val="none" w:sz="0" w:space="0" w:color="auto"/>
                    <w:left w:val="none" w:sz="0" w:space="0" w:color="auto"/>
                    <w:bottom w:val="none" w:sz="0" w:space="0" w:color="auto"/>
                    <w:right w:val="none" w:sz="0" w:space="0" w:color="auto"/>
                  </w:divBdr>
                </w:div>
                <w:div w:id="1031420194">
                  <w:marLeft w:val="0"/>
                  <w:marRight w:val="0"/>
                  <w:marTop w:val="0"/>
                  <w:marBottom w:val="0"/>
                  <w:divBdr>
                    <w:top w:val="none" w:sz="0" w:space="0" w:color="auto"/>
                    <w:left w:val="none" w:sz="0" w:space="0" w:color="auto"/>
                    <w:bottom w:val="none" w:sz="0" w:space="0" w:color="auto"/>
                    <w:right w:val="none" w:sz="0" w:space="0" w:color="auto"/>
                  </w:divBdr>
                </w:div>
                <w:div w:id="1038746729">
                  <w:marLeft w:val="0"/>
                  <w:marRight w:val="0"/>
                  <w:marTop w:val="0"/>
                  <w:marBottom w:val="0"/>
                  <w:divBdr>
                    <w:top w:val="none" w:sz="0" w:space="0" w:color="auto"/>
                    <w:left w:val="none" w:sz="0" w:space="0" w:color="auto"/>
                    <w:bottom w:val="none" w:sz="0" w:space="0" w:color="auto"/>
                    <w:right w:val="none" w:sz="0" w:space="0" w:color="auto"/>
                  </w:divBdr>
                </w:div>
                <w:div w:id="1276326776">
                  <w:marLeft w:val="0"/>
                  <w:marRight w:val="0"/>
                  <w:marTop w:val="0"/>
                  <w:marBottom w:val="0"/>
                  <w:divBdr>
                    <w:top w:val="none" w:sz="0" w:space="0" w:color="auto"/>
                    <w:left w:val="none" w:sz="0" w:space="0" w:color="auto"/>
                    <w:bottom w:val="none" w:sz="0" w:space="0" w:color="auto"/>
                    <w:right w:val="none" w:sz="0" w:space="0" w:color="auto"/>
                  </w:divBdr>
                </w:div>
                <w:div w:id="1387021945">
                  <w:marLeft w:val="0"/>
                  <w:marRight w:val="0"/>
                  <w:marTop w:val="0"/>
                  <w:marBottom w:val="0"/>
                  <w:divBdr>
                    <w:top w:val="none" w:sz="0" w:space="0" w:color="auto"/>
                    <w:left w:val="none" w:sz="0" w:space="0" w:color="auto"/>
                    <w:bottom w:val="none" w:sz="0" w:space="0" w:color="auto"/>
                    <w:right w:val="none" w:sz="0" w:space="0" w:color="auto"/>
                  </w:divBdr>
                </w:div>
                <w:div w:id="1397438267">
                  <w:marLeft w:val="0"/>
                  <w:marRight w:val="0"/>
                  <w:marTop w:val="0"/>
                  <w:marBottom w:val="0"/>
                  <w:divBdr>
                    <w:top w:val="none" w:sz="0" w:space="0" w:color="auto"/>
                    <w:left w:val="none" w:sz="0" w:space="0" w:color="auto"/>
                    <w:bottom w:val="none" w:sz="0" w:space="0" w:color="auto"/>
                    <w:right w:val="none" w:sz="0" w:space="0" w:color="auto"/>
                  </w:divBdr>
                </w:div>
                <w:div w:id="1557206264">
                  <w:marLeft w:val="0"/>
                  <w:marRight w:val="0"/>
                  <w:marTop w:val="0"/>
                  <w:marBottom w:val="0"/>
                  <w:divBdr>
                    <w:top w:val="none" w:sz="0" w:space="0" w:color="auto"/>
                    <w:left w:val="none" w:sz="0" w:space="0" w:color="auto"/>
                    <w:bottom w:val="none" w:sz="0" w:space="0" w:color="auto"/>
                    <w:right w:val="none" w:sz="0" w:space="0" w:color="auto"/>
                  </w:divBdr>
                </w:div>
                <w:div w:id="1607543916">
                  <w:marLeft w:val="0"/>
                  <w:marRight w:val="0"/>
                  <w:marTop w:val="0"/>
                  <w:marBottom w:val="0"/>
                  <w:divBdr>
                    <w:top w:val="none" w:sz="0" w:space="0" w:color="auto"/>
                    <w:left w:val="none" w:sz="0" w:space="0" w:color="auto"/>
                    <w:bottom w:val="none" w:sz="0" w:space="0" w:color="auto"/>
                    <w:right w:val="none" w:sz="0" w:space="0" w:color="auto"/>
                  </w:divBdr>
                </w:div>
                <w:div w:id="1635135052">
                  <w:marLeft w:val="0"/>
                  <w:marRight w:val="0"/>
                  <w:marTop w:val="0"/>
                  <w:marBottom w:val="0"/>
                  <w:divBdr>
                    <w:top w:val="none" w:sz="0" w:space="0" w:color="auto"/>
                    <w:left w:val="none" w:sz="0" w:space="0" w:color="auto"/>
                    <w:bottom w:val="none" w:sz="0" w:space="0" w:color="auto"/>
                    <w:right w:val="none" w:sz="0" w:space="0" w:color="auto"/>
                  </w:divBdr>
                </w:div>
                <w:div w:id="1648048802">
                  <w:marLeft w:val="0"/>
                  <w:marRight w:val="0"/>
                  <w:marTop w:val="0"/>
                  <w:marBottom w:val="0"/>
                  <w:divBdr>
                    <w:top w:val="none" w:sz="0" w:space="0" w:color="auto"/>
                    <w:left w:val="none" w:sz="0" w:space="0" w:color="auto"/>
                    <w:bottom w:val="none" w:sz="0" w:space="0" w:color="auto"/>
                    <w:right w:val="none" w:sz="0" w:space="0" w:color="auto"/>
                  </w:divBdr>
                </w:div>
                <w:div w:id="1659503311">
                  <w:marLeft w:val="0"/>
                  <w:marRight w:val="0"/>
                  <w:marTop w:val="0"/>
                  <w:marBottom w:val="0"/>
                  <w:divBdr>
                    <w:top w:val="none" w:sz="0" w:space="0" w:color="auto"/>
                    <w:left w:val="none" w:sz="0" w:space="0" w:color="auto"/>
                    <w:bottom w:val="none" w:sz="0" w:space="0" w:color="auto"/>
                    <w:right w:val="none" w:sz="0" w:space="0" w:color="auto"/>
                  </w:divBdr>
                </w:div>
                <w:div w:id="1660965699">
                  <w:marLeft w:val="0"/>
                  <w:marRight w:val="0"/>
                  <w:marTop w:val="0"/>
                  <w:marBottom w:val="0"/>
                  <w:divBdr>
                    <w:top w:val="none" w:sz="0" w:space="0" w:color="auto"/>
                    <w:left w:val="none" w:sz="0" w:space="0" w:color="auto"/>
                    <w:bottom w:val="none" w:sz="0" w:space="0" w:color="auto"/>
                    <w:right w:val="none" w:sz="0" w:space="0" w:color="auto"/>
                  </w:divBdr>
                </w:div>
                <w:div w:id="1770200312">
                  <w:marLeft w:val="0"/>
                  <w:marRight w:val="0"/>
                  <w:marTop w:val="0"/>
                  <w:marBottom w:val="0"/>
                  <w:divBdr>
                    <w:top w:val="none" w:sz="0" w:space="0" w:color="auto"/>
                    <w:left w:val="none" w:sz="0" w:space="0" w:color="auto"/>
                    <w:bottom w:val="none" w:sz="0" w:space="0" w:color="auto"/>
                    <w:right w:val="none" w:sz="0" w:space="0" w:color="auto"/>
                  </w:divBdr>
                </w:div>
                <w:div w:id="1903980022">
                  <w:marLeft w:val="0"/>
                  <w:marRight w:val="0"/>
                  <w:marTop w:val="0"/>
                  <w:marBottom w:val="0"/>
                  <w:divBdr>
                    <w:top w:val="none" w:sz="0" w:space="0" w:color="auto"/>
                    <w:left w:val="none" w:sz="0" w:space="0" w:color="auto"/>
                    <w:bottom w:val="none" w:sz="0" w:space="0" w:color="auto"/>
                    <w:right w:val="none" w:sz="0" w:space="0" w:color="auto"/>
                  </w:divBdr>
                </w:div>
                <w:div w:id="2020498358">
                  <w:marLeft w:val="0"/>
                  <w:marRight w:val="0"/>
                  <w:marTop w:val="0"/>
                  <w:marBottom w:val="0"/>
                  <w:divBdr>
                    <w:top w:val="none" w:sz="0" w:space="0" w:color="auto"/>
                    <w:left w:val="none" w:sz="0" w:space="0" w:color="auto"/>
                    <w:bottom w:val="none" w:sz="0" w:space="0" w:color="auto"/>
                    <w:right w:val="none" w:sz="0" w:space="0" w:color="auto"/>
                  </w:divBdr>
                </w:div>
                <w:div w:id="204382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4797">
          <w:marLeft w:val="0"/>
          <w:marRight w:val="0"/>
          <w:marTop w:val="15"/>
          <w:marBottom w:val="0"/>
          <w:divBdr>
            <w:top w:val="none" w:sz="0" w:space="0" w:color="auto"/>
            <w:left w:val="none" w:sz="0" w:space="0" w:color="auto"/>
            <w:bottom w:val="none" w:sz="0" w:space="0" w:color="auto"/>
            <w:right w:val="none" w:sz="0" w:space="0" w:color="auto"/>
          </w:divBdr>
          <w:divsChild>
            <w:div w:id="1783918785">
              <w:marLeft w:val="0"/>
              <w:marRight w:val="0"/>
              <w:marTop w:val="0"/>
              <w:marBottom w:val="0"/>
              <w:divBdr>
                <w:top w:val="none" w:sz="0" w:space="0" w:color="auto"/>
                <w:left w:val="none" w:sz="0" w:space="0" w:color="auto"/>
                <w:bottom w:val="none" w:sz="0" w:space="0" w:color="auto"/>
                <w:right w:val="none" w:sz="0" w:space="0" w:color="auto"/>
              </w:divBdr>
              <w:divsChild>
                <w:div w:id="15350888">
                  <w:marLeft w:val="0"/>
                  <w:marRight w:val="0"/>
                  <w:marTop w:val="0"/>
                  <w:marBottom w:val="0"/>
                  <w:divBdr>
                    <w:top w:val="none" w:sz="0" w:space="0" w:color="auto"/>
                    <w:left w:val="none" w:sz="0" w:space="0" w:color="auto"/>
                    <w:bottom w:val="none" w:sz="0" w:space="0" w:color="auto"/>
                    <w:right w:val="none" w:sz="0" w:space="0" w:color="auto"/>
                  </w:divBdr>
                </w:div>
                <w:div w:id="70978271">
                  <w:marLeft w:val="0"/>
                  <w:marRight w:val="0"/>
                  <w:marTop w:val="0"/>
                  <w:marBottom w:val="0"/>
                  <w:divBdr>
                    <w:top w:val="none" w:sz="0" w:space="0" w:color="auto"/>
                    <w:left w:val="none" w:sz="0" w:space="0" w:color="auto"/>
                    <w:bottom w:val="none" w:sz="0" w:space="0" w:color="auto"/>
                    <w:right w:val="none" w:sz="0" w:space="0" w:color="auto"/>
                  </w:divBdr>
                </w:div>
                <w:div w:id="267860303">
                  <w:marLeft w:val="0"/>
                  <w:marRight w:val="0"/>
                  <w:marTop w:val="0"/>
                  <w:marBottom w:val="0"/>
                  <w:divBdr>
                    <w:top w:val="none" w:sz="0" w:space="0" w:color="auto"/>
                    <w:left w:val="none" w:sz="0" w:space="0" w:color="auto"/>
                    <w:bottom w:val="none" w:sz="0" w:space="0" w:color="auto"/>
                    <w:right w:val="none" w:sz="0" w:space="0" w:color="auto"/>
                  </w:divBdr>
                </w:div>
                <w:div w:id="351029646">
                  <w:marLeft w:val="0"/>
                  <w:marRight w:val="0"/>
                  <w:marTop w:val="0"/>
                  <w:marBottom w:val="0"/>
                  <w:divBdr>
                    <w:top w:val="none" w:sz="0" w:space="0" w:color="auto"/>
                    <w:left w:val="none" w:sz="0" w:space="0" w:color="auto"/>
                    <w:bottom w:val="none" w:sz="0" w:space="0" w:color="auto"/>
                    <w:right w:val="none" w:sz="0" w:space="0" w:color="auto"/>
                  </w:divBdr>
                </w:div>
                <w:div w:id="356128148">
                  <w:marLeft w:val="0"/>
                  <w:marRight w:val="0"/>
                  <w:marTop w:val="0"/>
                  <w:marBottom w:val="0"/>
                  <w:divBdr>
                    <w:top w:val="none" w:sz="0" w:space="0" w:color="auto"/>
                    <w:left w:val="none" w:sz="0" w:space="0" w:color="auto"/>
                    <w:bottom w:val="none" w:sz="0" w:space="0" w:color="auto"/>
                    <w:right w:val="none" w:sz="0" w:space="0" w:color="auto"/>
                  </w:divBdr>
                </w:div>
                <w:div w:id="362292321">
                  <w:marLeft w:val="0"/>
                  <w:marRight w:val="0"/>
                  <w:marTop w:val="0"/>
                  <w:marBottom w:val="0"/>
                  <w:divBdr>
                    <w:top w:val="none" w:sz="0" w:space="0" w:color="auto"/>
                    <w:left w:val="none" w:sz="0" w:space="0" w:color="auto"/>
                    <w:bottom w:val="none" w:sz="0" w:space="0" w:color="auto"/>
                    <w:right w:val="none" w:sz="0" w:space="0" w:color="auto"/>
                  </w:divBdr>
                </w:div>
                <w:div w:id="383866953">
                  <w:marLeft w:val="0"/>
                  <w:marRight w:val="0"/>
                  <w:marTop w:val="0"/>
                  <w:marBottom w:val="0"/>
                  <w:divBdr>
                    <w:top w:val="none" w:sz="0" w:space="0" w:color="auto"/>
                    <w:left w:val="none" w:sz="0" w:space="0" w:color="auto"/>
                    <w:bottom w:val="none" w:sz="0" w:space="0" w:color="auto"/>
                    <w:right w:val="none" w:sz="0" w:space="0" w:color="auto"/>
                  </w:divBdr>
                </w:div>
                <w:div w:id="433132668">
                  <w:marLeft w:val="0"/>
                  <w:marRight w:val="0"/>
                  <w:marTop w:val="0"/>
                  <w:marBottom w:val="0"/>
                  <w:divBdr>
                    <w:top w:val="none" w:sz="0" w:space="0" w:color="auto"/>
                    <w:left w:val="none" w:sz="0" w:space="0" w:color="auto"/>
                    <w:bottom w:val="none" w:sz="0" w:space="0" w:color="auto"/>
                    <w:right w:val="none" w:sz="0" w:space="0" w:color="auto"/>
                  </w:divBdr>
                </w:div>
                <w:div w:id="451216572">
                  <w:marLeft w:val="0"/>
                  <w:marRight w:val="0"/>
                  <w:marTop w:val="0"/>
                  <w:marBottom w:val="0"/>
                  <w:divBdr>
                    <w:top w:val="none" w:sz="0" w:space="0" w:color="auto"/>
                    <w:left w:val="none" w:sz="0" w:space="0" w:color="auto"/>
                    <w:bottom w:val="none" w:sz="0" w:space="0" w:color="auto"/>
                    <w:right w:val="none" w:sz="0" w:space="0" w:color="auto"/>
                  </w:divBdr>
                </w:div>
                <w:div w:id="454063908">
                  <w:marLeft w:val="0"/>
                  <w:marRight w:val="0"/>
                  <w:marTop w:val="0"/>
                  <w:marBottom w:val="0"/>
                  <w:divBdr>
                    <w:top w:val="none" w:sz="0" w:space="0" w:color="auto"/>
                    <w:left w:val="none" w:sz="0" w:space="0" w:color="auto"/>
                    <w:bottom w:val="none" w:sz="0" w:space="0" w:color="auto"/>
                    <w:right w:val="none" w:sz="0" w:space="0" w:color="auto"/>
                  </w:divBdr>
                </w:div>
                <w:div w:id="601688100">
                  <w:marLeft w:val="0"/>
                  <w:marRight w:val="0"/>
                  <w:marTop w:val="0"/>
                  <w:marBottom w:val="0"/>
                  <w:divBdr>
                    <w:top w:val="none" w:sz="0" w:space="0" w:color="auto"/>
                    <w:left w:val="none" w:sz="0" w:space="0" w:color="auto"/>
                    <w:bottom w:val="none" w:sz="0" w:space="0" w:color="auto"/>
                    <w:right w:val="none" w:sz="0" w:space="0" w:color="auto"/>
                  </w:divBdr>
                </w:div>
                <w:div w:id="628363626">
                  <w:marLeft w:val="0"/>
                  <w:marRight w:val="0"/>
                  <w:marTop w:val="0"/>
                  <w:marBottom w:val="0"/>
                  <w:divBdr>
                    <w:top w:val="none" w:sz="0" w:space="0" w:color="auto"/>
                    <w:left w:val="none" w:sz="0" w:space="0" w:color="auto"/>
                    <w:bottom w:val="none" w:sz="0" w:space="0" w:color="auto"/>
                    <w:right w:val="none" w:sz="0" w:space="0" w:color="auto"/>
                  </w:divBdr>
                </w:div>
                <w:div w:id="659775428">
                  <w:marLeft w:val="0"/>
                  <w:marRight w:val="0"/>
                  <w:marTop w:val="0"/>
                  <w:marBottom w:val="0"/>
                  <w:divBdr>
                    <w:top w:val="none" w:sz="0" w:space="0" w:color="auto"/>
                    <w:left w:val="none" w:sz="0" w:space="0" w:color="auto"/>
                    <w:bottom w:val="none" w:sz="0" w:space="0" w:color="auto"/>
                    <w:right w:val="none" w:sz="0" w:space="0" w:color="auto"/>
                  </w:divBdr>
                </w:div>
                <w:div w:id="811018446">
                  <w:marLeft w:val="0"/>
                  <w:marRight w:val="0"/>
                  <w:marTop w:val="0"/>
                  <w:marBottom w:val="0"/>
                  <w:divBdr>
                    <w:top w:val="none" w:sz="0" w:space="0" w:color="auto"/>
                    <w:left w:val="none" w:sz="0" w:space="0" w:color="auto"/>
                    <w:bottom w:val="none" w:sz="0" w:space="0" w:color="auto"/>
                    <w:right w:val="none" w:sz="0" w:space="0" w:color="auto"/>
                  </w:divBdr>
                </w:div>
                <w:div w:id="1040015748">
                  <w:marLeft w:val="0"/>
                  <w:marRight w:val="0"/>
                  <w:marTop w:val="0"/>
                  <w:marBottom w:val="0"/>
                  <w:divBdr>
                    <w:top w:val="none" w:sz="0" w:space="0" w:color="auto"/>
                    <w:left w:val="none" w:sz="0" w:space="0" w:color="auto"/>
                    <w:bottom w:val="none" w:sz="0" w:space="0" w:color="auto"/>
                    <w:right w:val="none" w:sz="0" w:space="0" w:color="auto"/>
                  </w:divBdr>
                </w:div>
                <w:div w:id="1139881054">
                  <w:marLeft w:val="0"/>
                  <w:marRight w:val="0"/>
                  <w:marTop w:val="0"/>
                  <w:marBottom w:val="0"/>
                  <w:divBdr>
                    <w:top w:val="none" w:sz="0" w:space="0" w:color="auto"/>
                    <w:left w:val="none" w:sz="0" w:space="0" w:color="auto"/>
                    <w:bottom w:val="none" w:sz="0" w:space="0" w:color="auto"/>
                    <w:right w:val="none" w:sz="0" w:space="0" w:color="auto"/>
                  </w:divBdr>
                </w:div>
                <w:div w:id="1265765697">
                  <w:marLeft w:val="0"/>
                  <w:marRight w:val="0"/>
                  <w:marTop w:val="0"/>
                  <w:marBottom w:val="0"/>
                  <w:divBdr>
                    <w:top w:val="none" w:sz="0" w:space="0" w:color="auto"/>
                    <w:left w:val="none" w:sz="0" w:space="0" w:color="auto"/>
                    <w:bottom w:val="none" w:sz="0" w:space="0" w:color="auto"/>
                    <w:right w:val="none" w:sz="0" w:space="0" w:color="auto"/>
                  </w:divBdr>
                </w:div>
                <w:div w:id="1281457123">
                  <w:marLeft w:val="0"/>
                  <w:marRight w:val="0"/>
                  <w:marTop w:val="0"/>
                  <w:marBottom w:val="0"/>
                  <w:divBdr>
                    <w:top w:val="none" w:sz="0" w:space="0" w:color="auto"/>
                    <w:left w:val="none" w:sz="0" w:space="0" w:color="auto"/>
                    <w:bottom w:val="none" w:sz="0" w:space="0" w:color="auto"/>
                    <w:right w:val="none" w:sz="0" w:space="0" w:color="auto"/>
                  </w:divBdr>
                </w:div>
                <w:div w:id="1306620819">
                  <w:marLeft w:val="0"/>
                  <w:marRight w:val="0"/>
                  <w:marTop w:val="0"/>
                  <w:marBottom w:val="0"/>
                  <w:divBdr>
                    <w:top w:val="none" w:sz="0" w:space="0" w:color="auto"/>
                    <w:left w:val="none" w:sz="0" w:space="0" w:color="auto"/>
                    <w:bottom w:val="none" w:sz="0" w:space="0" w:color="auto"/>
                    <w:right w:val="none" w:sz="0" w:space="0" w:color="auto"/>
                  </w:divBdr>
                </w:div>
                <w:div w:id="1405641972">
                  <w:marLeft w:val="0"/>
                  <w:marRight w:val="0"/>
                  <w:marTop w:val="0"/>
                  <w:marBottom w:val="0"/>
                  <w:divBdr>
                    <w:top w:val="none" w:sz="0" w:space="0" w:color="auto"/>
                    <w:left w:val="none" w:sz="0" w:space="0" w:color="auto"/>
                    <w:bottom w:val="none" w:sz="0" w:space="0" w:color="auto"/>
                    <w:right w:val="none" w:sz="0" w:space="0" w:color="auto"/>
                  </w:divBdr>
                </w:div>
                <w:div w:id="1438914707">
                  <w:marLeft w:val="0"/>
                  <w:marRight w:val="0"/>
                  <w:marTop w:val="0"/>
                  <w:marBottom w:val="0"/>
                  <w:divBdr>
                    <w:top w:val="none" w:sz="0" w:space="0" w:color="auto"/>
                    <w:left w:val="none" w:sz="0" w:space="0" w:color="auto"/>
                    <w:bottom w:val="none" w:sz="0" w:space="0" w:color="auto"/>
                    <w:right w:val="none" w:sz="0" w:space="0" w:color="auto"/>
                  </w:divBdr>
                </w:div>
                <w:div w:id="1566717686">
                  <w:marLeft w:val="0"/>
                  <w:marRight w:val="0"/>
                  <w:marTop w:val="0"/>
                  <w:marBottom w:val="0"/>
                  <w:divBdr>
                    <w:top w:val="none" w:sz="0" w:space="0" w:color="auto"/>
                    <w:left w:val="none" w:sz="0" w:space="0" w:color="auto"/>
                    <w:bottom w:val="none" w:sz="0" w:space="0" w:color="auto"/>
                    <w:right w:val="none" w:sz="0" w:space="0" w:color="auto"/>
                  </w:divBdr>
                </w:div>
                <w:div w:id="1579318249">
                  <w:marLeft w:val="0"/>
                  <w:marRight w:val="0"/>
                  <w:marTop w:val="0"/>
                  <w:marBottom w:val="0"/>
                  <w:divBdr>
                    <w:top w:val="none" w:sz="0" w:space="0" w:color="auto"/>
                    <w:left w:val="none" w:sz="0" w:space="0" w:color="auto"/>
                    <w:bottom w:val="none" w:sz="0" w:space="0" w:color="auto"/>
                    <w:right w:val="none" w:sz="0" w:space="0" w:color="auto"/>
                  </w:divBdr>
                </w:div>
                <w:div w:id="1616404279">
                  <w:marLeft w:val="0"/>
                  <w:marRight w:val="0"/>
                  <w:marTop w:val="0"/>
                  <w:marBottom w:val="0"/>
                  <w:divBdr>
                    <w:top w:val="none" w:sz="0" w:space="0" w:color="auto"/>
                    <w:left w:val="none" w:sz="0" w:space="0" w:color="auto"/>
                    <w:bottom w:val="none" w:sz="0" w:space="0" w:color="auto"/>
                    <w:right w:val="none" w:sz="0" w:space="0" w:color="auto"/>
                  </w:divBdr>
                </w:div>
                <w:div w:id="1734280448">
                  <w:marLeft w:val="0"/>
                  <w:marRight w:val="0"/>
                  <w:marTop w:val="0"/>
                  <w:marBottom w:val="0"/>
                  <w:divBdr>
                    <w:top w:val="none" w:sz="0" w:space="0" w:color="auto"/>
                    <w:left w:val="none" w:sz="0" w:space="0" w:color="auto"/>
                    <w:bottom w:val="none" w:sz="0" w:space="0" w:color="auto"/>
                    <w:right w:val="none" w:sz="0" w:space="0" w:color="auto"/>
                  </w:divBdr>
                </w:div>
                <w:div w:id="1741319918">
                  <w:marLeft w:val="0"/>
                  <w:marRight w:val="0"/>
                  <w:marTop w:val="0"/>
                  <w:marBottom w:val="0"/>
                  <w:divBdr>
                    <w:top w:val="none" w:sz="0" w:space="0" w:color="auto"/>
                    <w:left w:val="none" w:sz="0" w:space="0" w:color="auto"/>
                    <w:bottom w:val="none" w:sz="0" w:space="0" w:color="auto"/>
                    <w:right w:val="none" w:sz="0" w:space="0" w:color="auto"/>
                  </w:divBdr>
                </w:div>
                <w:div w:id="213949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81231">
          <w:marLeft w:val="0"/>
          <w:marRight w:val="0"/>
          <w:marTop w:val="15"/>
          <w:marBottom w:val="0"/>
          <w:divBdr>
            <w:top w:val="none" w:sz="0" w:space="0" w:color="auto"/>
            <w:left w:val="none" w:sz="0" w:space="0" w:color="auto"/>
            <w:bottom w:val="none" w:sz="0" w:space="0" w:color="auto"/>
            <w:right w:val="none" w:sz="0" w:space="0" w:color="auto"/>
          </w:divBdr>
          <w:divsChild>
            <w:div w:id="1485463744">
              <w:marLeft w:val="0"/>
              <w:marRight w:val="0"/>
              <w:marTop w:val="0"/>
              <w:marBottom w:val="0"/>
              <w:divBdr>
                <w:top w:val="none" w:sz="0" w:space="0" w:color="auto"/>
                <w:left w:val="none" w:sz="0" w:space="0" w:color="auto"/>
                <w:bottom w:val="none" w:sz="0" w:space="0" w:color="auto"/>
                <w:right w:val="none" w:sz="0" w:space="0" w:color="auto"/>
              </w:divBdr>
              <w:divsChild>
                <w:div w:id="252593131">
                  <w:marLeft w:val="0"/>
                  <w:marRight w:val="0"/>
                  <w:marTop w:val="0"/>
                  <w:marBottom w:val="0"/>
                  <w:divBdr>
                    <w:top w:val="none" w:sz="0" w:space="0" w:color="auto"/>
                    <w:left w:val="none" w:sz="0" w:space="0" w:color="auto"/>
                    <w:bottom w:val="none" w:sz="0" w:space="0" w:color="auto"/>
                    <w:right w:val="none" w:sz="0" w:space="0" w:color="auto"/>
                  </w:divBdr>
                </w:div>
                <w:div w:id="255292580">
                  <w:marLeft w:val="0"/>
                  <w:marRight w:val="0"/>
                  <w:marTop w:val="0"/>
                  <w:marBottom w:val="0"/>
                  <w:divBdr>
                    <w:top w:val="none" w:sz="0" w:space="0" w:color="auto"/>
                    <w:left w:val="none" w:sz="0" w:space="0" w:color="auto"/>
                    <w:bottom w:val="none" w:sz="0" w:space="0" w:color="auto"/>
                    <w:right w:val="none" w:sz="0" w:space="0" w:color="auto"/>
                  </w:divBdr>
                </w:div>
                <w:div w:id="283272168">
                  <w:marLeft w:val="0"/>
                  <w:marRight w:val="0"/>
                  <w:marTop w:val="0"/>
                  <w:marBottom w:val="0"/>
                  <w:divBdr>
                    <w:top w:val="none" w:sz="0" w:space="0" w:color="auto"/>
                    <w:left w:val="none" w:sz="0" w:space="0" w:color="auto"/>
                    <w:bottom w:val="none" w:sz="0" w:space="0" w:color="auto"/>
                    <w:right w:val="none" w:sz="0" w:space="0" w:color="auto"/>
                  </w:divBdr>
                </w:div>
                <w:div w:id="353729641">
                  <w:marLeft w:val="0"/>
                  <w:marRight w:val="0"/>
                  <w:marTop w:val="0"/>
                  <w:marBottom w:val="0"/>
                  <w:divBdr>
                    <w:top w:val="none" w:sz="0" w:space="0" w:color="auto"/>
                    <w:left w:val="none" w:sz="0" w:space="0" w:color="auto"/>
                    <w:bottom w:val="none" w:sz="0" w:space="0" w:color="auto"/>
                    <w:right w:val="none" w:sz="0" w:space="0" w:color="auto"/>
                  </w:divBdr>
                </w:div>
                <w:div w:id="408692891">
                  <w:marLeft w:val="0"/>
                  <w:marRight w:val="0"/>
                  <w:marTop w:val="0"/>
                  <w:marBottom w:val="0"/>
                  <w:divBdr>
                    <w:top w:val="none" w:sz="0" w:space="0" w:color="auto"/>
                    <w:left w:val="none" w:sz="0" w:space="0" w:color="auto"/>
                    <w:bottom w:val="none" w:sz="0" w:space="0" w:color="auto"/>
                    <w:right w:val="none" w:sz="0" w:space="0" w:color="auto"/>
                  </w:divBdr>
                </w:div>
                <w:div w:id="471559640">
                  <w:marLeft w:val="0"/>
                  <w:marRight w:val="0"/>
                  <w:marTop w:val="0"/>
                  <w:marBottom w:val="0"/>
                  <w:divBdr>
                    <w:top w:val="none" w:sz="0" w:space="0" w:color="auto"/>
                    <w:left w:val="none" w:sz="0" w:space="0" w:color="auto"/>
                    <w:bottom w:val="none" w:sz="0" w:space="0" w:color="auto"/>
                    <w:right w:val="none" w:sz="0" w:space="0" w:color="auto"/>
                  </w:divBdr>
                </w:div>
                <w:div w:id="611013833">
                  <w:marLeft w:val="0"/>
                  <w:marRight w:val="0"/>
                  <w:marTop w:val="0"/>
                  <w:marBottom w:val="0"/>
                  <w:divBdr>
                    <w:top w:val="none" w:sz="0" w:space="0" w:color="auto"/>
                    <w:left w:val="none" w:sz="0" w:space="0" w:color="auto"/>
                    <w:bottom w:val="none" w:sz="0" w:space="0" w:color="auto"/>
                    <w:right w:val="none" w:sz="0" w:space="0" w:color="auto"/>
                  </w:divBdr>
                </w:div>
                <w:div w:id="617109758">
                  <w:marLeft w:val="0"/>
                  <w:marRight w:val="0"/>
                  <w:marTop w:val="0"/>
                  <w:marBottom w:val="0"/>
                  <w:divBdr>
                    <w:top w:val="none" w:sz="0" w:space="0" w:color="auto"/>
                    <w:left w:val="none" w:sz="0" w:space="0" w:color="auto"/>
                    <w:bottom w:val="none" w:sz="0" w:space="0" w:color="auto"/>
                    <w:right w:val="none" w:sz="0" w:space="0" w:color="auto"/>
                  </w:divBdr>
                </w:div>
                <w:div w:id="709451151">
                  <w:marLeft w:val="0"/>
                  <w:marRight w:val="0"/>
                  <w:marTop w:val="0"/>
                  <w:marBottom w:val="0"/>
                  <w:divBdr>
                    <w:top w:val="none" w:sz="0" w:space="0" w:color="auto"/>
                    <w:left w:val="none" w:sz="0" w:space="0" w:color="auto"/>
                    <w:bottom w:val="none" w:sz="0" w:space="0" w:color="auto"/>
                    <w:right w:val="none" w:sz="0" w:space="0" w:color="auto"/>
                  </w:divBdr>
                </w:div>
                <w:div w:id="908418550">
                  <w:marLeft w:val="0"/>
                  <w:marRight w:val="0"/>
                  <w:marTop w:val="0"/>
                  <w:marBottom w:val="0"/>
                  <w:divBdr>
                    <w:top w:val="none" w:sz="0" w:space="0" w:color="auto"/>
                    <w:left w:val="none" w:sz="0" w:space="0" w:color="auto"/>
                    <w:bottom w:val="none" w:sz="0" w:space="0" w:color="auto"/>
                    <w:right w:val="none" w:sz="0" w:space="0" w:color="auto"/>
                  </w:divBdr>
                </w:div>
                <w:div w:id="938369213">
                  <w:marLeft w:val="0"/>
                  <w:marRight w:val="0"/>
                  <w:marTop w:val="0"/>
                  <w:marBottom w:val="0"/>
                  <w:divBdr>
                    <w:top w:val="none" w:sz="0" w:space="0" w:color="auto"/>
                    <w:left w:val="none" w:sz="0" w:space="0" w:color="auto"/>
                    <w:bottom w:val="none" w:sz="0" w:space="0" w:color="auto"/>
                    <w:right w:val="none" w:sz="0" w:space="0" w:color="auto"/>
                  </w:divBdr>
                </w:div>
                <w:div w:id="1017923402">
                  <w:marLeft w:val="0"/>
                  <w:marRight w:val="0"/>
                  <w:marTop w:val="0"/>
                  <w:marBottom w:val="0"/>
                  <w:divBdr>
                    <w:top w:val="none" w:sz="0" w:space="0" w:color="auto"/>
                    <w:left w:val="none" w:sz="0" w:space="0" w:color="auto"/>
                    <w:bottom w:val="none" w:sz="0" w:space="0" w:color="auto"/>
                    <w:right w:val="none" w:sz="0" w:space="0" w:color="auto"/>
                  </w:divBdr>
                </w:div>
                <w:div w:id="1067189562">
                  <w:marLeft w:val="0"/>
                  <w:marRight w:val="0"/>
                  <w:marTop w:val="0"/>
                  <w:marBottom w:val="0"/>
                  <w:divBdr>
                    <w:top w:val="none" w:sz="0" w:space="0" w:color="auto"/>
                    <w:left w:val="none" w:sz="0" w:space="0" w:color="auto"/>
                    <w:bottom w:val="none" w:sz="0" w:space="0" w:color="auto"/>
                    <w:right w:val="none" w:sz="0" w:space="0" w:color="auto"/>
                  </w:divBdr>
                </w:div>
                <w:div w:id="1193104862">
                  <w:marLeft w:val="0"/>
                  <w:marRight w:val="0"/>
                  <w:marTop w:val="0"/>
                  <w:marBottom w:val="0"/>
                  <w:divBdr>
                    <w:top w:val="none" w:sz="0" w:space="0" w:color="auto"/>
                    <w:left w:val="none" w:sz="0" w:space="0" w:color="auto"/>
                    <w:bottom w:val="none" w:sz="0" w:space="0" w:color="auto"/>
                    <w:right w:val="none" w:sz="0" w:space="0" w:color="auto"/>
                  </w:divBdr>
                </w:div>
                <w:div w:id="1199124623">
                  <w:marLeft w:val="0"/>
                  <w:marRight w:val="0"/>
                  <w:marTop w:val="0"/>
                  <w:marBottom w:val="0"/>
                  <w:divBdr>
                    <w:top w:val="none" w:sz="0" w:space="0" w:color="auto"/>
                    <w:left w:val="none" w:sz="0" w:space="0" w:color="auto"/>
                    <w:bottom w:val="none" w:sz="0" w:space="0" w:color="auto"/>
                    <w:right w:val="none" w:sz="0" w:space="0" w:color="auto"/>
                  </w:divBdr>
                </w:div>
                <w:div w:id="1243684292">
                  <w:marLeft w:val="0"/>
                  <w:marRight w:val="0"/>
                  <w:marTop w:val="0"/>
                  <w:marBottom w:val="0"/>
                  <w:divBdr>
                    <w:top w:val="none" w:sz="0" w:space="0" w:color="auto"/>
                    <w:left w:val="none" w:sz="0" w:space="0" w:color="auto"/>
                    <w:bottom w:val="none" w:sz="0" w:space="0" w:color="auto"/>
                    <w:right w:val="none" w:sz="0" w:space="0" w:color="auto"/>
                  </w:divBdr>
                </w:div>
                <w:div w:id="1313801194">
                  <w:marLeft w:val="0"/>
                  <w:marRight w:val="0"/>
                  <w:marTop w:val="0"/>
                  <w:marBottom w:val="0"/>
                  <w:divBdr>
                    <w:top w:val="none" w:sz="0" w:space="0" w:color="auto"/>
                    <w:left w:val="none" w:sz="0" w:space="0" w:color="auto"/>
                    <w:bottom w:val="none" w:sz="0" w:space="0" w:color="auto"/>
                    <w:right w:val="none" w:sz="0" w:space="0" w:color="auto"/>
                  </w:divBdr>
                </w:div>
                <w:div w:id="1407996237">
                  <w:marLeft w:val="0"/>
                  <w:marRight w:val="0"/>
                  <w:marTop w:val="0"/>
                  <w:marBottom w:val="0"/>
                  <w:divBdr>
                    <w:top w:val="none" w:sz="0" w:space="0" w:color="auto"/>
                    <w:left w:val="none" w:sz="0" w:space="0" w:color="auto"/>
                    <w:bottom w:val="none" w:sz="0" w:space="0" w:color="auto"/>
                    <w:right w:val="none" w:sz="0" w:space="0" w:color="auto"/>
                  </w:divBdr>
                </w:div>
                <w:div w:id="1440953741">
                  <w:marLeft w:val="0"/>
                  <w:marRight w:val="0"/>
                  <w:marTop w:val="0"/>
                  <w:marBottom w:val="0"/>
                  <w:divBdr>
                    <w:top w:val="none" w:sz="0" w:space="0" w:color="auto"/>
                    <w:left w:val="none" w:sz="0" w:space="0" w:color="auto"/>
                    <w:bottom w:val="none" w:sz="0" w:space="0" w:color="auto"/>
                    <w:right w:val="none" w:sz="0" w:space="0" w:color="auto"/>
                  </w:divBdr>
                </w:div>
                <w:div w:id="1454444209">
                  <w:marLeft w:val="0"/>
                  <w:marRight w:val="0"/>
                  <w:marTop w:val="0"/>
                  <w:marBottom w:val="0"/>
                  <w:divBdr>
                    <w:top w:val="none" w:sz="0" w:space="0" w:color="auto"/>
                    <w:left w:val="none" w:sz="0" w:space="0" w:color="auto"/>
                    <w:bottom w:val="none" w:sz="0" w:space="0" w:color="auto"/>
                    <w:right w:val="none" w:sz="0" w:space="0" w:color="auto"/>
                  </w:divBdr>
                </w:div>
                <w:div w:id="1815834213">
                  <w:marLeft w:val="0"/>
                  <w:marRight w:val="0"/>
                  <w:marTop w:val="0"/>
                  <w:marBottom w:val="0"/>
                  <w:divBdr>
                    <w:top w:val="none" w:sz="0" w:space="0" w:color="auto"/>
                    <w:left w:val="none" w:sz="0" w:space="0" w:color="auto"/>
                    <w:bottom w:val="none" w:sz="0" w:space="0" w:color="auto"/>
                    <w:right w:val="none" w:sz="0" w:space="0" w:color="auto"/>
                  </w:divBdr>
                </w:div>
                <w:div w:id="1852722860">
                  <w:marLeft w:val="0"/>
                  <w:marRight w:val="0"/>
                  <w:marTop w:val="0"/>
                  <w:marBottom w:val="0"/>
                  <w:divBdr>
                    <w:top w:val="none" w:sz="0" w:space="0" w:color="auto"/>
                    <w:left w:val="none" w:sz="0" w:space="0" w:color="auto"/>
                    <w:bottom w:val="none" w:sz="0" w:space="0" w:color="auto"/>
                    <w:right w:val="none" w:sz="0" w:space="0" w:color="auto"/>
                  </w:divBdr>
                </w:div>
                <w:div w:id="1946960491">
                  <w:marLeft w:val="0"/>
                  <w:marRight w:val="0"/>
                  <w:marTop w:val="0"/>
                  <w:marBottom w:val="0"/>
                  <w:divBdr>
                    <w:top w:val="none" w:sz="0" w:space="0" w:color="auto"/>
                    <w:left w:val="none" w:sz="0" w:space="0" w:color="auto"/>
                    <w:bottom w:val="none" w:sz="0" w:space="0" w:color="auto"/>
                    <w:right w:val="none" w:sz="0" w:space="0" w:color="auto"/>
                  </w:divBdr>
                </w:div>
                <w:div w:id="1970696257">
                  <w:marLeft w:val="0"/>
                  <w:marRight w:val="0"/>
                  <w:marTop w:val="0"/>
                  <w:marBottom w:val="0"/>
                  <w:divBdr>
                    <w:top w:val="none" w:sz="0" w:space="0" w:color="auto"/>
                    <w:left w:val="none" w:sz="0" w:space="0" w:color="auto"/>
                    <w:bottom w:val="none" w:sz="0" w:space="0" w:color="auto"/>
                    <w:right w:val="none" w:sz="0" w:space="0" w:color="auto"/>
                  </w:divBdr>
                </w:div>
                <w:div w:id="1999726551">
                  <w:marLeft w:val="0"/>
                  <w:marRight w:val="0"/>
                  <w:marTop w:val="0"/>
                  <w:marBottom w:val="0"/>
                  <w:divBdr>
                    <w:top w:val="none" w:sz="0" w:space="0" w:color="auto"/>
                    <w:left w:val="none" w:sz="0" w:space="0" w:color="auto"/>
                    <w:bottom w:val="none" w:sz="0" w:space="0" w:color="auto"/>
                    <w:right w:val="none" w:sz="0" w:space="0" w:color="auto"/>
                  </w:divBdr>
                </w:div>
                <w:div w:id="2006203657">
                  <w:marLeft w:val="0"/>
                  <w:marRight w:val="0"/>
                  <w:marTop w:val="0"/>
                  <w:marBottom w:val="0"/>
                  <w:divBdr>
                    <w:top w:val="none" w:sz="0" w:space="0" w:color="auto"/>
                    <w:left w:val="none" w:sz="0" w:space="0" w:color="auto"/>
                    <w:bottom w:val="none" w:sz="0" w:space="0" w:color="auto"/>
                    <w:right w:val="none" w:sz="0" w:space="0" w:color="auto"/>
                  </w:divBdr>
                </w:div>
                <w:div w:id="2051564473">
                  <w:marLeft w:val="0"/>
                  <w:marRight w:val="0"/>
                  <w:marTop w:val="0"/>
                  <w:marBottom w:val="0"/>
                  <w:divBdr>
                    <w:top w:val="none" w:sz="0" w:space="0" w:color="auto"/>
                    <w:left w:val="none" w:sz="0" w:space="0" w:color="auto"/>
                    <w:bottom w:val="none" w:sz="0" w:space="0" w:color="auto"/>
                    <w:right w:val="none" w:sz="0" w:space="0" w:color="auto"/>
                  </w:divBdr>
                </w:div>
                <w:div w:id="208733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049970">
          <w:marLeft w:val="0"/>
          <w:marRight w:val="0"/>
          <w:marTop w:val="15"/>
          <w:marBottom w:val="0"/>
          <w:divBdr>
            <w:top w:val="none" w:sz="0" w:space="0" w:color="auto"/>
            <w:left w:val="none" w:sz="0" w:space="0" w:color="auto"/>
            <w:bottom w:val="none" w:sz="0" w:space="0" w:color="auto"/>
            <w:right w:val="none" w:sz="0" w:space="0" w:color="auto"/>
          </w:divBdr>
          <w:divsChild>
            <w:div w:id="95178880">
              <w:marLeft w:val="0"/>
              <w:marRight w:val="0"/>
              <w:marTop w:val="0"/>
              <w:marBottom w:val="0"/>
              <w:divBdr>
                <w:top w:val="none" w:sz="0" w:space="0" w:color="auto"/>
                <w:left w:val="none" w:sz="0" w:space="0" w:color="auto"/>
                <w:bottom w:val="none" w:sz="0" w:space="0" w:color="auto"/>
                <w:right w:val="none" w:sz="0" w:space="0" w:color="auto"/>
              </w:divBdr>
              <w:divsChild>
                <w:div w:id="101926158">
                  <w:marLeft w:val="0"/>
                  <w:marRight w:val="0"/>
                  <w:marTop w:val="0"/>
                  <w:marBottom w:val="0"/>
                  <w:divBdr>
                    <w:top w:val="none" w:sz="0" w:space="0" w:color="auto"/>
                    <w:left w:val="none" w:sz="0" w:space="0" w:color="auto"/>
                    <w:bottom w:val="none" w:sz="0" w:space="0" w:color="auto"/>
                    <w:right w:val="none" w:sz="0" w:space="0" w:color="auto"/>
                  </w:divBdr>
                </w:div>
                <w:div w:id="261423887">
                  <w:marLeft w:val="0"/>
                  <w:marRight w:val="0"/>
                  <w:marTop w:val="0"/>
                  <w:marBottom w:val="0"/>
                  <w:divBdr>
                    <w:top w:val="none" w:sz="0" w:space="0" w:color="auto"/>
                    <w:left w:val="none" w:sz="0" w:space="0" w:color="auto"/>
                    <w:bottom w:val="none" w:sz="0" w:space="0" w:color="auto"/>
                    <w:right w:val="none" w:sz="0" w:space="0" w:color="auto"/>
                  </w:divBdr>
                </w:div>
                <w:div w:id="304354092">
                  <w:marLeft w:val="0"/>
                  <w:marRight w:val="0"/>
                  <w:marTop w:val="0"/>
                  <w:marBottom w:val="0"/>
                  <w:divBdr>
                    <w:top w:val="none" w:sz="0" w:space="0" w:color="auto"/>
                    <w:left w:val="none" w:sz="0" w:space="0" w:color="auto"/>
                    <w:bottom w:val="none" w:sz="0" w:space="0" w:color="auto"/>
                    <w:right w:val="none" w:sz="0" w:space="0" w:color="auto"/>
                  </w:divBdr>
                </w:div>
                <w:div w:id="320541821">
                  <w:marLeft w:val="0"/>
                  <w:marRight w:val="0"/>
                  <w:marTop w:val="0"/>
                  <w:marBottom w:val="0"/>
                  <w:divBdr>
                    <w:top w:val="none" w:sz="0" w:space="0" w:color="auto"/>
                    <w:left w:val="none" w:sz="0" w:space="0" w:color="auto"/>
                    <w:bottom w:val="none" w:sz="0" w:space="0" w:color="auto"/>
                    <w:right w:val="none" w:sz="0" w:space="0" w:color="auto"/>
                  </w:divBdr>
                </w:div>
                <w:div w:id="366293814">
                  <w:marLeft w:val="0"/>
                  <w:marRight w:val="0"/>
                  <w:marTop w:val="0"/>
                  <w:marBottom w:val="0"/>
                  <w:divBdr>
                    <w:top w:val="none" w:sz="0" w:space="0" w:color="auto"/>
                    <w:left w:val="none" w:sz="0" w:space="0" w:color="auto"/>
                    <w:bottom w:val="none" w:sz="0" w:space="0" w:color="auto"/>
                    <w:right w:val="none" w:sz="0" w:space="0" w:color="auto"/>
                  </w:divBdr>
                </w:div>
                <w:div w:id="545685148">
                  <w:marLeft w:val="0"/>
                  <w:marRight w:val="0"/>
                  <w:marTop w:val="0"/>
                  <w:marBottom w:val="0"/>
                  <w:divBdr>
                    <w:top w:val="none" w:sz="0" w:space="0" w:color="auto"/>
                    <w:left w:val="none" w:sz="0" w:space="0" w:color="auto"/>
                    <w:bottom w:val="none" w:sz="0" w:space="0" w:color="auto"/>
                    <w:right w:val="none" w:sz="0" w:space="0" w:color="auto"/>
                  </w:divBdr>
                </w:div>
                <w:div w:id="569392516">
                  <w:marLeft w:val="0"/>
                  <w:marRight w:val="0"/>
                  <w:marTop w:val="0"/>
                  <w:marBottom w:val="0"/>
                  <w:divBdr>
                    <w:top w:val="none" w:sz="0" w:space="0" w:color="auto"/>
                    <w:left w:val="none" w:sz="0" w:space="0" w:color="auto"/>
                    <w:bottom w:val="none" w:sz="0" w:space="0" w:color="auto"/>
                    <w:right w:val="none" w:sz="0" w:space="0" w:color="auto"/>
                  </w:divBdr>
                </w:div>
                <w:div w:id="589894860">
                  <w:marLeft w:val="0"/>
                  <w:marRight w:val="0"/>
                  <w:marTop w:val="0"/>
                  <w:marBottom w:val="0"/>
                  <w:divBdr>
                    <w:top w:val="none" w:sz="0" w:space="0" w:color="auto"/>
                    <w:left w:val="none" w:sz="0" w:space="0" w:color="auto"/>
                    <w:bottom w:val="none" w:sz="0" w:space="0" w:color="auto"/>
                    <w:right w:val="none" w:sz="0" w:space="0" w:color="auto"/>
                  </w:divBdr>
                </w:div>
                <w:div w:id="596987591">
                  <w:marLeft w:val="0"/>
                  <w:marRight w:val="0"/>
                  <w:marTop w:val="0"/>
                  <w:marBottom w:val="0"/>
                  <w:divBdr>
                    <w:top w:val="none" w:sz="0" w:space="0" w:color="auto"/>
                    <w:left w:val="none" w:sz="0" w:space="0" w:color="auto"/>
                    <w:bottom w:val="none" w:sz="0" w:space="0" w:color="auto"/>
                    <w:right w:val="none" w:sz="0" w:space="0" w:color="auto"/>
                  </w:divBdr>
                </w:div>
                <w:div w:id="604535358">
                  <w:marLeft w:val="0"/>
                  <w:marRight w:val="0"/>
                  <w:marTop w:val="0"/>
                  <w:marBottom w:val="0"/>
                  <w:divBdr>
                    <w:top w:val="none" w:sz="0" w:space="0" w:color="auto"/>
                    <w:left w:val="none" w:sz="0" w:space="0" w:color="auto"/>
                    <w:bottom w:val="none" w:sz="0" w:space="0" w:color="auto"/>
                    <w:right w:val="none" w:sz="0" w:space="0" w:color="auto"/>
                  </w:divBdr>
                </w:div>
                <w:div w:id="653609563">
                  <w:marLeft w:val="0"/>
                  <w:marRight w:val="0"/>
                  <w:marTop w:val="0"/>
                  <w:marBottom w:val="0"/>
                  <w:divBdr>
                    <w:top w:val="none" w:sz="0" w:space="0" w:color="auto"/>
                    <w:left w:val="none" w:sz="0" w:space="0" w:color="auto"/>
                    <w:bottom w:val="none" w:sz="0" w:space="0" w:color="auto"/>
                    <w:right w:val="none" w:sz="0" w:space="0" w:color="auto"/>
                  </w:divBdr>
                </w:div>
                <w:div w:id="771316776">
                  <w:marLeft w:val="0"/>
                  <w:marRight w:val="0"/>
                  <w:marTop w:val="0"/>
                  <w:marBottom w:val="0"/>
                  <w:divBdr>
                    <w:top w:val="none" w:sz="0" w:space="0" w:color="auto"/>
                    <w:left w:val="none" w:sz="0" w:space="0" w:color="auto"/>
                    <w:bottom w:val="none" w:sz="0" w:space="0" w:color="auto"/>
                    <w:right w:val="none" w:sz="0" w:space="0" w:color="auto"/>
                  </w:divBdr>
                </w:div>
                <w:div w:id="786898676">
                  <w:marLeft w:val="0"/>
                  <w:marRight w:val="0"/>
                  <w:marTop w:val="0"/>
                  <w:marBottom w:val="0"/>
                  <w:divBdr>
                    <w:top w:val="none" w:sz="0" w:space="0" w:color="auto"/>
                    <w:left w:val="none" w:sz="0" w:space="0" w:color="auto"/>
                    <w:bottom w:val="none" w:sz="0" w:space="0" w:color="auto"/>
                    <w:right w:val="none" w:sz="0" w:space="0" w:color="auto"/>
                  </w:divBdr>
                </w:div>
                <w:div w:id="858474209">
                  <w:marLeft w:val="0"/>
                  <w:marRight w:val="0"/>
                  <w:marTop w:val="0"/>
                  <w:marBottom w:val="0"/>
                  <w:divBdr>
                    <w:top w:val="none" w:sz="0" w:space="0" w:color="auto"/>
                    <w:left w:val="none" w:sz="0" w:space="0" w:color="auto"/>
                    <w:bottom w:val="none" w:sz="0" w:space="0" w:color="auto"/>
                    <w:right w:val="none" w:sz="0" w:space="0" w:color="auto"/>
                  </w:divBdr>
                </w:div>
                <w:div w:id="956059191">
                  <w:marLeft w:val="0"/>
                  <w:marRight w:val="0"/>
                  <w:marTop w:val="0"/>
                  <w:marBottom w:val="0"/>
                  <w:divBdr>
                    <w:top w:val="none" w:sz="0" w:space="0" w:color="auto"/>
                    <w:left w:val="none" w:sz="0" w:space="0" w:color="auto"/>
                    <w:bottom w:val="none" w:sz="0" w:space="0" w:color="auto"/>
                    <w:right w:val="none" w:sz="0" w:space="0" w:color="auto"/>
                  </w:divBdr>
                </w:div>
                <w:div w:id="968121625">
                  <w:marLeft w:val="0"/>
                  <w:marRight w:val="0"/>
                  <w:marTop w:val="0"/>
                  <w:marBottom w:val="0"/>
                  <w:divBdr>
                    <w:top w:val="none" w:sz="0" w:space="0" w:color="auto"/>
                    <w:left w:val="none" w:sz="0" w:space="0" w:color="auto"/>
                    <w:bottom w:val="none" w:sz="0" w:space="0" w:color="auto"/>
                    <w:right w:val="none" w:sz="0" w:space="0" w:color="auto"/>
                  </w:divBdr>
                </w:div>
                <w:div w:id="1001737240">
                  <w:marLeft w:val="0"/>
                  <w:marRight w:val="0"/>
                  <w:marTop w:val="0"/>
                  <w:marBottom w:val="0"/>
                  <w:divBdr>
                    <w:top w:val="none" w:sz="0" w:space="0" w:color="auto"/>
                    <w:left w:val="none" w:sz="0" w:space="0" w:color="auto"/>
                    <w:bottom w:val="none" w:sz="0" w:space="0" w:color="auto"/>
                    <w:right w:val="none" w:sz="0" w:space="0" w:color="auto"/>
                  </w:divBdr>
                </w:div>
                <w:div w:id="1090589978">
                  <w:marLeft w:val="0"/>
                  <w:marRight w:val="0"/>
                  <w:marTop w:val="0"/>
                  <w:marBottom w:val="0"/>
                  <w:divBdr>
                    <w:top w:val="none" w:sz="0" w:space="0" w:color="auto"/>
                    <w:left w:val="none" w:sz="0" w:space="0" w:color="auto"/>
                    <w:bottom w:val="none" w:sz="0" w:space="0" w:color="auto"/>
                    <w:right w:val="none" w:sz="0" w:space="0" w:color="auto"/>
                  </w:divBdr>
                </w:div>
                <w:div w:id="1211768635">
                  <w:marLeft w:val="0"/>
                  <w:marRight w:val="0"/>
                  <w:marTop w:val="0"/>
                  <w:marBottom w:val="0"/>
                  <w:divBdr>
                    <w:top w:val="none" w:sz="0" w:space="0" w:color="auto"/>
                    <w:left w:val="none" w:sz="0" w:space="0" w:color="auto"/>
                    <w:bottom w:val="none" w:sz="0" w:space="0" w:color="auto"/>
                    <w:right w:val="none" w:sz="0" w:space="0" w:color="auto"/>
                  </w:divBdr>
                </w:div>
                <w:div w:id="1216619303">
                  <w:marLeft w:val="0"/>
                  <w:marRight w:val="0"/>
                  <w:marTop w:val="0"/>
                  <w:marBottom w:val="0"/>
                  <w:divBdr>
                    <w:top w:val="none" w:sz="0" w:space="0" w:color="auto"/>
                    <w:left w:val="none" w:sz="0" w:space="0" w:color="auto"/>
                    <w:bottom w:val="none" w:sz="0" w:space="0" w:color="auto"/>
                    <w:right w:val="none" w:sz="0" w:space="0" w:color="auto"/>
                  </w:divBdr>
                </w:div>
                <w:div w:id="1235356770">
                  <w:marLeft w:val="0"/>
                  <w:marRight w:val="0"/>
                  <w:marTop w:val="0"/>
                  <w:marBottom w:val="0"/>
                  <w:divBdr>
                    <w:top w:val="none" w:sz="0" w:space="0" w:color="auto"/>
                    <w:left w:val="none" w:sz="0" w:space="0" w:color="auto"/>
                    <w:bottom w:val="none" w:sz="0" w:space="0" w:color="auto"/>
                    <w:right w:val="none" w:sz="0" w:space="0" w:color="auto"/>
                  </w:divBdr>
                </w:div>
                <w:div w:id="1361012444">
                  <w:marLeft w:val="0"/>
                  <w:marRight w:val="0"/>
                  <w:marTop w:val="0"/>
                  <w:marBottom w:val="0"/>
                  <w:divBdr>
                    <w:top w:val="none" w:sz="0" w:space="0" w:color="auto"/>
                    <w:left w:val="none" w:sz="0" w:space="0" w:color="auto"/>
                    <w:bottom w:val="none" w:sz="0" w:space="0" w:color="auto"/>
                    <w:right w:val="none" w:sz="0" w:space="0" w:color="auto"/>
                  </w:divBdr>
                </w:div>
                <w:div w:id="1467233105">
                  <w:marLeft w:val="0"/>
                  <w:marRight w:val="0"/>
                  <w:marTop w:val="0"/>
                  <w:marBottom w:val="0"/>
                  <w:divBdr>
                    <w:top w:val="none" w:sz="0" w:space="0" w:color="auto"/>
                    <w:left w:val="none" w:sz="0" w:space="0" w:color="auto"/>
                    <w:bottom w:val="none" w:sz="0" w:space="0" w:color="auto"/>
                    <w:right w:val="none" w:sz="0" w:space="0" w:color="auto"/>
                  </w:divBdr>
                </w:div>
                <w:div w:id="1697580529">
                  <w:marLeft w:val="0"/>
                  <w:marRight w:val="0"/>
                  <w:marTop w:val="0"/>
                  <w:marBottom w:val="0"/>
                  <w:divBdr>
                    <w:top w:val="none" w:sz="0" w:space="0" w:color="auto"/>
                    <w:left w:val="none" w:sz="0" w:space="0" w:color="auto"/>
                    <w:bottom w:val="none" w:sz="0" w:space="0" w:color="auto"/>
                    <w:right w:val="none" w:sz="0" w:space="0" w:color="auto"/>
                  </w:divBdr>
                </w:div>
                <w:div w:id="1879319389">
                  <w:marLeft w:val="0"/>
                  <w:marRight w:val="0"/>
                  <w:marTop w:val="0"/>
                  <w:marBottom w:val="0"/>
                  <w:divBdr>
                    <w:top w:val="none" w:sz="0" w:space="0" w:color="auto"/>
                    <w:left w:val="none" w:sz="0" w:space="0" w:color="auto"/>
                    <w:bottom w:val="none" w:sz="0" w:space="0" w:color="auto"/>
                    <w:right w:val="none" w:sz="0" w:space="0" w:color="auto"/>
                  </w:divBdr>
                </w:div>
                <w:div w:id="2041977291">
                  <w:marLeft w:val="0"/>
                  <w:marRight w:val="0"/>
                  <w:marTop w:val="0"/>
                  <w:marBottom w:val="0"/>
                  <w:divBdr>
                    <w:top w:val="none" w:sz="0" w:space="0" w:color="auto"/>
                    <w:left w:val="none" w:sz="0" w:space="0" w:color="auto"/>
                    <w:bottom w:val="none" w:sz="0" w:space="0" w:color="auto"/>
                    <w:right w:val="none" w:sz="0" w:space="0" w:color="auto"/>
                  </w:divBdr>
                </w:div>
                <w:div w:id="20885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691276">
      <w:bodyDiv w:val="1"/>
      <w:marLeft w:val="0"/>
      <w:marRight w:val="0"/>
      <w:marTop w:val="0"/>
      <w:marBottom w:val="0"/>
      <w:divBdr>
        <w:top w:val="none" w:sz="0" w:space="0" w:color="auto"/>
        <w:left w:val="none" w:sz="0" w:space="0" w:color="auto"/>
        <w:bottom w:val="none" w:sz="0" w:space="0" w:color="auto"/>
        <w:right w:val="none" w:sz="0" w:space="0" w:color="auto"/>
      </w:divBdr>
    </w:div>
    <w:div w:id="636766741">
      <w:bodyDiv w:val="1"/>
      <w:marLeft w:val="0"/>
      <w:marRight w:val="0"/>
      <w:marTop w:val="0"/>
      <w:marBottom w:val="0"/>
      <w:divBdr>
        <w:top w:val="none" w:sz="0" w:space="0" w:color="auto"/>
        <w:left w:val="none" w:sz="0" w:space="0" w:color="auto"/>
        <w:bottom w:val="none" w:sz="0" w:space="0" w:color="auto"/>
        <w:right w:val="none" w:sz="0" w:space="0" w:color="auto"/>
      </w:divBdr>
    </w:div>
    <w:div w:id="636767428">
      <w:bodyDiv w:val="1"/>
      <w:marLeft w:val="0"/>
      <w:marRight w:val="0"/>
      <w:marTop w:val="0"/>
      <w:marBottom w:val="0"/>
      <w:divBdr>
        <w:top w:val="none" w:sz="0" w:space="0" w:color="auto"/>
        <w:left w:val="none" w:sz="0" w:space="0" w:color="auto"/>
        <w:bottom w:val="none" w:sz="0" w:space="0" w:color="auto"/>
        <w:right w:val="none" w:sz="0" w:space="0" w:color="auto"/>
      </w:divBdr>
    </w:div>
    <w:div w:id="637027522">
      <w:bodyDiv w:val="1"/>
      <w:marLeft w:val="0"/>
      <w:marRight w:val="0"/>
      <w:marTop w:val="0"/>
      <w:marBottom w:val="0"/>
      <w:divBdr>
        <w:top w:val="none" w:sz="0" w:space="0" w:color="auto"/>
        <w:left w:val="none" w:sz="0" w:space="0" w:color="auto"/>
        <w:bottom w:val="none" w:sz="0" w:space="0" w:color="auto"/>
        <w:right w:val="none" w:sz="0" w:space="0" w:color="auto"/>
      </w:divBdr>
    </w:div>
    <w:div w:id="637342647">
      <w:bodyDiv w:val="1"/>
      <w:marLeft w:val="0"/>
      <w:marRight w:val="0"/>
      <w:marTop w:val="0"/>
      <w:marBottom w:val="0"/>
      <w:divBdr>
        <w:top w:val="none" w:sz="0" w:space="0" w:color="auto"/>
        <w:left w:val="none" w:sz="0" w:space="0" w:color="auto"/>
        <w:bottom w:val="none" w:sz="0" w:space="0" w:color="auto"/>
        <w:right w:val="none" w:sz="0" w:space="0" w:color="auto"/>
      </w:divBdr>
    </w:div>
    <w:div w:id="638344506">
      <w:bodyDiv w:val="1"/>
      <w:marLeft w:val="0"/>
      <w:marRight w:val="0"/>
      <w:marTop w:val="0"/>
      <w:marBottom w:val="0"/>
      <w:divBdr>
        <w:top w:val="none" w:sz="0" w:space="0" w:color="auto"/>
        <w:left w:val="none" w:sz="0" w:space="0" w:color="auto"/>
        <w:bottom w:val="none" w:sz="0" w:space="0" w:color="auto"/>
        <w:right w:val="none" w:sz="0" w:space="0" w:color="auto"/>
      </w:divBdr>
    </w:div>
    <w:div w:id="639186996">
      <w:bodyDiv w:val="1"/>
      <w:marLeft w:val="0"/>
      <w:marRight w:val="0"/>
      <w:marTop w:val="0"/>
      <w:marBottom w:val="0"/>
      <w:divBdr>
        <w:top w:val="none" w:sz="0" w:space="0" w:color="auto"/>
        <w:left w:val="none" w:sz="0" w:space="0" w:color="auto"/>
        <w:bottom w:val="none" w:sz="0" w:space="0" w:color="auto"/>
        <w:right w:val="none" w:sz="0" w:space="0" w:color="auto"/>
      </w:divBdr>
    </w:div>
    <w:div w:id="639846648">
      <w:bodyDiv w:val="1"/>
      <w:marLeft w:val="0"/>
      <w:marRight w:val="0"/>
      <w:marTop w:val="0"/>
      <w:marBottom w:val="0"/>
      <w:divBdr>
        <w:top w:val="none" w:sz="0" w:space="0" w:color="auto"/>
        <w:left w:val="none" w:sz="0" w:space="0" w:color="auto"/>
        <w:bottom w:val="none" w:sz="0" w:space="0" w:color="auto"/>
        <w:right w:val="none" w:sz="0" w:space="0" w:color="auto"/>
      </w:divBdr>
    </w:div>
    <w:div w:id="642002059">
      <w:bodyDiv w:val="1"/>
      <w:marLeft w:val="0"/>
      <w:marRight w:val="0"/>
      <w:marTop w:val="0"/>
      <w:marBottom w:val="0"/>
      <w:divBdr>
        <w:top w:val="none" w:sz="0" w:space="0" w:color="auto"/>
        <w:left w:val="none" w:sz="0" w:space="0" w:color="auto"/>
        <w:bottom w:val="none" w:sz="0" w:space="0" w:color="auto"/>
        <w:right w:val="none" w:sz="0" w:space="0" w:color="auto"/>
      </w:divBdr>
    </w:div>
    <w:div w:id="645083779">
      <w:bodyDiv w:val="1"/>
      <w:marLeft w:val="0"/>
      <w:marRight w:val="0"/>
      <w:marTop w:val="0"/>
      <w:marBottom w:val="0"/>
      <w:divBdr>
        <w:top w:val="none" w:sz="0" w:space="0" w:color="auto"/>
        <w:left w:val="none" w:sz="0" w:space="0" w:color="auto"/>
        <w:bottom w:val="none" w:sz="0" w:space="0" w:color="auto"/>
        <w:right w:val="none" w:sz="0" w:space="0" w:color="auto"/>
      </w:divBdr>
    </w:div>
    <w:div w:id="645476864">
      <w:bodyDiv w:val="1"/>
      <w:marLeft w:val="0"/>
      <w:marRight w:val="0"/>
      <w:marTop w:val="0"/>
      <w:marBottom w:val="0"/>
      <w:divBdr>
        <w:top w:val="none" w:sz="0" w:space="0" w:color="auto"/>
        <w:left w:val="none" w:sz="0" w:space="0" w:color="auto"/>
        <w:bottom w:val="none" w:sz="0" w:space="0" w:color="auto"/>
        <w:right w:val="none" w:sz="0" w:space="0" w:color="auto"/>
      </w:divBdr>
    </w:div>
    <w:div w:id="654144417">
      <w:bodyDiv w:val="1"/>
      <w:marLeft w:val="0"/>
      <w:marRight w:val="0"/>
      <w:marTop w:val="0"/>
      <w:marBottom w:val="0"/>
      <w:divBdr>
        <w:top w:val="none" w:sz="0" w:space="0" w:color="auto"/>
        <w:left w:val="none" w:sz="0" w:space="0" w:color="auto"/>
        <w:bottom w:val="none" w:sz="0" w:space="0" w:color="auto"/>
        <w:right w:val="none" w:sz="0" w:space="0" w:color="auto"/>
      </w:divBdr>
    </w:div>
    <w:div w:id="656105821">
      <w:bodyDiv w:val="1"/>
      <w:marLeft w:val="0"/>
      <w:marRight w:val="0"/>
      <w:marTop w:val="0"/>
      <w:marBottom w:val="0"/>
      <w:divBdr>
        <w:top w:val="none" w:sz="0" w:space="0" w:color="auto"/>
        <w:left w:val="none" w:sz="0" w:space="0" w:color="auto"/>
        <w:bottom w:val="none" w:sz="0" w:space="0" w:color="auto"/>
        <w:right w:val="none" w:sz="0" w:space="0" w:color="auto"/>
      </w:divBdr>
    </w:div>
    <w:div w:id="656228041">
      <w:bodyDiv w:val="1"/>
      <w:marLeft w:val="0"/>
      <w:marRight w:val="0"/>
      <w:marTop w:val="0"/>
      <w:marBottom w:val="0"/>
      <w:divBdr>
        <w:top w:val="none" w:sz="0" w:space="0" w:color="auto"/>
        <w:left w:val="none" w:sz="0" w:space="0" w:color="auto"/>
        <w:bottom w:val="none" w:sz="0" w:space="0" w:color="auto"/>
        <w:right w:val="none" w:sz="0" w:space="0" w:color="auto"/>
      </w:divBdr>
    </w:div>
    <w:div w:id="657924783">
      <w:bodyDiv w:val="1"/>
      <w:marLeft w:val="0"/>
      <w:marRight w:val="0"/>
      <w:marTop w:val="0"/>
      <w:marBottom w:val="0"/>
      <w:divBdr>
        <w:top w:val="none" w:sz="0" w:space="0" w:color="auto"/>
        <w:left w:val="none" w:sz="0" w:space="0" w:color="auto"/>
        <w:bottom w:val="none" w:sz="0" w:space="0" w:color="auto"/>
        <w:right w:val="none" w:sz="0" w:space="0" w:color="auto"/>
      </w:divBdr>
    </w:div>
    <w:div w:id="658851007">
      <w:bodyDiv w:val="1"/>
      <w:marLeft w:val="0"/>
      <w:marRight w:val="0"/>
      <w:marTop w:val="0"/>
      <w:marBottom w:val="0"/>
      <w:divBdr>
        <w:top w:val="none" w:sz="0" w:space="0" w:color="auto"/>
        <w:left w:val="none" w:sz="0" w:space="0" w:color="auto"/>
        <w:bottom w:val="none" w:sz="0" w:space="0" w:color="auto"/>
        <w:right w:val="none" w:sz="0" w:space="0" w:color="auto"/>
      </w:divBdr>
    </w:div>
    <w:div w:id="659044265">
      <w:bodyDiv w:val="1"/>
      <w:marLeft w:val="0"/>
      <w:marRight w:val="0"/>
      <w:marTop w:val="0"/>
      <w:marBottom w:val="0"/>
      <w:divBdr>
        <w:top w:val="none" w:sz="0" w:space="0" w:color="auto"/>
        <w:left w:val="none" w:sz="0" w:space="0" w:color="auto"/>
        <w:bottom w:val="none" w:sz="0" w:space="0" w:color="auto"/>
        <w:right w:val="none" w:sz="0" w:space="0" w:color="auto"/>
      </w:divBdr>
    </w:div>
    <w:div w:id="666632604">
      <w:bodyDiv w:val="1"/>
      <w:marLeft w:val="0"/>
      <w:marRight w:val="0"/>
      <w:marTop w:val="0"/>
      <w:marBottom w:val="0"/>
      <w:divBdr>
        <w:top w:val="none" w:sz="0" w:space="0" w:color="auto"/>
        <w:left w:val="none" w:sz="0" w:space="0" w:color="auto"/>
        <w:bottom w:val="none" w:sz="0" w:space="0" w:color="auto"/>
        <w:right w:val="none" w:sz="0" w:space="0" w:color="auto"/>
      </w:divBdr>
    </w:div>
    <w:div w:id="669910434">
      <w:bodyDiv w:val="1"/>
      <w:marLeft w:val="0"/>
      <w:marRight w:val="0"/>
      <w:marTop w:val="0"/>
      <w:marBottom w:val="0"/>
      <w:divBdr>
        <w:top w:val="none" w:sz="0" w:space="0" w:color="auto"/>
        <w:left w:val="none" w:sz="0" w:space="0" w:color="auto"/>
        <w:bottom w:val="none" w:sz="0" w:space="0" w:color="auto"/>
        <w:right w:val="none" w:sz="0" w:space="0" w:color="auto"/>
      </w:divBdr>
    </w:div>
    <w:div w:id="670378811">
      <w:bodyDiv w:val="1"/>
      <w:marLeft w:val="0"/>
      <w:marRight w:val="0"/>
      <w:marTop w:val="0"/>
      <w:marBottom w:val="0"/>
      <w:divBdr>
        <w:top w:val="none" w:sz="0" w:space="0" w:color="auto"/>
        <w:left w:val="none" w:sz="0" w:space="0" w:color="auto"/>
        <w:bottom w:val="none" w:sz="0" w:space="0" w:color="auto"/>
        <w:right w:val="none" w:sz="0" w:space="0" w:color="auto"/>
      </w:divBdr>
    </w:div>
    <w:div w:id="670987982">
      <w:bodyDiv w:val="1"/>
      <w:marLeft w:val="0"/>
      <w:marRight w:val="0"/>
      <w:marTop w:val="0"/>
      <w:marBottom w:val="0"/>
      <w:divBdr>
        <w:top w:val="none" w:sz="0" w:space="0" w:color="auto"/>
        <w:left w:val="none" w:sz="0" w:space="0" w:color="auto"/>
        <w:bottom w:val="none" w:sz="0" w:space="0" w:color="auto"/>
        <w:right w:val="none" w:sz="0" w:space="0" w:color="auto"/>
      </w:divBdr>
    </w:div>
    <w:div w:id="672076785">
      <w:bodyDiv w:val="1"/>
      <w:marLeft w:val="0"/>
      <w:marRight w:val="0"/>
      <w:marTop w:val="0"/>
      <w:marBottom w:val="0"/>
      <w:divBdr>
        <w:top w:val="none" w:sz="0" w:space="0" w:color="auto"/>
        <w:left w:val="none" w:sz="0" w:space="0" w:color="auto"/>
        <w:bottom w:val="none" w:sz="0" w:space="0" w:color="auto"/>
        <w:right w:val="none" w:sz="0" w:space="0" w:color="auto"/>
      </w:divBdr>
      <w:divsChild>
        <w:div w:id="594099959">
          <w:marLeft w:val="0"/>
          <w:marRight w:val="0"/>
          <w:marTop w:val="0"/>
          <w:marBottom w:val="0"/>
          <w:divBdr>
            <w:top w:val="none" w:sz="0" w:space="0" w:color="auto"/>
            <w:left w:val="none" w:sz="0" w:space="0" w:color="auto"/>
            <w:bottom w:val="none" w:sz="0" w:space="0" w:color="auto"/>
            <w:right w:val="none" w:sz="0" w:space="0" w:color="auto"/>
          </w:divBdr>
        </w:div>
      </w:divsChild>
    </w:div>
    <w:div w:id="672991953">
      <w:bodyDiv w:val="1"/>
      <w:marLeft w:val="0"/>
      <w:marRight w:val="0"/>
      <w:marTop w:val="0"/>
      <w:marBottom w:val="0"/>
      <w:divBdr>
        <w:top w:val="none" w:sz="0" w:space="0" w:color="auto"/>
        <w:left w:val="none" w:sz="0" w:space="0" w:color="auto"/>
        <w:bottom w:val="none" w:sz="0" w:space="0" w:color="auto"/>
        <w:right w:val="none" w:sz="0" w:space="0" w:color="auto"/>
      </w:divBdr>
    </w:div>
    <w:div w:id="674580015">
      <w:bodyDiv w:val="1"/>
      <w:marLeft w:val="0"/>
      <w:marRight w:val="0"/>
      <w:marTop w:val="0"/>
      <w:marBottom w:val="0"/>
      <w:divBdr>
        <w:top w:val="none" w:sz="0" w:space="0" w:color="auto"/>
        <w:left w:val="none" w:sz="0" w:space="0" w:color="auto"/>
        <w:bottom w:val="none" w:sz="0" w:space="0" w:color="auto"/>
        <w:right w:val="none" w:sz="0" w:space="0" w:color="auto"/>
      </w:divBdr>
    </w:div>
    <w:div w:id="675691638">
      <w:bodyDiv w:val="1"/>
      <w:marLeft w:val="0"/>
      <w:marRight w:val="0"/>
      <w:marTop w:val="0"/>
      <w:marBottom w:val="0"/>
      <w:divBdr>
        <w:top w:val="none" w:sz="0" w:space="0" w:color="auto"/>
        <w:left w:val="none" w:sz="0" w:space="0" w:color="auto"/>
        <w:bottom w:val="none" w:sz="0" w:space="0" w:color="auto"/>
        <w:right w:val="none" w:sz="0" w:space="0" w:color="auto"/>
      </w:divBdr>
    </w:div>
    <w:div w:id="675885658">
      <w:bodyDiv w:val="1"/>
      <w:marLeft w:val="0"/>
      <w:marRight w:val="0"/>
      <w:marTop w:val="0"/>
      <w:marBottom w:val="0"/>
      <w:divBdr>
        <w:top w:val="none" w:sz="0" w:space="0" w:color="auto"/>
        <w:left w:val="none" w:sz="0" w:space="0" w:color="auto"/>
        <w:bottom w:val="none" w:sz="0" w:space="0" w:color="auto"/>
        <w:right w:val="none" w:sz="0" w:space="0" w:color="auto"/>
      </w:divBdr>
    </w:div>
    <w:div w:id="683165797">
      <w:bodyDiv w:val="1"/>
      <w:marLeft w:val="0"/>
      <w:marRight w:val="0"/>
      <w:marTop w:val="0"/>
      <w:marBottom w:val="0"/>
      <w:divBdr>
        <w:top w:val="none" w:sz="0" w:space="0" w:color="auto"/>
        <w:left w:val="none" w:sz="0" w:space="0" w:color="auto"/>
        <w:bottom w:val="none" w:sz="0" w:space="0" w:color="auto"/>
        <w:right w:val="none" w:sz="0" w:space="0" w:color="auto"/>
      </w:divBdr>
    </w:div>
    <w:div w:id="693309164">
      <w:bodyDiv w:val="1"/>
      <w:marLeft w:val="0"/>
      <w:marRight w:val="0"/>
      <w:marTop w:val="0"/>
      <w:marBottom w:val="0"/>
      <w:divBdr>
        <w:top w:val="none" w:sz="0" w:space="0" w:color="auto"/>
        <w:left w:val="none" w:sz="0" w:space="0" w:color="auto"/>
        <w:bottom w:val="none" w:sz="0" w:space="0" w:color="auto"/>
        <w:right w:val="none" w:sz="0" w:space="0" w:color="auto"/>
      </w:divBdr>
    </w:div>
    <w:div w:id="693389355">
      <w:bodyDiv w:val="1"/>
      <w:marLeft w:val="0"/>
      <w:marRight w:val="0"/>
      <w:marTop w:val="0"/>
      <w:marBottom w:val="0"/>
      <w:divBdr>
        <w:top w:val="none" w:sz="0" w:space="0" w:color="auto"/>
        <w:left w:val="none" w:sz="0" w:space="0" w:color="auto"/>
        <w:bottom w:val="none" w:sz="0" w:space="0" w:color="auto"/>
        <w:right w:val="none" w:sz="0" w:space="0" w:color="auto"/>
      </w:divBdr>
    </w:div>
    <w:div w:id="698703507">
      <w:bodyDiv w:val="1"/>
      <w:marLeft w:val="0"/>
      <w:marRight w:val="0"/>
      <w:marTop w:val="0"/>
      <w:marBottom w:val="0"/>
      <w:divBdr>
        <w:top w:val="none" w:sz="0" w:space="0" w:color="auto"/>
        <w:left w:val="none" w:sz="0" w:space="0" w:color="auto"/>
        <w:bottom w:val="none" w:sz="0" w:space="0" w:color="auto"/>
        <w:right w:val="none" w:sz="0" w:space="0" w:color="auto"/>
      </w:divBdr>
    </w:div>
    <w:div w:id="705715440">
      <w:bodyDiv w:val="1"/>
      <w:marLeft w:val="0"/>
      <w:marRight w:val="0"/>
      <w:marTop w:val="0"/>
      <w:marBottom w:val="0"/>
      <w:divBdr>
        <w:top w:val="none" w:sz="0" w:space="0" w:color="auto"/>
        <w:left w:val="none" w:sz="0" w:space="0" w:color="auto"/>
        <w:bottom w:val="none" w:sz="0" w:space="0" w:color="auto"/>
        <w:right w:val="none" w:sz="0" w:space="0" w:color="auto"/>
      </w:divBdr>
    </w:div>
    <w:div w:id="706030905">
      <w:bodyDiv w:val="1"/>
      <w:marLeft w:val="0"/>
      <w:marRight w:val="0"/>
      <w:marTop w:val="0"/>
      <w:marBottom w:val="0"/>
      <w:divBdr>
        <w:top w:val="none" w:sz="0" w:space="0" w:color="auto"/>
        <w:left w:val="none" w:sz="0" w:space="0" w:color="auto"/>
        <w:bottom w:val="none" w:sz="0" w:space="0" w:color="auto"/>
        <w:right w:val="none" w:sz="0" w:space="0" w:color="auto"/>
      </w:divBdr>
    </w:div>
    <w:div w:id="707218121">
      <w:bodyDiv w:val="1"/>
      <w:marLeft w:val="0"/>
      <w:marRight w:val="0"/>
      <w:marTop w:val="0"/>
      <w:marBottom w:val="0"/>
      <w:divBdr>
        <w:top w:val="none" w:sz="0" w:space="0" w:color="auto"/>
        <w:left w:val="none" w:sz="0" w:space="0" w:color="auto"/>
        <w:bottom w:val="none" w:sz="0" w:space="0" w:color="auto"/>
        <w:right w:val="none" w:sz="0" w:space="0" w:color="auto"/>
      </w:divBdr>
    </w:div>
    <w:div w:id="707417459">
      <w:bodyDiv w:val="1"/>
      <w:marLeft w:val="0"/>
      <w:marRight w:val="0"/>
      <w:marTop w:val="0"/>
      <w:marBottom w:val="0"/>
      <w:divBdr>
        <w:top w:val="none" w:sz="0" w:space="0" w:color="auto"/>
        <w:left w:val="none" w:sz="0" w:space="0" w:color="auto"/>
        <w:bottom w:val="none" w:sz="0" w:space="0" w:color="auto"/>
        <w:right w:val="none" w:sz="0" w:space="0" w:color="auto"/>
      </w:divBdr>
    </w:div>
    <w:div w:id="707488756">
      <w:bodyDiv w:val="1"/>
      <w:marLeft w:val="0"/>
      <w:marRight w:val="0"/>
      <w:marTop w:val="0"/>
      <w:marBottom w:val="0"/>
      <w:divBdr>
        <w:top w:val="none" w:sz="0" w:space="0" w:color="auto"/>
        <w:left w:val="none" w:sz="0" w:space="0" w:color="auto"/>
        <w:bottom w:val="none" w:sz="0" w:space="0" w:color="auto"/>
        <w:right w:val="none" w:sz="0" w:space="0" w:color="auto"/>
      </w:divBdr>
    </w:div>
    <w:div w:id="708528027">
      <w:bodyDiv w:val="1"/>
      <w:marLeft w:val="0"/>
      <w:marRight w:val="0"/>
      <w:marTop w:val="0"/>
      <w:marBottom w:val="0"/>
      <w:divBdr>
        <w:top w:val="none" w:sz="0" w:space="0" w:color="auto"/>
        <w:left w:val="none" w:sz="0" w:space="0" w:color="auto"/>
        <w:bottom w:val="none" w:sz="0" w:space="0" w:color="auto"/>
        <w:right w:val="none" w:sz="0" w:space="0" w:color="auto"/>
      </w:divBdr>
    </w:div>
    <w:div w:id="709838213">
      <w:bodyDiv w:val="1"/>
      <w:marLeft w:val="0"/>
      <w:marRight w:val="0"/>
      <w:marTop w:val="0"/>
      <w:marBottom w:val="0"/>
      <w:divBdr>
        <w:top w:val="none" w:sz="0" w:space="0" w:color="auto"/>
        <w:left w:val="none" w:sz="0" w:space="0" w:color="auto"/>
        <w:bottom w:val="none" w:sz="0" w:space="0" w:color="auto"/>
        <w:right w:val="none" w:sz="0" w:space="0" w:color="auto"/>
      </w:divBdr>
    </w:div>
    <w:div w:id="711727717">
      <w:bodyDiv w:val="1"/>
      <w:marLeft w:val="0"/>
      <w:marRight w:val="0"/>
      <w:marTop w:val="0"/>
      <w:marBottom w:val="0"/>
      <w:divBdr>
        <w:top w:val="none" w:sz="0" w:space="0" w:color="auto"/>
        <w:left w:val="none" w:sz="0" w:space="0" w:color="auto"/>
        <w:bottom w:val="none" w:sz="0" w:space="0" w:color="auto"/>
        <w:right w:val="none" w:sz="0" w:space="0" w:color="auto"/>
      </w:divBdr>
    </w:div>
    <w:div w:id="712535069">
      <w:bodyDiv w:val="1"/>
      <w:marLeft w:val="0"/>
      <w:marRight w:val="0"/>
      <w:marTop w:val="0"/>
      <w:marBottom w:val="0"/>
      <w:divBdr>
        <w:top w:val="none" w:sz="0" w:space="0" w:color="auto"/>
        <w:left w:val="none" w:sz="0" w:space="0" w:color="auto"/>
        <w:bottom w:val="none" w:sz="0" w:space="0" w:color="auto"/>
        <w:right w:val="none" w:sz="0" w:space="0" w:color="auto"/>
      </w:divBdr>
    </w:div>
    <w:div w:id="712536395">
      <w:bodyDiv w:val="1"/>
      <w:marLeft w:val="0"/>
      <w:marRight w:val="0"/>
      <w:marTop w:val="0"/>
      <w:marBottom w:val="0"/>
      <w:divBdr>
        <w:top w:val="none" w:sz="0" w:space="0" w:color="auto"/>
        <w:left w:val="none" w:sz="0" w:space="0" w:color="auto"/>
        <w:bottom w:val="none" w:sz="0" w:space="0" w:color="auto"/>
        <w:right w:val="none" w:sz="0" w:space="0" w:color="auto"/>
      </w:divBdr>
    </w:div>
    <w:div w:id="717624940">
      <w:bodyDiv w:val="1"/>
      <w:marLeft w:val="0"/>
      <w:marRight w:val="0"/>
      <w:marTop w:val="0"/>
      <w:marBottom w:val="0"/>
      <w:divBdr>
        <w:top w:val="none" w:sz="0" w:space="0" w:color="auto"/>
        <w:left w:val="none" w:sz="0" w:space="0" w:color="auto"/>
        <w:bottom w:val="none" w:sz="0" w:space="0" w:color="auto"/>
        <w:right w:val="none" w:sz="0" w:space="0" w:color="auto"/>
      </w:divBdr>
    </w:div>
    <w:div w:id="719522346">
      <w:bodyDiv w:val="1"/>
      <w:marLeft w:val="0"/>
      <w:marRight w:val="0"/>
      <w:marTop w:val="0"/>
      <w:marBottom w:val="0"/>
      <w:divBdr>
        <w:top w:val="none" w:sz="0" w:space="0" w:color="auto"/>
        <w:left w:val="none" w:sz="0" w:space="0" w:color="auto"/>
        <w:bottom w:val="none" w:sz="0" w:space="0" w:color="auto"/>
        <w:right w:val="none" w:sz="0" w:space="0" w:color="auto"/>
      </w:divBdr>
    </w:div>
    <w:div w:id="726148941">
      <w:bodyDiv w:val="1"/>
      <w:marLeft w:val="0"/>
      <w:marRight w:val="0"/>
      <w:marTop w:val="0"/>
      <w:marBottom w:val="0"/>
      <w:divBdr>
        <w:top w:val="none" w:sz="0" w:space="0" w:color="auto"/>
        <w:left w:val="none" w:sz="0" w:space="0" w:color="auto"/>
        <w:bottom w:val="none" w:sz="0" w:space="0" w:color="auto"/>
        <w:right w:val="none" w:sz="0" w:space="0" w:color="auto"/>
      </w:divBdr>
    </w:div>
    <w:div w:id="729424043">
      <w:bodyDiv w:val="1"/>
      <w:marLeft w:val="0"/>
      <w:marRight w:val="0"/>
      <w:marTop w:val="0"/>
      <w:marBottom w:val="0"/>
      <w:divBdr>
        <w:top w:val="none" w:sz="0" w:space="0" w:color="auto"/>
        <w:left w:val="none" w:sz="0" w:space="0" w:color="auto"/>
        <w:bottom w:val="none" w:sz="0" w:space="0" w:color="auto"/>
        <w:right w:val="none" w:sz="0" w:space="0" w:color="auto"/>
      </w:divBdr>
      <w:divsChild>
        <w:div w:id="310058828">
          <w:marLeft w:val="0"/>
          <w:marRight w:val="0"/>
          <w:marTop w:val="0"/>
          <w:marBottom w:val="0"/>
          <w:divBdr>
            <w:top w:val="none" w:sz="0" w:space="0" w:color="auto"/>
            <w:left w:val="none" w:sz="0" w:space="0" w:color="auto"/>
            <w:bottom w:val="none" w:sz="0" w:space="0" w:color="auto"/>
            <w:right w:val="none" w:sz="0" w:space="0" w:color="auto"/>
          </w:divBdr>
        </w:div>
        <w:div w:id="1996638096">
          <w:marLeft w:val="0"/>
          <w:marRight w:val="0"/>
          <w:marTop w:val="0"/>
          <w:marBottom w:val="0"/>
          <w:divBdr>
            <w:top w:val="none" w:sz="0" w:space="0" w:color="auto"/>
            <w:left w:val="none" w:sz="0" w:space="0" w:color="auto"/>
            <w:bottom w:val="none" w:sz="0" w:space="0" w:color="auto"/>
            <w:right w:val="none" w:sz="0" w:space="0" w:color="auto"/>
          </w:divBdr>
        </w:div>
        <w:div w:id="2066637731">
          <w:marLeft w:val="0"/>
          <w:marRight w:val="0"/>
          <w:marTop w:val="0"/>
          <w:marBottom w:val="0"/>
          <w:divBdr>
            <w:top w:val="none" w:sz="0" w:space="0" w:color="auto"/>
            <w:left w:val="none" w:sz="0" w:space="0" w:color="auto"/>
            <w:bottom w:val="none" w:sz="0" w:space="0" w:color="auto"/>
            <w:right w:val="none" w:sz="0" w:space="0" w:color="auto"/>
          </w:divBdr>
        </w:div>
      </w:divsChild>
    </w:div>
    <w:div w:id="729688684">
      <w:bodyDiv w:val="1"/>
      <w:marLeft w:val="0"/>
      <w:marRight w:val="0"/>
      <w:marTop w:val="0"/>
      <w:marBottom w:val="0"/>
      <w:divBdr>
        <w:top w:val="none" w:sz="0" w:space="0" w:color="auto"/>
        <w:left w:val="none" w:sz="0" w:space="0" w:color="auto"/>
        <w:bottom w:val="none" w:sz="0" w:space="0" w:color="auto"/>
        <w:right w:val="none" w:sz="0" w:space="0" w:color="auto"/>
      </w:divBdr>
    </w:div>
    <w:div w:id="729814382">
      <w:bodyDiv w:val="1"/>
      <w:marLeft w:val="0"/>
      <w:marRight w:val="0"/>
      <w:marTop w:val="0"/>
      <w:marBottom w:val="0"/>
      <w:divBdr>
        <w:top w:val="none" w:sz="0" w:space="0" w:color="auto"/>
        <w:left w:val="none" w:sz="0" w:space="0" w:color="auto"/>
        <w:bottom w:val="none" w:sz="0" w:space="0" w:color="auto"/>
        <w:right w:val="none" w:sz="0" w:space="0" w:color="auto"/>
      </w:divBdr>
    </w:div>
    <w:div w:id="730620667">
      <w:bodyDiv w:val="1"/>
      <w:marLeft w:val="0"/>
      <w:marRight w:val="0"/>
      <w:marTop w:val="0"/>
      <w:marBottom w:val="0"/>
      <w:divBdr>
        <w:top w:val="none" w:sz="0" w:space="0" w:color="auto"/>
        <w:left w:val="none" w:sz="0" w:space="0" w:color="auto"/>
        <w:bottom w:val="none" w:sz="0" w:space="0" w:color="auto"/>
        <w:right w:val="none" w:sz="0" w:space="0" w:color="auto"/>
      </w:divBdr>
    </w:div>
    <w:div w:id="732658129">
      <w:bodyDiv w:val="1"/>
      <w:marLeft w:val="0"/>
      <w:marRight w:val="0"/>
      <w:marTop w:val="0"/>
      <w:marBottom w:val="0"/>
      <w:divBdr>
        <w:top w:val="none" w:sz="0" w:space="0" w:color="auto"/>
        <w:left w:val="none" w:sz="0" w:space="0" w:color="auto"/>
        <w:bottom w:val="none" w:sz="0" w:space="0" w:color="auto"/>
        <w:right w:val="none" w:sz="0" w:space="0" w:color="auto"/>
      </w:divBdr>
    </w:div>
    <w:div w:id="732775958">
      <w:bodyDiv w:val="1"/>
      <w:marLeft w:val="0"/>
      <w:marRight w:val="0"/>
      <w:marTop w:val="0"/>
      <w:marBottom w:val="0"/>
      <w:divBdr>
        <w:top w:val="none" w:sz="0" w:space="0" w:color="auto"/>
        <w:left w:val="none" w:sz="0" w:space="0" w:color="auto"/>
        <w:bottom w:val="none" w:sz="0" w:space="0" w:color="auto"/>
        <w:right w:val="none" w:sz="0" w:space="0" w:color="auto"/>
      </w:divBdr>
    </w:div>
    <w:div w:id="733162527">
      <w:bodyDiv w:val="1"/>
      <w:marLeft w:val="0"/>
      <w:marRight w:val="0"/>
      <w:marTop w:val="0"/>
      <w:marBottom w:val="0"/>
      <w:divBdr>
        <w:top w:val="none" w:sz="0" w:space="0" w:color="auto"/>
        <w:left w:val="none" w:sz="0" w:space="0" w:color="auto"/>
        <w:bottom w:val="none" w:sz="0" w:space="0" w:color="auto"/>
        <w:right w:val="none" w:sz="0" w:space="0" w:color="auto"/>
      </w:divBdr>
    </w:div>
    <w:div w:id="733239911">
      <w:bodyDiv w:val="1"/>
      <w:marLeft w:val="0"/>
      <w:marRight w:val="0"/>
      <w:marTop w:val="0"/>
      <w:marBottom w:val="0"/>
      <w:divBdr>
        <w:top w:val="none" w:sz="0" w:space="0" w:color="auto"/>
        <w:left w:val="none" w:sz="0" w:space="0" w:color="auto"/>
        <w:bottom w:val="none" w:sz="0" w:space="0" w:color="auto"/>
        <w:right w:val="none" w:sz="0" w:space="0" w:color="auto"/>
      </w:divBdr>
    </w:div>
    <w:div w:id="735469359">
      <w:bodyDiv w:val="1"/>
      <w:marLeft w:val="0"/>
      <w:marRight w:val="0"/>
      <w:marTop w:val="0"/>
      <w:marBottom w:val="0"/>
      <w:divBdr>
        <w:top w:val="none" w:sz="0" w:space="0" w:color="auto"/>
        <w:left w:val="none" w:sz="0" w:space="0" w:color="auto"/>
        <w:bottom w:val="none" w:sz="0" w:space="0" w:color="auto"/>
        <w:right w:val="none" w:sz="0" w:space="0" w:color="auto"/>
      </w:divBdr>
    </w:div>
    <w:div w:id="736365381">
      <w:bodyDiv w:val="1"/>
      <w:marLeft w:val="0"/>
      <w:marRight w:val="0"/>
      <w:marTop w:val="0"/>
      <w:marBottom w:val="0"/>
      <w:divBdr>
        <w:top w:val="none" w:sz="0" w:space="0" w:color="auto"/>
        <w:left w:val="none" w:sz="0" w:space="0" w:color="auto"/>
        <w:bottom w:val="none" w:sz="0" w:space="0" w:color="auto"/>
        <w:right w:val="none" w:sz="0" w:space="0" w:color="auto"/>
      </w:divBdr>
    </w:div>
    <w:div w:id="737441343">
      <w:bodyDiv w:val="1"/>
      <w:marLeft w:val="0"/>
      <w:marRight w:val="0"/>
      <w:marTop w:val="0"/>
      <w:marBottom w:val="0"/>
      <w:divBdr>
        <w:top w:val="none" w:sz="0" w:space="0" w:color="auto"/>
        <w:left w:val="none" w:sz="0" w:space="0" w:color="auto"/>
        <w:bottom w:val="none" w:sz="0" w:space="0" w:color="auto"/>
        <w:right w:val="none" w:sz="0" w:space="0" w:color="auto"/>
      </w:divBdr>
    </w:div>
    <w:div w:id="737554764">
      <w:bodyDiv w:val="1"/>
      <w:marLeft w:val="0"/>
      <w:marRight w:val="0"/>
      <w:marTop w:val="0"/>
      <w:marBottom w:val="0"/>
      <w:divBdr>
        <w:top w:val="none" w:sz="0" w:space="0" w:color="auto"/>
        <w:left w:val="none" w:sz="0" w:space="0" w:color="auto"/>
        <w:bottom w:val="none" w:sz="0" w:space="0" w:color="auto"/>
        <w:right w:val="none" w:sz="0" w:space="0" w:color="auto"/>
      </w:divBdr>
    </w:div>
    <w:div w:id="738556995">
      <w:bodyDiv w:val="1"/>
      <w:marLeft w:val="0"/>
      <w:marRight w:val="0"/>
      <w:marTop w:val="0"/>
      <w:marBottom w:val="0"/>
      <w:divBdr>
        <w:top w:val="none" w:sz="0" w:space="0" w:color="auto"/>
        <w:left w:val="none" w:sz="0" w:space="0" w:color="auto"/>
        <w:bottom w:val="none" w:sz="0" w:space="0" w:color="auto"/>
        <w:right w:val="none" w:sz="0" w:space="0" w:color="auto"/>
      </w:divBdr>
    </w:div>
    <w:div w:id="743912750">
      <w:bodyDiv w:val="1"/>
      <w:marLeft w:val="0"/>
      <w:marRight w:val="0"/>
      <w:marTop w:val="0"/>
      <w:marBottom w:val="0"/>
      <w:divBdr>
        <w:top w:val="none" w:sz="0" w:space="0" w:color="auto"/>
        <w:left w:val="none" w:sz="0" w:space="0" w:color="auto"/>
        <w:bottom w:val="none" w:sz="0" w:space="0" w:color="auto"/>
        <w:right w:val="none" w:sz="0" w:space="0" w:color="auto"/>
      </w:divBdr>
    </w:div>
    <w:div w:id="744834844">
      <w:bodyDiv w:val="1"/>
      <w:marLeft w:val="0"/>
      <w:marRight w:val="0"/>
      <w:marTop w:val="0"/>
      <w:marBottom w:val="0"/>
      <w:divBdr>
        <w:top w:val="none" w:sz="0" w:space="0" w:color="auto"/>
        <w:left w:val="none" w:sz="0" w:space="0" w:color="auto"/>
        <w:bottom w:val="none" w:sz="0" w:space="0" w:color="auto"/>
        <w:right w:val="none" w:sz="0" w:space="0" w:color="auto"/>
      </w:divBdr>
    </w:div>
    <w:div w:id="746265062">
      <w:bodyDiv w:val="1"/>
      <w:marLeft w:val="0"/>
      <w:marRight w:val="0"/>
      <w:marTop w:val="0"/>
      <w:marBottom w:val="0"/>
      <w:divBdr>
        <w:top w:val="none" w:sz="0" w:space="0" w:color="auto"/>
        <w:left w:val="none" w:sz="0" w:space="0" w:color="auto"/>
        <w:bottom w:val="none" w:sz="0" w:space="0" w:color="auto"/>
        <w:right w:val="none" w:sz="0" w:space="0" w:color="auto"/>
      </w:divBdr>
    </w:div>
    <w:div w:id="747504907">
      <w:bodyDiv w:val="1"/>
      <w:marLeft w:val="0"/>
      <w:marRight w:val="0"/>
      <w:marTop w:val="0"/>
      <w:marBottom w:val="0"/>
      <w:divBdr>
        <w:top w:val="none" w:sz="0" w:space="0" w:color="auto"/>
        <w:left w:val="none" w:sz="0" w:space="0" w:color="auto"/>
        <w:bottom w:val="none" w:sz="0" w:space="0" w:color="auto"/>
        <w:right w:val="none" w:sz="0" w:space="0" w:color="auto"/>
      </w:divBdr>
    </w:div>
    <w:div w:id="749812261">
      <w:bodyDiv w:val="1"/>
      <w:marLeft w:val="0"/>
      <w:marRight w:val="0"/>
      <w:marTop w:val="0"/>
      <w:marBottom w:val="0"/>
      <w:divBdr>
        <w:top w:val="none" w:sz="0" w:space="0" w:color="auto"/>
        <w:left w:val="none" w:sz="0" w:space="0" w:color="auto"/>
        <w:bottom w:val="none" w:sz="0" w:space="0" w:color="auto"/>
        <w:right w:val="none" w:sz="0" w:space="0" w:color="auto"/>
      </w:divBdr>
    </w:div>
    <w:div w:id="750079815">
      <w:bodyDiv w:val="1"/>
      <w:marLeft w:val="0"/>
      <w:marRight w:val="0"/>
      <w:marTop w:val="0"/>
      <w:marBottom w:val="0"/>
      <w:divBdr>
        <w:top w:val="none" w:sz="0" w:space="0" w:color="auto"/>
        <w:left w:val="none" w:sz="0" w:space="0" w:color="auto"/>
        <w:bottom w:val="none" w:sz="0" w:space="0" w:color="auto"/>
        <w:right w:val="none" w:sz="0" w:space="0" w:color="auto"/>
      </w:divBdr>
    </w:div>
    <w:div w:id="750852043">
      <w:bodyDiv w:val="1"/>
      <w:marLeft w:val="0"/>
      <w:marRight w:val="0"/>
      <w:marTop w:val="0"/>
      <w:marBottom w:val="0"/>
      <w:divBdr>
        <w:top w:val="none" w:sz="0" w:space="0" w:color="auto"/>
        <w:left w:val="none" w:sz="0" w:space="0" w:color="auto"/>
        <w:bottom w:val="none" w:sz="0" w:space="0" w:color="auto"/>
        <w:right w:val="none" w:sz="0" w:space="0" w:color="auto"/>
      </w:divBdr>
    </w:div>
    <w:div w:id="752358844">
      <w:bodyDiv w:val="1"/>
      <w:marLeft w:val="0"/>
      <w:marRight w:val="0"/>
      <w:marTop w:val="0"/>
      <w:marBottom w:val="0"/>
      <w:divBdr>
        <w:top w:val="none" w:sz="0" w:space="0" w:color="auto"/>
        <w:left w:val="none" w:sz="0" w:space="0" w:color="auto"/>
        <w:bottom w:val="none" w:sz="0" w:space="0" w:color="auto"/>
        <w:right w:val="none" w:sz="0" w:space="0" w:color="auto"/>
      </w:divBdr>
    </w:div>
    <w:div w:id="755201700">
      <w:bodyDiv w:val="1"/>
      <w:marLeft w:val="0"/>
      <w:marRight w:val="0"/>
      <w:marTop w:val="0"/>
      <w:marBottom w:val="0"/>
      <w:divBdr>
        <w:top w:val="none" w:sz="0" w:space="0" w:color="auto"/>
        <w:left w:val="none" w:sz="0" w:space="0" w:color="auto"/>
        <w:bottom w:val="none" w:sz="0" w:space="0" w:color="auto"/>
        <w:right w:val="none" w:sz="0" w:space="0" w:color="auto"/>
      </w:divBdr>
      <w:divsChild>
        <w:div w:id="73279242">
          <w:marLeft w:val="0"/>
          <w:marRight w:val="0"/>
          <w:marTop w:val="0"/>
          <w:marBottom w:val="0"/>
          <w:divBdr>
            <w:top w:val="none" w:sz="0" w:space="0" w:color="auto"/>
            <w:left w:val="none" w:sz="0" w:space="0" w:color="auto"/>
            <w:bottom w:val="none" w:sz="0" w:space="0" w:color="auto"/>
            <w:right w:val="none" w:sz="0" w:space="0" w:color="auto"/>
          </w:divBdr>
        </w:div>
      </w:divsChild>
    </w:div>
    <w:div w:id="756708376">
      <w:bodyDiv w:val="1"/>
      <w:marLeft w:val="0"/>
      <w:marRight w:val="0"/>
      <w:marTop w:val="0"/>
      <w:marBottom w:val="0"/>
      <w:divBdr>
        <w:top w:val="none" w:sz="0" w:space="0" w:color="auto"/>
        <w:left w:val="none" w:sz="0" w:space="0" w:color="auto"/>
        <w:bottom w:val="none" w:sz="0" w:space="0" w:color="auto"/>
        <w:right w:val="none" w:sz="0" w:space="0" w:color="auto"/>
      </w:divBdr>
    </w:div>
    <w:div w:id="758409379">
      <w:bodyDiv w:val="1"/>
      <w:marLeft w:val="0"/>
      <w:marRight w:val="0"/>
      <w:marTop w:val="0"/>
      <w:marBottom w:val="0"/>
      <w:divBdr>
        <w:top w:val="none" w:sz="0" w:space="0" w:color="auto"/>
        <w:left w:val="none" w:sz="0" w:space="0" w:color="auto"/>
        <w:bottom w:val="none" w:sz="0" w:space="0" w:color="auto"/>
        <w:right w:val="none" w:sz="0" w:space="0" w:color="auto"/>
      </w:divBdr>
    </w:div>
    <w:div w:id="759721321">
      <w:bodyDiv w:val="1"/>
      <w:marLeft w:val="0"/>
      <w:marRight w:val="0"/>
      <w:marTop w:val="0"/>
      <w:marBottom w:val="0"/>
      <w:divBdr>
        <w:top w:val="none" w:sz="0" w:space="0" w:color="auto"/>
        <w:left w:val="none" w:sz="0" w:space="0" w:color="auto"/>
        <w:bottom w:val="none" w:sz="0" w:space="0" w:color="auto"/>
        <w:right w:val="none" w:sz="0" w:space="0" w:color="auto"/>
      </w:divBdr>
    </w:div>
    <w:div w:id="759911396">
      <w:bodyDiv w:val="1"/>
      <w:marLeft w:val="0"/>
      <w:marRight w:val="0"/>
      <w:marTop w:val="0"/>
      <w:marBottom w:val="0"/>
      <w:divBdr>
        <w:top w:val="none" w:sz="0" w:space="0" w:color="auto"/>
        <w:left w:val="none" w:sz="0" w:space="0" w:color="auto"/>
        <w:bottom w:val="none" w:sz="0" w:space="0" w:color="auto"/>
        <w:right w:val="none" w:sz="0" w:space="0" w:color="auto"/>
      </w:divBdr>
    </w:div>
    <w:div w:id="761607278">
      <w:bodyDiv w:val="1"/>
      <w:marLeft w:val="0"/>
      <w:marRight w:val="0"/>
      <w:marTop w:val="0"/>
      <w:marBottom w:val="0"/>
      <w:divBdr>
        <w:top w:val="none" w:sz="0" w:space="0" w:color="auto"/>
        <w:left w:val="none" w:sz="0" w:space="0" w:color="auto"/>
        <w:bottom w:val="none" w:sz="0" w:space="0" w:color="auto"/>
        <w:right w:val="none" w:sz="0" w:space="0" w:color="auto"/>
      </w:divBdr>
    </w:div>
    <w:div w:id="763455518">
      <w:bodyDiv w:val="1"/>
      <w:marLeft w:val="0"/>
      <w:marRight w:val="0"/>
      <w:marTop w:val="0"/>
      <w:marBottom w:val="0"/>
      <w:divBdr>
        <w:top w:val="none" w:sz="0" w:space="0" w:color="auto"/>
        <w:left w:val="none" w:sz="0" w:space="0" w:color="auto"/>
        <w:bottom w:val="none" w:sz="0" w:space="0" w:color="auto"/>
        <w:right w:val="none" w:sz="0" w:space="0" w:color="auto"/>
      </w:divBdr>
    </w:div>
    <w:div w:id="764111307">
      <w:bodyDiv w:val="1"/>
      <w:marLeft w:val="0"/>
      <w:marRight w:val="0"/>
      <w:marTop w:val="0"/>
      <w:marBottom w:val="0"/>
      <w:divBdr>
        <w:top w:val="none" w:sz="0" w:space="0" w:color="auto"/>
        <w:left w:val="none" w:sz="0" w:space="0" w:color="auto"/>
        <w:bottom w:val="none" w:sz="0" w:space="0" w:color="auto"/>
        <w:right w:val="none" w:sz="0" w:space="0" w:color="auto"/>
      </w:divBdr>
    </w:div>
    <w:div w:id="765073110">
      <w:bodyDiv w:val="1"/>
      <w:marLeft w:val="0"/>
      <w:marRight w:val="0"/>
      <w:marTop w:val="0"/>
      <w:marBottom w:val="0"/>
      <w:divBdr>
        <w:top w:val="none" w:sz="0" w:space="0" w:color="auto"/>
        <w:left w:val="none" w:sz="0" w:space="0" w:color="auto"/>
        <w:bottom w:val="none" w:sz="0" w:space="0" w:color="auto"/>
        <w:right w:val="none" w:sz="0" w:space="0" w:color="auto"/>
      </w:divBdr>
    </w:div>
    <w:div w:id="766848185">
      <w:bodyDiv w:val="1"/>
      <w:marLeft w:val="0"/>
      <w:marRight w:val="0"/>
      <w:marTop w:val="0"/>
      <w:marBottom w:val="0"/>
      <w:divBdr>
        <w:top w:val="none" w:sz="0" w:space="0" w:color="auto"/>
        <w:left w:val="none" w:sz="0" w:space="0" w:color="auto"/>
        <w:bottom w:val="none" w:sz="0" w:space="0" w:color="auto"/>
        <w:right w:val="none" w:sz="0" w:space="0" w:color="auto"/>
      </w:divBdr>
    </w:div>
    <w:div w:id="768501537">
      <w:bodyDiv w:val="1"/>
      <w:marLeft w:val="0"/>
      <w:marRight w:val="0"/>
      <w:marTop w:val="0"/>
      <w:marBottom w:val="0"/>
      <w:divBdr>
        <w:top w:val="none" w:sz="0" w:space="0" w:color="auto"/>
        <w:left w:val="none" w:sz="0" w:space="0" w:color="auto"/>
        <w:bottom w:val="none" w:sz="0" w:space="0" w:color="auto"/>
        <w:right w:val="none" w:sz="0" w:space="0" w:color="auto"/>
      </w:divBdr>
    </w:div>
    <w:div w:id="780757749">
      <w:bodyDiv w:val="1"/>
      <w:marLeft w:val="0"/>
      <w:marRight w:val="0"/>
      <w:marTop w:val="0"/>
      <w:marBottom w:val="0"/>
      <w:divBdr>
        <w:top w:val="none" w:sz="0" w:space="0" w:color="auto"/>
        <w:left w:val="none" w:sz="0" w:space="0" w:color="auto"/>
        <w:bottom w:val="none" w:sz="0" w:space="0" w:color="auto"/>
        <w:right w:val="none" w:sz="0" w:space="0" w:color="auto"/>
      </w:divBdr>
    </w:div>
    <w:div w:id="780996693">
      <w:bodyDiv w:val="1"/>
      <w:marLeft w:val="0"/>
      <w:marRight w:val="0"/>
      <w:marTop w:val="0"/>
      <w:marBottom w:val="0"/>
      <w:divBdr>
        <w:top w:val="none" w:sz="0" w:space="0" w:color="auto"/>
        <w:left w:val="none" w:sz="0" w:space="0" w:color="auto"/>
        <w:bottom w:val="none" w:sz="0" w:space="0" w:color="auto"/>
        <w:right w:val="none" w:sz="0" w:space="0" w:color="auto"/>
      </w:divBdr>
    </w:div>
    <w:div w:id="781148484">
      <w:bodyDiv w:val="1"/>
      <w:marLeft w:val="0"/>
      <w:marRight w:val="0"/>
      <w:marTop w:val="0"/>
      <w:marBottom w:val="0"/>
      <w:divBdr>
        <w:top w:val="none" w:sz="0" w:space="0" w:color="auto"/>
        <w:left w:val="none" w:sz="0" w:space="0" w:color="auto"/>
        <w:bottom w:val="none" w:sz="0" w:space="0" w:color="auto"/>
        <w:right w:val="none" w:sz="0" w:space="0" w:color="auto"/>
      </w:divBdr>
    </w:div>
    <w:div w:id="781807287">
      <w:bodyDiv w:val="1"/>
      <w:marLeft w:val="0"/>
      <w:marRight w:val="0"/>
      <w:marTop w:val="0"/>
      <w:marBottom w:val="0"/>
      <w:divBdr>
        <w:top w:val="none" w:sz="0" w:space="0" w:color="auto"/>
        <w:left w:val="none" w:sz="0" w:space="0" w:color="auto"/>
        <w:bottom w:val="none" w:sz="0" w:space="0" w:color="auto"/>
        <w:right w:val="none" w:sz="0" w:space="0" w:color="auto"/>
      </w:divBdr>
    </w:div>
    <w:div w:id="782191530">
      <w:bodyDiv w:val="1"/>
      <w:marLeft w:val="0"/>
      <w:marRight w:val="0"/>
      <w:marTop w:val="0"/>
      <w:marBottom w:val="0"/>
      <w:divBdr>
        <w:top w:val="none" w:sz="0" w:space="0" w:color="auto"/>
        <w:left w:val="none" w:sz="0" w:space="0" w:color="auto"/>
        <w:bottom w:val="none" w:sz="0" w:space="0" w:color="auto"/>
        <w:right w:val="none" w:sz="0" w:space="0" w:color="auto"/>
      </w:divBdr>
    </w:div>
    <w:div w:id="785319690">
      <w:bodyDiv w:val="1"/>
      <w:marLeft w:val="0"/>
      <w:marRight w:val="0"/>
      <w:marTop w:val="0"/>
      <w:marBottom w:val="0"/>
      <w:divBdr>
        <w:top w:val="none" w:sz="0" w:space="0" w:color="auto"/>
        <w:left w:val="none" w:sz="0" w:space="0" w:color="auto"/>
        <w:bottom w:val="none" w:sz="0" w:space="0" w:color="auto"/>
        <w:right w:val="none" w:sz="0" w:space="0" w:color="auto"/>
      </w:divBdr>
    </w:div>
    <w:div w:id="788012288">
      <w:bodyDiv w:val="1"/>
      <w:marLeft w:val="0"/>
      <w:marRight w:val="0"/>
      <w:marTop w:val="0"/>
      <w:marBottom w:val="0"/>
      <w:divBdr>
        <w:top w:val="none" w:sz="0" w:space="0" w:color="auto"/>
        <w:left w:val="none" w:sz="0" w:space="0" w:color="auto"/>
        <w:bottom w:val="none" w:sz="0" w:space="0" w:color="auto"/>
        <w:right w:val="none" w:sz="0" w:space="0" w:color="auto"/>
      </w:divBdr>
    </w:div>
    <w:div w:id="788203559">
      <w:bodyDiv w:val="1"/>
      <w:marLeft w:val="0"/>
      <w:marRight w:val="0"/>
      <w:marTop w:val="0"/>
      <w:marBottom w:val="0"/>
      <w:divBdr>
        <w:top w:val="none" w:sz="0" w:space="0" w:color="auto"/>
        <w:left w:val="none" w:sz="0" w:space="0" w:color="auto"/>
        <w:bottom w:val="none" w:sz="0" w:space="0" w:color="auto"/>
        <w:right w:val="none" w:sz="0" w:space="0" w:color="auto"/>
      </w:divBdr>
    </w:div>
    <w:div w:id="789010899">
      <w:bodyDiv w:val="1"/>
      <w:marLeft w:val="0"/>
      <w:marRight w:val="0"/>
      <w:marTop w:val="0"/>
      <w:marBottom w:val="0"/>
      <w:divBdr>
        <w:top w:val="none" w:sz="0" w:space="0" w:color="auto"/>
        <w:left w:val="none" w:sz="0" w:space="0" w:color="auto"/>
        <w:bottom w:val="none" w:sz="0" w:space="0" w:color="auto"/>
        <w:right w:val="none" w:sz="0" w:space="0" w:color="auto"/>
      </w:divBdr>
    </w:div>
    <w:div w:id="790591915">
      <w:bodyDiv w:val="1"/>
      <w:marLeft w:val="0"/>
      <w:marRight w:val="0"/>
      <w:marTop w:val="0"/>
      <w:marBottom w:val="0"/>
      <w:divBdr>
        <w:top w:val="none" w:sz="0" w:space="0" w:color="auto"/>
        <w:left w:val="none" w:sz="0" w:space="0" w:color="auto"/>
        <w:bottom w:val="none" w:sz="0" w:space="0" w:color="auto"/>
        <w:right w:val="none" w:sz="0" w:space="0" w:color="auto"/>
      </w:divBdr>
    </w:div>
    <w:div w:id="790780375">
      <w:bodyDiv w:val="1"/>
      <w:marLeft w:val="0"/>
      <w:marRight w:val="0"/>
      <w:marTop w:val="0"/>
      <w:marBottom w:val="0"/>
      <w:divBdr>
        <w:top w:val="none" w:sz="0" w:space="0" w:color="auto"/>
        <w:left w:val="none" w:sz="0" w:space="0" w:color="auto"/>
        <w:bottom w:val="none" w:sz="0" w:space="0" w:color="auto"/>
        <w:right w:val="none" w:sz="0" w:space="0" w:color="auto"/>
      </w:divBdr>
    </w:div>
    <w:div w:id="791435958">
      <w:bodyDiv w:val="1"/>
      <w:marLeft w:val="0"/>
      <w:marRight w:val="0"/>
      <w:marTop w:val="0"/>
      <w:marBottom w:val="0"/>
      <w:divBdr>
        <w:top w:val="none" w:sz="0" w:space="0" w:color="auto"/>
        <w:left w:val="none" w:sz="0" w:space="0" w:color="auto"/>
        <w:bottom w:val="none" w:sz="0" w:space="0" w:color="auto"/>
        <w:right w:val="none" w:sz="0" w:space="0" w:color="auto"/>
      </w:divBdr>
    </w:div>
    <w:div w:id="791435976">
      <w:bodyDiv w:val="1"/>
      <w:marLeft w:val="0"/>
      <w:marRight w:val="0"/>
      <w:marTop w:val="0"/>
      <w:marBottom w:val="0"/>
      <w:divBdr>
        <w:top w:val="none" w:sz="0" w:space="0" w:color="auto"/>
        <w:left w:val="none" w:sz="0" w:space="0" w:color="auto"/>
        <w:bottom w:val="none" w:sz="0" w:space="0" w:color="auto"/>
        <w:right w:val="none" w:sz="0" w:space="0" w:color="auto"/>
      </w:divBdr>
    </w:div>
    <w:div w:id="791442220">
      <w:bodyDiv w:val="1"/>
      <w:marLeft w:val="0"/>
      <w:marRight w:val="0"/>
      <w:marTop w:val="0"/>
      <w:marBottom w:val="0"/>
      <w:divBdr>
        <w:top w:val="none" w:sz="0" w:space="0" w:color="auto"/>
        <w:left w:val="none" w:sz="0" w:space="0" w:color="auto"/>
        <w:bottom w:val="none" w:sz="0" w:space="0" w:color="auto"/>
        <w:right w:val="none" w:sz="0" w:space="0" w:color="auto"/>
      </w:divBdr>
    </w:div>
    <w:div w:id="792988688">
      <w:bodyDiv w:val="1"/>
      <w:marLeft w:val="0"/>
      <w:marRight w:val="0"/>
      <w:marTop w:val="0"/>
      <w:marBottom w:val="0"/>
      <w:divBdr>
        <w:top w:val="none" w:sz="0" w:space="0" w:color="auto"/>
        <w:left w:val="none" w:sz="0" w:space="0" w:color="auto"/>
        <w:bottom w:val="none" w:sz="0" w:space="0" w:color="auto"/>
        <w:right w:val="none" w:sz="0" w:space="0" w:color="auto"/>
      </w:divBdr>
    </w:div>
    <w:div w:id="795413011">
      <w:bodyDiv w:val="1"/>
      <w:marLeft w:val="0"/>
      <w:marRight w:val="0"/>
      <w:marTop w:val="0"/>
      <w:marBottom w:val="0"/>
      <w:divBdr>
        <w:top w:val="none" w:sz="0" w:space="0" w:color="auto"/>
        <w:left w:val="none" w:sz="0" w:space="0" w:color="auto"/>
        <w:bottom w:val="none" w:sz="0" w:space="0" w:color="auto"/>
        <w:right w:val="none" w:sz="0" w:space="0" w:color="auto"/>
      </w:divBdr>
    </w:div>
    <w:div w:id="796024210">
      <w:bodyDiv w:val="1"/>
      <w:marLeft w:val="0"/>
      <w:marRight w:val="0"/>
      <w:marTop w:val="0"/>
      <w:marBottom w:val="0"/>
      <w:divBdr>
        <w:top w:val="none" w:sz="0" w:space="0" w:color="auto"/>
        <w:left w:val="none" w:sz="0" w:space="0" w:color="auto"/>
        <w:bottom w:val="none" w:sz="0" w:space="0" w:color="auto"/>
        <w:right w:val="none" w:sz="0" w:space="0" w:color="auto"/>
      </w:divBdr>
    </w:div>
    <w:div w:id="801002958">
      <w:bodyDiv w:val="1"/>
      <w:marLeft w:val="0"/>
      <w:marRight w:val="0"/>
      <w:marTop w:val="0"/>
      <w:marBottom w:val="0"/>
      <w:divBdr>
        <w:top w:val="none" w:sz="0" w:space="0" w:color="auto"/>
        <w:left w:val="none" w:sz="0" w:space="0" w:color="auto"/>
        <w:bottom w:val="none" w:sz="0" w:space="0" w:color="auto"/>
        <w:right w:val="none" w:sz="0" w:space="0" w:color="auto"/>
      </w:divBdr>
    </w:div>
    <w:div w:id="801114603">
      <w:bodyDiv w:val="1"/>
      <w:marLeft w:val="0"/>
      <w:marRight w:val="0"/>
      <w:marTop w:val="0"/>
      <w:marBottom w:val="0"/>
      <w:divBdr>
        <w:top w:val="none" w:sz="0" w:space="0" w:color="auto"/>
        <w:left w:val="none" w:sz="0" w:space="0" w:color="auto"/>
        <w:bottom w:val="none" w:sz="0" w:space="0" w:color="auto"/>
        <w:right w:val="none" w:sz="0" w:space="0" w:color="auto"/>
      </w:divBdr>
    </w:div>
    <w:div w:id="801456987">
      <w:bodyDiv w:val="1"/>
      <w:marLeft w:val="0"/>
      <w:marRight w:val="0"/>
      <w:marTop w:val="0"/>
      <w:marBottom w:val="0"/>
      <w:divBdr>
        <w:top w:val="none" w:sz="0" w:space="0" w:color="auto"/>
        <w:left w:val="none" w:sz="0" w:space="0" w:color="auto"/>
        <w:bottom w:val="none" w:sz="0" w:space="0" w:color="auto"/>
        <w:right w:val="none" w:sz="0" w:space="0" w:color="auto"/>
      </w:divBdr>
    </w:div>
    <w:div w:id="803086136">
      <w:bodyDiv w:val="1"/>
      <w:marLeft w:val="0"/>
      <w:marRight w:val="0"/>
      <w:marTop w:val="0"/>
      <w:marBottom w:val="0"/>
      <w:divBdr>
        <w:top w:val="none" w:sz="0" w:space="0" w:color="auto"/>
        <w:left w:val="none" w:sz="0" w:space="0" w:color="auto"/>
        <w:bottom w:val="none" w:sz="0" w:space="0" w:color="auto"/>
        <w:right w:val="none" w:sz="0" w:space="0" w:color="auto"/>
      </w:divBdr>
    </w:div>
    <w:div w:id="803543195">
      <w:bodyDiv w:val="1"/>
      <w:marLeft w:val="0"/>
      <w:marRight w:val="0"/>
      <w:marTop w:val="0"/>
      <w:marBottom w:val="0"/>
      <w:divBdr>
        <w:top w:val="none" w:sz="0" w:space="0" w:color="auto"/>
        <w:left w:val="none" w:sz="0" w:space="0" w:color="auto"/>
        <w:bottom w:val="none" w:sz="0" w:space="0" w:color="auto"/>
        <w:right w:val="none" w:sz="0" w:space="0" w:color="auto"/>
      </w:divBdr>
    </w:div>
    <w:div w:id="806506585">
      <w:bodyDiv w:val="1"/>
      <w:marLeft w:val="0"/>
      <w:marRight w:val="0"/>
      <w:marTop w:val="0"/>
      <w:marBottom w:val="0"/>
      <w:divBdr>
        <w:top w:val="none" w:sz="0" w:space="0" w:color="auto"/>
        <w:left w:val="none" w:sz="0" w:space="0" w:color="auto"/>
        <w:bottom w:val="none" w:sz="0" w:space="0" w:color="auto"/>
        <w:right w:val="none" w:sz="0" w:space="0" w:color="auto"/>
      </w:divBdr>
    </w:div>
    <w:div w:id="807669049">
      <w:bodyDiv w:val="1"/>
      <w:marLeft w:val="0"/>
      <w:marRight w:val="0"/>
      <w:marTop w:val="0"/>
      <w:marBottom w:val="0"/>
      <w:divBdr>
        <w:top w:val="none" w:sz="0" w:space="0" w:color="auto"/>
        <w:left w:val="none" w:sz="0" w:space="0" w:color="auto"/>
        <w:bottom w:val="none" w:sz="0" w:space="0" w:color="auto"/>
        <w:right w:val="none" w:sz="0" w:space="0" w:color="auto"/>
      </w:divBdr>
    </w:div>
    <w:div w:id="807823596">
      <w:bodyDiv w:val="1"/>
      <w:marLeft w:val="0"/>
      <w:marRight w:val="0"/>
      <w:marTop w:val="0"/>
      <w:marBottom w:val="0"/>
      <w:divBdr>
        <w:top w:val="none" w:sz="0" w:space="0" w:color="auto"/>
        <w:left w:val="none" w:sz="0" w:space="0" w:color="auto"/>
        <w:bottom w:val="none" w:sz="0" w:space="0" w:color="auto"/>
        <w:right w:val="none" w:sz="0" w:space="0" w:color="auto"/>
      </w:divBdr>
    </w:div>
    <w:div w:id="808130032">
      <w:bodyDiv w:val="1"/>
      <w:marLeft w:val="0"/>
      <w:marRight w:val="0"/>
      <w:marTop w:val="0"/>
      <w:marBottom w:val="0"/>
      <w:divBdr>
        <w:top w:val="none" w:sz="0" w:space="0" w:color="auto"/>
        <w:left w:val="none" w:sz="0" w:space="0" w:color="auto"/>
        <w:bottom w:val="none" w:sz="0" w:space="0" w:color="auto"/>
        <w:right w:val="none" w:sz="0" w:space="0" w:color="auto"/>
      </w:divBdr>
    </w:div>
    <w:div w:id="809638191">
      <w:bodyDiv w:val="1"/>
      <w:marLeft w:val="0"/>
      <w:marRight w:val="0"/>
      <w:marTop w:val="0"/>
      <w:marBottom w:val="0"/>
      <w:divBdr>
        <w:top w:val="none" w:sz="0" w:space="0" w:color="auto"/>
        <w:left w:val="none" w:sz="0" w:space="0" w:color="auto"/>
        <w:bottom w:val="none" w:sz="0" w:space="0" w:color="auto"/>
        <w:right w:val="none" w:sz="0" w:space="0" w:color="auto"/>
      </w:divBdr>
    </w:div>
    <w:div w:id="813596058">
      <w:bodyDiv w:val="1"/>
      <w:marLeft w:val="0"/>
      <w:marRight w:val="0"/>
      <w:marTop w:val="0"/>
      <w:marBottom w:val="0"/>
      <w:divBdr>
        <w:top w:val="none" w:sz="0" w:space="0" w:color="auto"/>
        <w:left w:val="none" w:sz="0" w:space="0" w:color="auto"/>
        <w:bottom w:val="none" w:sz="0" w:space="0" w:color="auto"/>
        <w:right w:val="none" w:sz="0" w:space="0" w:color="auto"/>
      </w:divBdr>
    </w:div>
    <w:div w:id="813722350">
      <w:bodyDiv w:val="1"/>
      <w:marLeft w:val="0"/>
      <w:marRight w:val="0"/>
      <w:marTop w:val="0"/>
      <w:marBottom w:val="0"/>
      <w:divBdr>
        <w:top w:val="none" w:sz="0" w:space="0" w:color="auto"/>
        <w:left w:val="none" w:sz="0" w:space="0" w:color="auto"/>
        <w:bottom w:val="none" w:sz="0" w:space="0" w:color="auto"/>
        <w:right w:val="none" w:sz="0" w:space="0" w:color="auto"/>
      </w:divBdr>
    </w:div>
    <w:div w:id="814370379">
      <w:bodyDiv w:val="1"/>
      <w:marLeft w:val="0"/>
      <w:marRight w:val="0"/>
      <w:marTop w:val="0"/>
      <w:marBottom w:val="0"/>
      <w:divBdr>
        <w:top w:val="none" w:sz="0" w:space="0" w:color="auto"/>
        <w:left w:val="none" w:sz="0" w:space="0" w:color="auto"/>
        <w:bottom w:val="none" w:sz="0" w:space="0" w:color="auto"/>
        <w:right w:val="none" w:sz="0" w:space="0" w:color="auto"/>
      </w:divBdr>
    </w:div>
    <w:div w:id="815806195">
      <w:bodyDiv w:val="1"/>
      <w:marLeft w:val="0"/>
      <w:marRight w:val="0"/>
      <w:marTop w:val="0"/>
      <w:marBottom w:val="0"/>
      <w:divBdr>
        <w:top w:val="none" w:sz="0" w:space="0" w:color="auto"/>
        <w:left w:val="none" w:sz="0" w:space="0" w:color="auto"/>
        <w:bottom w:val="none" w:sz="0" w:space="0" w:color="auto"/>
        <w:right w:val="none" w:sz="0" w:space="0" w:color="auto"/>
      </w:divBdr>
    </w:div>
    <w:div w:id="816848515">
      <w:bodyDiv w:val="1"/>
      <w:marLeft w:val="0"/>
      <w:marRight w:val="0"/>
      <w:marTop w:val="0"/>
      <w:marBottom w:val="0"/>
      <w:divBdr>
        <w:top w:val="none" w:sz="0" w:space="0" w:color="auto"/>
        <w:left w:val="none" w:sz="0" w:space="0" w:color="auto"/>
        <w:bottom w:val="none" w:sz="0" w:space="0" w:color="auto"/>
        <w:right w:val="none" w:sz="0" w:space="0" w:color="auto"/>
      </w:divBdr>
    </w:div>
    <w:div w:id="818881492">
      <w:bodyDiv w:val="1"/>
      <w:marLeft w:val="0"/>
      <w:marRight w:val="0"/>
      <w:marTop w:val="0"/>
      <w:marBottom w:val="0"/>
      <w:divBdr>
        <w:top w:val="none" w:sz="0" w:space="0" w:color="auto"/>
        <w:left w:val="none" w:sz="0" w:space="0" w:color="auto"/>
        <w:bottom w:val="none" w:sz="0" w:space="0" w:color="auto"/>
        <w:right w:val="none" w:sz="0" w:space="0" w:color="auto"/>
      </w:divBdr>
    </w:div>
    <w:div w:id="820777052">
      <w:bodyDiv w:val="1"/>
      <w:marLeft w:val="0"/>
      <w:marRight w:val="0"/>
      <w:marTop w:val="0"/>
      <w:marBottom w:val="0"/>
      <w:divBdr>
        <w:top w:val="none" w:sz="0" w:space="0" w:color="auto"/>
        <w:left w:val="none" w:sz="0" w:space="0" w:color="auto"/>
        <w:bottom w:val="none" w:sz="0" w:space="0" w:color="auto"/>
        <w:right w:val="none" w:sz="0" w:space="0" w:color="auto"/>
      </w:divBdr>
    </w:div>
    <w:div w:id="821390066">
      <w:bodyDiv w:val="1"/>
      <w:marLeft w:val="0"/>
      <w:marRight w:val="0"/>
      <w:marTop w:val="0"/>
      <w:marBottom w:val="0"/>
      <w:divBdr>
        <w:top w:val="none" w:sz="0" w:space="0" w:color="auto"/>
        <w:left w:val="none" w:sz="0" w:space="0" w:color="auto"/>
        <w:bottom w:val="none" w:sz="0" w:space="0" w:color="auto"/>
        <w:right w:val="none" w:sz="0" w:space="0" w:color="auto"/>
      </w:divBdr>
    </w:div>
    <w:div w:id="822159446">
      <w:bodyDiv w:val="1"/>
      <w:marLeft w:val="0"/>
      <w:marRight w:val="0"/>
      <w:marTop w:val="0"/>
      <w:marBottom w:val="0"/>
      <w:divBdr>
        <w:top w:val="none" w:sz="0" w:space="0" w:color="auto"/>
        <w:left w:val="none" w:sz="0" w:space="0" w:color="auto"/>
        <w:bottom w:val="none" w:sz="0" w:space="0" w:color="auto"/>
        <w:right w:val="none" w:sz="0" w:space="0" w:color="auto"/>
      </w:divBdr>
    </w:div>
    <w:div w:id="823741043">
      <w:bodyDiv w:val="1"/>
      <w:marLeft w:val="0"/>
      <w:marRight w:val="0"/>
      <w:marTop w:val="0"/>
      <w:marBottom w:val="0"/>
      <w:divBdr>
        <w:top w:val="none" w:sz="0" w:space="0" w:color="auto"/>
        <w:left w:val="none" w:sz="0" w:space="0" w:color="auto"/>
        <w:bottom w:val="none" w:sz="0" w:space="0" w:color="auto"/>
        <w:right w:val="none" w:sz="0" w:space="0" w:color="auto"/>
      </w:divBdr>
    </w:div>
    <w:div w:id="827670792">
      <w:bodyDiv w:val="1"/>
      <w:marLeft w:val="0"/>
      <w:marRight w:val="0"/>
      <w:marTop w:val="0"/>
      <w:marBottom w:val="0"/>
      <w:divBdr>
        <w:top w:val="none" w:sz="0" w:space="0" w:color="auto"/>
        <w:left w:val="none" w:sz="0" w:space="0" w:color="auto"/>
        <w:bottom w:val="none" w:sz="0" w:space="0" w:color="auto"/>
        <w:right w:val="none" w:sz="0" w:space="0" w:color="auto"/>
      </w:divBdr>
    </w:div>
    <w:div w:id="837233438">
      <w:bodyDiv w:val="1"/>
      <w:marLeft w:val="0"/>
      <w:marRight w:val="0"/>
      <w:marTop w:val="0"/>
      <w:marBottom w:val="0"/>
      <w:divBdr>
        <w:top w:val="none" w:sz="0" w:space="0" w:color="auto"/>
        <w:left w:val="none" w:sz="0" w:space="0" w:color="auto"/>
        <w:bottom w:val="none" w:sz="0" w:space="0" w:color="auto"/>
        <w:right w:val="none" w:sz="0" w:space="0" w:color="auto"/>
      </w:divBdr>
    </w:div>
    <w:div w:id="837812912">
      <w:bodyDiv w:val="1"/>
      <w:marLeft w:val="0"/>
      <w:marRight w:val="0"/>
      <w:marTop w:val="0"/>
      <w:marBottom w:val="0"/>
      <w:divBdr>
        <w:top w:val="none" w:sz="0" w:space="0" w:color="auto"/>
        <w:left w:val="none" w:sz="0" w:space="0" w:color="auto"/>
        <w:bottom w:val="none" w:sz="0" w:space="0" w:color="auto"/>
        <w:right w:val="none" w:sz="0" w:space="0" w:color="auto"/>
      </w:divBdr>
    </w:div>
    <w:div w:id="841555190">
      <w:bodyDiv w:val="1"/>
      <w:marLeft w:val="0"/>
      <w:marRight w:val="0"/>
      <w:marTop w:val="0"/>
      <w:marBottom w:val="0"/>
      <w:divBdr>
        <w:top w:val="none" w:sz="0" w:space="0" w:color="auto"/>
        <w:left w:val="none" w:sz="0" w:space="0" w:color="auto"/>
        <w:bottom w:val="none" w:sz="0" w:space="0" w:color="auto"/>
        <w:right w:val="none" w:sz="0" w:space="0" w:color="auto"/>
      </w:divBdr>
    </w:div>
    <w:div w:id="843132209">
      <w:bodyDiv w:val="1"/>
      <w:marLeft w:val="0"/>
      <w:marRight w:val="0"/>
      <w:marTop w:val="0"/>
      <w:marBottom w:val="0"/>
      <w:divBdr>
        <w:top w:val="none" w:sz="0" w:space="0" w:color="auto"/>
        <w:left w:val="none" w:sz="0" w:space="0" w:color="auto"/>
        <w:bottom w:val="none" w:sz="0" w:space="0" w:color="auto"/>
        <w:right w:val="none" w:sz="0" w:space="0" w:color="auto"/>
      </w:divBdr>
    </w:div>
    <w:div w:id="843742371">
      <w:bodyDiv w:val="1"/>
      <w:marLeft w:val="0"/>
      <w:marRight w:val="0"/>
      <w:marTop w:val="0"/>
      <w:marBottom w:val="0"/>
      <w:divBdr>
        <w:top w:val="none" w:sz="0" w:space="0" w:color="auto"/>
        <w:left w:val="none" w:sz="0" w:space="0" w:color="auto"/>
        <w:bottom w:val="none" w:sz="0" w:space="0" w:color="auto"/>
        <w:right w:val="none" w:sz="0" w:space="0" w:color="auto"/>
      </w:divBdr>
    </w:div>
    <w:div w:id="850072084">
      <w:bodyDiv w:val="1"/>
      <w:marLeft w:val="0"/>
      <w:marRight w:val="0"/>
      <w:marTop w:val="0"/>
      <w:marBottom w:val="0"/>
      <w:divBdr>
        <w:top w:val="none" w:sz="0" w:space="0" w:color="auto"/>
        <w:left w:val="none" w:sz="0" w:space="0" w:color="auto"/>
        <w:bottom w:val="none" w:sz="0" w:space="0" w:color="auto"/>
        <w:right w:val="none" w:sz="0" w:space="0" w:color="auto"/>
      </w:divBdr>
    </w:div>
    <w:div w:id="851455864">
      <w:bodyDiv w:val="1"/>
      <w:marLeft w:val="0"/>
      <w:marRight w:val="0"/>
      <w:marTop w:val="0"/>
      <w:marBottom w:val="0"/>
      <w:divBdr>
        <w:top w:val="none" w:sz="0" w:space="0" w:color="auto"/>
        <w:left w:val="none" w:sz="0" w:space="0" w:color="auto"/>
        <w:bottom w:val="none" w:sz="0" w:space="0" w:color="auto"/>
        <w:right w:val="none" w:sz="0" w:space="0" w:color="auto"/>
      </w:divBdr>
    </w:div>
    <w:div w:id="851797191">
      <w:bodyDiv w:val="1"/>
      <w:marLeft w:val="0"/>
      <w:marRight w:val="0"/>
      <w:marTop w:val="0"/>
      <w:marBottom w:val="0"/>
      <w:divBdr>
        <w:top w:val="none" w:sz="0" w:space="0" w:color="auto"/>
        <w:left w:val="none" w:sz="0" w:space="0" w:color="auto"/>
        <w:bottom w:val="none" w:sz="0" w:space="0" w:color="auto"/>
        <w:right w:val="none" w:sz="0" w:space="0" w:color="auto"/>
      </w:divBdr>
    </w:div>
    <w:div w:id="857158169">
      <w:bodyDiv w:val="1"/>
      <w:marLeft w:val="0"/>
      <w:marRight w:val="0"/>
      <w:marTop w:val="0"/>
      <w:marBottom w:val="0"/>
      <w:divBdr>
        <w:top w:val="none" w:sz="0" w:space="0" w:color="auto"/>
        <w:left w:val="none" w:sz="0" w:space="0" w:color="auto"/>
        <w:bottom w:val="none" w:sz="0" w:space="0" w:color="auto"/>
        <w:right w:val="none" w:sz="0" w:space="0" w:color="auto"/>
      </w:divBdr>
    </w:div>
    <w:div w:id="860169670">
      <w:bodyDiv w:val="1"/>
      <w:marLeft w:val="0"/>
      <w:marRight w:val="0"/>
      <w:marTop w:val="0"/>
      <w:marBottom w:val="0"/>
      <w:divBdr>
        <w:top w:val="none" w:sz="0" w:space="0" w:color="auto"/>
        <w:left w:val="none" w:sz="0" w:space="0" w:color="auto"/>
        <w:bottom w:val="none" w:sz="0" w:space="0" w:color="auto"/>
        <w:right w:val="none" w:sz="0" w:space="0" w:color="auto"/>
      </w:divBdr>
      <w:divsChild>
        <w:div w:id="146020952">
          <w:marLeft w:val="0"/>
          <w:marRight w:val="0"/>
          <w:marTop w:val="0"/>
          <w:marBottom w:val="0"/>
          <w:divBdr>
            <w:top w:val="none" w:sz="0" w:space="0" w:color="auto"/>
            <w:left w:val="none" w:sz="0" w:space="0" w:color="auto"/>
            <w:bottom w:val="none" w:sz="0" w:space="0" w:color="auto"/>
            <w:right w:val="none" w:sz="0" w:space="0" w:color="auto"/>
          </w:divBdr>
        </w:div>
        <w:div w:id="956763086">
          <w:marLeft w:val="0"/>
          <w:marRight w:val="0"/>
          <w:marTop w:val="0"/>
          <w:marBottom w:val="0"/>
          <w:divBdr>
            <w:top w:val="none" w:sz="0" w:space="0" w:color="auto"/>
            <w:left w:val="none" w:sz="0" w:space="0" w:color="auto"/>
            <w:bottom w:val="none" w:sz="0" w:space="0" w:color="auto"/>
            <w:right w:val="none" w:sz="0" w:space="0" w:color="auto"/>
          </w:divBdr>
        </w:div>
        <w:div w:id="1095859961">
          <w:marLeft w:val="0"/>
          <w:marRight w:val="0"/>
          <w:marTop w:val="0"/>
          <w:marBottom w:val="0"/>
          <w:divBdr>
            <w:top w:val="none" w:sz="0" w:space="0" w:color="auto"/>
            <w:left w:val="none" w:sz="0" w:space="0" w:color="auto"/>
            <w:bottom w:val="none" w:sz="0" w:space="0" w:color="auto"/>
            <w:right w:val="none" w:sz="0" w:space="0" w:color="auto"/>
          </w:divBdr>
        </w:div>
        <w:div w:id="1614970702">
          <w:marLeft w:val="0"/>
          <w:marRight w:val="0"/>
          <w:marTop w:val="0"/>
          <w:marBottom w:val="0"/>
          <w:divBdr>
            <w:top w:val="none" w:sz="0" w:space="0" w:color="auto"/>
            <w:left w:val="none" w:sz="0" w:space="0" w:color="auto"/>
            <w:bottom w:val="none" w:sz="0" w:space="0" w:color="auto"/>
            <w:right w:val="none" w:sz="0" w:space="0" w:color="auto"/>
          </w:divBdr>
        </w:div>
      </w:divsChild>
    </w:div>
    <w:div w:id="860170075">
      <w:bodyDiv w:val="1"/>
      <w:marLeft w:val="0"/>
      <w:marRight w:val="0"/>
      <w:marTop w:val="0"/>
      <w:marBottom w:val="0"/>
      <w:divBdr>
        <w:top w:val="none" w:sz="0" w:space="0" w:color="auto"/>
        <w:left w:val="none" w:sz="0" w:space="0" w:color="auto"/>
        <w:bottom w:val="none" w:sz="0" w:space="0" w:color="auto"/>
        <w:right w:val="none" w:sz="0" w:space="0" w:color="auto"/>
      </w:divBdr>
    </w:div>
    <w:div w:id="865102079">
      <w:bodyDiv w:val="1"/>
      <w:marLeft w:val="0"/>
      <w:marRight w:val="0"/>
      <w:marTop w:val="0"/>
      <w:marBottom w:val="0"/>
      <w:divBdr>
        <w:top w:val="none" w:sz="0" w:space="0" w:color="auto"/>
        <w:left w:val="none" w:sz="0" w:space="0" w:color="auto"/>
        <w:bottom w:val="none" w:sz="0" w:space="0" w:color="auto"/>
        <w:right w:val="none" w:sz="0" w:space="0" w:color="auto"/>
      </w:divBdr>
    </w:div>
    <w:div w:id="866017960">
      <w:bodyDiv w:val="1"/>
      <w:marLeft w:val="0"/>
      <w:marRight w:val="0"/>
      <w:marTop w:val="0"/>
      <w:marBottom w:val="0"/>
      <w:divBdr>
        <w:top w:val="none" w:sz="0" w:space="0" w:color="auto"/>
        <w:left w:val="none" w:sz="0" w:space="0" w:color="auto"/>
        <w:bottom w:val="none" w:sz="0" w:space="0" w:color="auto"/>
        <w:right w:val="none" w:sz="0" w:space="0" w:color="auto"/>
      </w:divBdr>
    </w:div>
    <w:div w:id="868957272">
      <w:bodyDiv w:val="1"/>
      <w:marLeft w:val="0"/>
      <w:marRight w:val="0"/>
      <w:marTop w:val="0"/>
      <w:marBottom w:val="0"/>
      <w:divBdr>
        <w:top w:val="none" w:sz="0" w:space="0" w:color="auto"/>
        <w:left w:val="none" w:sz="0" w:space="0" w:color="auto"/>
        <w:bottom w:val="none" w:sz="0" w:space="0" w:color="auto"/>
        <w:right w:val="none" w:sz="0" w:space="0" w:color="auto"/>
      </w:divBdr>
    </w:div>
    <w:div w:id="871571049">
      <w:bodyDiv w:val="1"/>
      <w:marLeft w:val="0"/>
      <w:marRight w:val="0"/>
      <w:marTop w:val="0"/>
      <w:marBottom w:val="0"/>
      <w:divBdr>
        <w:top w:val="none" w:sz="0" w:space="0" w:color="auto"/>
        <w:left w:val="none" w:sz="0" w:space="0" w:color="auto"/>
        <w:bottom w:val="none" w:sz="0" w:space="0" w:color="auto"/>
        <w:right w:val="none" w:sz="0" w:space="0" w:color="auto"/>
      </w:divBdr>
    </w:div>
    <w:div w:id="872110735">
      <w:bodyDiv w:val="1"/>
      <w:marLeft w:val="0"/>
      <w:marRight w:val="0"/>
      <w:marTop w:val="0"/>
      <w:marBottom w:val="0"/>
      <w:divBdr>
        <w:top w:val="none" w:sz="0" w:space="0" w:color="auto"/>
        <w:left w:val="none" w:sz="0" w:space="0" w:color="auto"/>
        <w:bottom w:val="none" w:sz="0" w:space="0" w:color="auto"/>
        <w:right w:val="none" w:sz="0" w:space="0" w:color="auto"/>
      </w:divBdr>
    </w:div>
    <w:div w:id="872423449">
      <w:bodyDiv w:val="1"/>
      <w:marLeft w:val="0"/>
      <w:marRight w:val="0"/>
      <w:marTop w:val="0"/>
      <w:marBottom w:val="0"/>
      <w:divBdr>
        <w:top w:val="none" w:sz="0" w:space="0" w:color="auto"/>
        <w:left w:val="none" w:sz="0" w:space="0" w:color="auto"/>
        <w:bottom w:val="none" w:sz="0" w:space="0" w:color="auto"/>
        <w:right w:val="none" w:sz="0" w:space="0" w:color="auto"/>
      </w:divBdr>
    </w:div>
    <w:div w:id="876626606">
      <w:bodyDiv w:val="1"/>
      <w:marLeft w:val="0"/>
      <w:marRight w:val="0"/>
      <w:marTop w:val="0"/>
      <w:marBottom w:val="0"/>
      <w:divBdr>
        <w:top w:val="none" w:sz="0" w:space="0" w:color="auto"/>
        <w:left w:val="none" w:sz="0" w:space="0" w:color="auto"/>
        <w:bottom w:val="none" w:sz="0" w:space="0" w:color="auto"/>
        <w:right w:val="none" w:sz="0" w:space="0" w:color="auto"/>
      </w:divBdr>
    </w:div>
    <w:div w:id="878932605">
      <w:bodyDiv w:val="1"/>
      <w:marLeft w:val="0"/>
      <w:marRight w:val="0"/>
      <w:marTop w:val="0"/>
      <w:marBottom w:val="0"/>
      <w:divBdr>
        <w:top w:val="none" w:sz="0" w:space="0" w:color="auto"/>
        <w:left w:val="none" w:sz="0" w:space="0" w:color="auto"/>
        <w:bottom w:val="none" w:sz="0" w:space="0" w:color="auto"/>
        <w:right w:val="none" w:sz="0" w:space="0" w:color="auto"/>
      </w:divBdr>
    </w:div>
    <w:div w:id="879559486">
      <w:bodyDiv w:val="1"/>
      <w:marLeft w:val="0"/>
      <w:marRight w:val="0"/>
      <w:marTop w:val="0"/>
      <w:marBottom w:val="0"/>
      <w:divBdr>
        <w:top w:val="none" w:sz="0" w:space="0" w:color="auto"/>
        <w:left w:val="none" w:sz="0" w:space="0" w:color="auto"/>
        <w:bottom w:val="none" w:sz="0" w:space="0" w:color="auto"/>
        <w:right w:val="none" w:sz="0" w:space="0" w:color="auto"/>
      </w:divBdr>
    </w:div>
    <w:div w:id="880168414">
      <w:bodyDiv w:val="1"/>
      <w:marLeft w:val="0"/>
      <w:marRight w:val="0"/>
      <w:marTop w:val="0"/>
      <w:marBottom w:val="0"/>
      <w:divBdr>
        <w:top w:val="none" w:sz="0" w:space="0" w:color="auto"/>
        <w:left w:val="none" w:sz="0" w:space="0" w:color="auto"/>
        <w:bottom w:val="none" w:sz="0" w:space="0" w:color="auto"/>
        <w:right w:val="none" w:sz="0" w:space="0" w:color="auto"/>
      </w:divBdr>
    </w:div>
    <w:div w:id="881792505">
      <w:bodyDiv w:val="1"/>
      <w:marLeft w:val="0"/>
      <w:marRight w:val="0"/>
      <w:marTop w:val="0"/>
      <w:marBottom w:val="0"/>
      <w:divBdr>
        <w:top w:val="none" w:sz="0" w:space="0" w:color="auto"/>
        <w:left w:val="none" w:sz="0" w:space="0" w:color="auto"/>
        <w:bottom w:val="none" w:sz="0" w:space="0" w:color="auto"/>
        <w:right w:val="none" w:sz="0" w:space="0" w:color="auto"/>
      </w:divBdr>
    </w:div>
    <w:div w:id="883754204">
      <w:bodyDiv w:val="1"/>
      <w:marLeft w:val="0"/>
      <w:marRight w:val="0"/>
      <w:marTop w:val="0"/>
      <w:marBottom w:val="0"/>
      <w:divBdr>
        <w:top w:val="none" w:sz="0" w:space="0" w:color="auto"/>
        <w:left w:val="none" w:sz="0" w:space="0" w:color="auto"/>
        <w:bottom w:val="none" w:sz="0" w:space="0" w:color="auto"/>
        <w:right w:val="none" w:sz="0" w:space="0" w:color="auto"/>
      </w:divBdr>
    </w:div>
    <w:div w:id="887648328">
      <w:bodyDiv w:val="1"/>
      <w:marLeft w:val="0"/>
      <w:marRight w:val="0"/>
      <w:marTop w:val="0"/>
      <w:marBottom w:val="0"/>
      <w:divBdr>
        <w:top w:val="none" w:sz="0" w:space="0" w:color="auto"/>
        <w:left w:val="none" w:sz="0" w:space="0" w:color="auto"/>
        <w:bottom w:val="none" w:sz="0" w:space="0" w:color="auto"/>
        <w:right w:val="none" w:sz="0" w:space="0" w:color="auto"/>
      </w:divBdr>
    </w:div>
    <w:div w:id="889607173">
      <w:bodyDiv w:val="1"/>
      <w:marLeft w:val="0"/>
      <w:marRight w:val="0"/>
      <w:marTop w:val="0"/>
      <w:marBottom w:val="0"/>
      <w:divBdr>
        <w:top w:val="none" w:sz="0" w:space="0" w:color="auto"/>
        <w:left w:val="none" w:sz="0" w:space="0" w:color="auto"/>
        <w:bottom w:val="none" w:sz="0" w:space="0" w:color="auto"/>
        <w:right w:val="none" w:sz="0" w:space="0" w:color="auto"/>
      </w:divBdr>
    </w:div>
    <w:div w:id="891815958">
      <w:bodyDiv w:val="1"/>
      <w:marLeft w:val="0"/>
      <w:marRight w:val="0"/>
      <w:marTop w:val="0"/>
      <w:marBottom w:val="0"/>
      <w:divBdr>
        <w:top w:val="none" w:sz="0" w:space="0" w:color="auto"/>
        <w:left w:val="none" w:sz="0" w:space="0" w:color="auto"/>
        <w:bottom w:val="none" w:sz="0" w:space="0" w:color="auto"/>
        <w:right w:val="none" w:sz="0" w:space="0" w:color="auto"/>
      </w:divBdr>
    </w:div>
    <w:div w:id="895699133">
      <w:bodyDiv w:val="1"/>
      <w:marLeft w:val="0"/>
      <w:marRight w:val="0"/>
      <w:marTop w:val="0"/>
      <w:marBottom w:val="0"/>
      <w:divBdr>
        <w:top w:val="none" w:sz="0" w:space="0" w:color="auto"/>
        <w:left w:val="none" w:sz="0" w:space="0" w:color="auto"/>
        <w:bottom w:val="none" w:sz="0" w:space="0" w:color="auto"/>
        <w:right w:val="none" w:sz="0" w:space="0" w:color="auto"/>
      </w:divBdr>
    </w:div>
    <w:div w:id="895966549">
      <w:bodyDiv w:val="1"/>
      <w:marLeft w:val="0"/>
      <w:marRight w:val="0"/>
      <w:marTop w:val="0"/>
      <w:marBottom w:val="0"/>
      <w:divBdr>
        <w:top w:val="none" w:sz="0" w:space="0" w:color="auto"/>
        <w:left w:val="none" w:sz="0" w:space="0" w:color="auto"/>
        <w:bottom w:val="none" w:sz="0" w:space="0" w:color="auto"/>
        <w:right w:val="none" w:sz="0" w:space="0" w:color="auto"/>
      </w:divBdr>
    </w:div>
    <w:div w:id="896746409">
      <w:bodyDiv w:val="1"/>
      <w:marLeft w:val="0"/>
      <w:marRight w:val="0"/>
      <w:marTop w:val="0"/>
      <w:marBottom w:val="0"/>
      <w:divBdr>
        <w:top w:val="none" w:sz="0" w:space="0" w:color="auto"/>
        <w:left w:val="none" w:sz="0" w:space="0" w:color="auto"/>
        <w:bottom w:val="none" w:sz="0" w:space="0" w:color="auto"/>
        <w:right w:val="none" w:sz="0" w:space="0" w:color="auto"/>
      </w:divBdr>
    </w:div>
    <w:div w:id="896819195">
      <w:bodyDiv w:val="1"/>
      <w:marLeft w:val="0"/>
      <w:marRight w:val="0"/>
      <w:marTop w:val="0"/>
      <w:marBottom w:val="0"/>
      <w:divBdr>
        <w:top w:val="none" w:sz="0" w:space="0" w:color="auto"/>
        <w:left w:val="none" w:sz="0" w:space="0" w:color="auto"/>
        <w:bottom w:val="none" w:sz="0" w:space="0" w:color="auto"/>
        <w:right w:val="none" w:sz="0" w:space="0" w:color="auto"/>
      </w:divBdr>
    </w:div>
    <w:div w:id="898325921">
      <w:bodyDiv w:val="1"/>
      <w:marLeft w:val="0"/>
      <w:marRight w:val="0"/>
      <w:marTop w:val="0"/>
      <w:marBottom w:val="0"/>
      <w:divBdr>
        <w:top w:val="none" w:sz="0" w:space="0" w:color="auto"/>
        <w:left w:val="none" w:sz="0" w:space="0" w:color="auto"/>
        <w:bottom w:val="none" w:sz="0" w:space="0" w:color="auto"/>
        <w:right w:val="none" w:sz="0" w:space="0" w:color="auto"/>
      </w:divBdr>
    </w:div>
    <w:div w:id="900485646">
      <w:bodyDiv w:val="1"/>
      <w:marLeft w:val="0"/>
      <w:marRight w:val="0"/>
      <w:marTop w:val="0"/>
      <w:marBottom w:val="0"/>
      <w:divBdr>
        <w:top w:val="none" w:sz="0" w:space="0" w:color="auto"/>
        <w:left w:val="none" w:sz="0" w:space="0" w:color="auto"/>
        <w:bottom w:val="none" w:sz="0" w:space="0" w:color="auto"/>
        <w:right w:val="none" w:sz="0" w:space="0" w:color="auto"/>
      </w:divBdr>
    </w:div>
    <w:div w:id="900675231">
      <w:bodyDiv w:val="1"/>
      <w:marLeft w:val="0"/>
      <w:marRight w:val="0"/>
      <w:marTop w:val="0"/>
      <w:marBottom w:val="0"/>
      <w:divBdr>
        <w:top w:val="none" w:sz="0" w:space="0" w:color="auto"/>
        <w:left w:val="none" w:sz="0" w:space="0" w:color="auto"/>
        <w:bottom w:val="none" w:sz="0" w:space="0" w:color="auto"/>
        <w:right w:val="none" w:sz="0" w:space="0" w:color="auto"/>
      </w:divBdr>
    </w:div>
    <w:div w:id="901403216">
      <w:bodyDiv w:val="1"/>
      <w:marLeft w:val="0"/>
      <w:marRight w:val="0"/>
      <w:marTop w:val="0"/>
      <w:marBottom w:val="0"/>
      <w:divBdr>
        <w:top w:val="none" w:sz="0" w:space="0" w:color="auto"/>
        <w:left w:val="none" w:sz="0" w:space="0" w:color="auto"/>
        <w:bottom w:val="none" w:sz="0" w:space="0" w:color="auto"/>
        <w:right w:val="none" w:sz="0" w:space="0" w:color="auto"/>
      </w:divBdr>
    </w:div>
    <w:div w:id="904073403">
      <w:bodyDiv w:val="1"/>
      <w:marLeft w:val="0"/>
      <w:marRight w:val="0"/>
      <w:marTop w:val="0"/>
      <w:marBottom w:val="0"/>
      <w:divBdr>
        <w:top w:val="none" w:sz="0" w:space="0" w:color="auto"/>
        <w:left w:val="none" w:sz="0" w:space="0" w:color="auto"/>
        <w:bottom w:val="none" w:sz="0" w:space="0" w:color="auto"/>
        <w:right w:val="none" w:sz="0" w:space="0" w:color="auto"/>
      </w:divBdr>
    </w:div>
    <w:div w:id="906577420">
      <w:bodyDiv w:val="1"/>
      <w:marLeft w:val="0"/>
      <w:marRight w:val="0"/>
      <w:marTop w:val="0"/>
      <w:marBottom w:val="0"/>
      <w:divBdr>
        <w:top w:val="none" w:sz="0" w:space="0" w:color="auto"/>
        <w:left w:val="none" w:sz="0" w:space="0" w:color="auto"/>
        <w:bottom w:val="none" w:sz="0" w:space="0" w:color="auto"/>
        <w:right w:val="none" w:sz="0" w:space="0" w:color="auto"/>
      </w:divBdr>
    </w:div>
    <w:div w:id="909199116">
      <w:bodyDiv w:val="1"/>
      <w:marLeft w:val="0"/>
      <w:marRight w:val="0"/>
      <w:marTop w:val="0"/>
      <w:marBottom w:val="0"/>
      <w:divBdr>
        <w:top w:val="none" w:sz="0" w:space="0" w:color="auto"/>
        <w:left w:val="none" w:sz="0" w:space="0" w:color="auto"/>
        <w:bottom w:val="none" w:sz="0" w:space="0" w:color="auto"/>
        <w:right w:val="none" w:sz="0" w:space="0" w:color="auto"/>
      </w:divBdr>
    </w:div>
    <w:div w:id="911351908">
      <w:bodyDiv w:val="1"/>
      <w:marLeft w:val="0"/>
      <w:marRight w:val="0"/>
      <w:marTop w:val="0"/>
      <w:marBottom w:val="0"/>
      <w:divBdr>
        <w:top w:val="none" w:sz="0" w:space="0" w:color="auto"/>
        <w:left w:val="none" w:sz="0" w:space="0" w:color="auto"/>
        <w:bottom w:val="none" w:sz="0" w:space="0" w:color="auto"/>
        <w:right w:val="none" w:sz="0" w:space="0" w:color="auto"/>
      </w:divBdr>
    </w:div>
    <w:div w:id="914126805">
      <w:bodyDiv w:val="1"/>
      <w:marLeft w:val="0"/>
      <w:marRight w:val="0"/>
      <w:marTop w:val="0"/>
      <w:marBottom w:val="0"/>
      <w:divBdr>
        <w:top w:val="none" w:sz="0" w:space="0" w:color="auto"/>
        <w:left w:val="none" w:sz="0" w:space="0" w:color="auto"/>
        <w:bottom w:val="none" w:sz="0" w:space="0" w:color="auto"/>
        <w:right w:val="none" w:sz="0" w:space="0" w:color="auto"/>
      </w:divBdr>
    </w:div>
    <w:div w:id="917010576">
      <w:bodyDiv w:val="1"/>
      <w:marLeft w:val="0"/>
      <w:marRight w:val="0"/>
      <w:marTop w:val="0"/>
      <w:marBottom w:val="0"/>
      <w:divBdr>
        <w:top w:val="none" w:sz="0" w:space="0" w:color="auto"/>
        <w:left w:val="none" w:sz="0" w:space="0" w:color="auto"/>
        <w:bottom w:val="none" w:sz="0" w:space="0" w:color="auto"/>
        <w:right w:val="none" w:sz="0" w:space="0" w:color="auto"/>
      </w:divBdr>
    </w:div>
    <w:div w:id="917640790">
      <w:bodyDiv w:val="1"/>
      <w:marLeft w:val="0"/>
      <w:marRight w:val="0"/>
      <w:marTop w:val="0"/>
      <w:marBottom w:val="0"/>
      <w:divBdr>
        <w:top w:val="none" w:sz="0" w:space="0" w:color="auto"/>
        <w:left w:val="none" w:sz="0" w:space="0" w:color="auto"/>
        <w:bottom w:val="none" w:sz="0" w:space="0" w:color="auto"/>
        <w:right w:val="none" w:sz="0" w:space="0" w:color="auto"/>
      </w:divBdr>
    </w:div>
    <w:div w:id="918708951">
      <w:bodyDiv w:val="1"/>
      <w:marLeft w:val="0"/>
      <w:marRight w:val="0"/>
      <w:marTop w:val="0"/>
      <w:marBottom w:val="0"/>
      <w:divBdr>
        <w:top w:val="none" w:sz="0" w:space="0" w:color="auto"/>
        <w:left w:val="none" w:sz="0" w:space="0" w:color="auto"/>
        <w:bottom w:val="none" w:sz="0" w:space="0" w:color="auto"/>
        <w:right w:val="none" w:sz="0" w:space="0" w:color="auto"/>
      </w:divBdr>
    </w:div>
    <w:div w:id="920799480">
      <w:bodyDiv w:val="1"/>
      <w:marLeft w:val="0"/>
      <w:marRight w:val="0"/>
      <w:marTop w:val="0"/>
      <w:marBottom w:val="0"/>
      <w:divBdr>
        <w:top w:val="none" w:sz="0" w:space="0" w:color="auto"/>
        <w:left w:val="none" w:sz="0" w:space="0" w:color="auto"/>
        <w:bottom w:val="none" w:sz="0" w:space="0" w:color="auto"/>
        <w:right w:val="none" w:sz="0" w:space="0" w:color="auto"/>
      </w:divBdr>
    </w:div>
    <w:div w:id="921255761">
      <w:bodyDiv w:val="1"/>
      <w:marLeft w:val="0"/>
      <w:marRight w:val="0"/>
      <w:marTop w:val="0"/>
      <w:marBottom w:val="0"/>
      <w:divBdr>
        <w:top w:val="none" w:sz="0" w:space="0" w:color="auto"/>
        <w:left w:val="none" w:sz="0" w:space="0" w:color="auto"/>
        <w:bottom w:val="none" w:sz="0" w:space="0" w:color="auto"/>
        <w:right w:val="none" w:sz="0" w:space="0" w:color="auto"/>
      </w:divBdr>
    </w:div>
    <w:div w:id="922295423">
      <w:bodyDiv w:val="1"/>
      <w:marLeft w:val="0"/>
      <w:marRight w:val="0"/>
      <w:marTop w:val="0"/>
      <w:marBottom w:val="0"/>
      <w:divBdr>
        <w:top w:val="none" w:sz="0" w:space="0" w:color="auto"/>
        <w:left w:val="none" w:sz="0" w:space="0" w:color="auto"/>
        <w:bottom w:val="none" w:sz="0" w:space="0" w:color="auto"/>
        <w:right w:val="none" w:sz="0" w:space="0" w:color="auto"/>
      </w:divBdr>
      <w:divsChild>
        <w:div w:id="190074688">
          <w:marLeft w:val="0"/>
          <w:marRight w:val="0"/>
          <w:marTop w:val="15"/>
          <w:marBottom w:val="0"/>
          <w:divBdr>
            <w:top w:val="none" w:sz="0" w:space="0" w:color="auto"/>
            <w:left w:val="none" w:sz="0" w:space="0" w:color="auto"/>
            <w:bottom w:val="none" w:sz="0" w:space="0" w:color="auto"/>
            <w:right w:val="none" w:sz="0" w:space="0" w:color="auto"/>
          </w:divBdr>
          <w:divsChild>
            <w:div w:id="636030500">
              <w:marLeft w:val="0"/>
              <w:marRight w:val="0"/>
              <w:marTop w:val="0"/>
              <w:marBottom w:val="0"/>
              <w:divBdr>
                <w:top w:val="none" w:sz="0" w:space="0" w:color="auto"/>
                <w:left w:val="none" w:sz="0" w:space="0" w:color="auto"/>
                <w:bottom w:val="none" w:sz="0" w:space="0" w:color="auto"/>
                <w:right w:val="none" w:sz="0" w:space="0" w:color="auto"/>
              </w:divBdr>
              <w:divsChild>
                <w:div w:id="83109269">
                  <w:marLeft w:val="0"/>
                  <w:marRight w:val="0"/>
                  <w:marTop w:val="0"/>
                  <w:marBottom w:val="0"/>
                  <w:divBdr>
                    <w:top w:val="none" w:sz="0" w:space="0" w:color="auto"/>
                    <w:left w:val="none" w:sz="0" w:space="0" w:color="auto"/>
                    <w:bottom w:val="none" w:sz="0" w:space="0" w:color="auto"/>
                    <w:right w:val="none" w:sz="0" w:space="0" w:color="auto"/>
                  </w:divBdr>
                </w:div>
                <w:div w:id="87236605">
                  <w:marLeft w:val="0"/>
                  <w:marRight w:val="0"/>
                  <w:marTop w:val="0"/>
                  <w:marBottom w:val="0"/>
                  <w:divBdr>
                    <w:top w:val="none" w:sz="0" w:space="0" w:color="auto"/>
                    <w:left w:val="none" w:sz="0" w:space="0" w:color="auto"/>
                    <w:bottom w:val="none" w:sz="0" w:space="0" w:color="auto"/>
                    <w:right w:val="none" w:sz="0" w:space="0" w:color="auto"/>
                  </w:divBdr>
                </w:div>
                <w:div w:id="343094227">
                  <w:marLeft w:val="0"/>
                  <w:marRight w:val="0"/>
                  <w:marTop w:val="0"/>
                  <w:marBottom w:val="0"/>
                  <w:divBdr>
                    <w:top w:val="none" w:sz="0" w:space="0" w:color="auto"/>
                    <w:left w:val="none" w:sz="0" w:space="0" w:color="auto"/>
                    <w:bottom w:val="none" w:sz="0" w:space="0" w:color="auto"/>
                    <w:right w:val="none" w:sz="0" w:space="0" w:color="auto"/>
                  </w:divBdr>
                </w:div>
                <w:div w:id="349841787">
                  <w:marLeft w:val="0"/>
                  <w:marRight w:val="0"/>
                  <w:marTop w:val="0"/>
                  <w:marBottom w:val="0"/>
                  <w:divBdr>
                    <w:top w:val="none" w:sz="0" w:space="0" w:color="auto"/>
                    <w:left w:val="none" w:sz="0" w:space="0" w:color="auto"/>
                    <w:bottom w:val="none" w:sz="0" w:space="0" w:color="auto"/>
                    <w:right w:val="none" w:sz="0" w:space="0" w:color="auto"/>
                  </w:divBdr>
                </w:div>
                <w:div w:id="473260839">
                  <w:marLeft w:val="0"/>
                  <w:marRight w:val="0"/>
                  <w:marTop w:val="0"/>
                  <w:marBottom w:val="0"/>
                  <w:divBdr>
                    <w:top w:val="none" w:sz="0" w:space="0" w:color="auto"/>
                    <w:left w:val="none" w:sz="0" w:space="0" w:color="auto"/>
                    <w:bottom w:val="none" w:sz="0" w:space="0" w:color="auto"/>
                    <w:right w:val="none" w:sz="0" w:space="0" w:color="auto"/>
                  </w:divBdr>
                </w:div>
                <w:div w:id="534274777">
                  <w:marLeft w:val="0"/>
                  <w:marRight w:val="0"/>
                  <w:marTop w:val="0"/>
                  <w:marBottom w:val="0"/>
                  <w:divBdr>
                    <w:top w:val="none" w:sz="0" w:space="0" w:color="auto"/>
                    <w:left w:val="none" w:sz="0" w:space="0" w:color="auto"/>
                    <w:bottom w:val="none" w:sz="0" w:space="0" w:color="auto"/>
                    <w:right w:val="none" w:sz="0" w:space="0" w:color="auto"/>
                  </w:divBdr>
                </w:div>
                <w:div w:id="534926855">
                  <w:marLeft w:val="0"/>
                  <w:marRight w:val="0"/>
                  <w:marTop w:val="0"/>
                  <w:marBottom w:val="0"/>
                  <w:divBdr>
                    <w:top w:val="none" w:sz="0" w:space="0" w:color="auto"/>
                    <w:left w:val="none" w:sz="0" w:space="0" w:color="auto"/>
                    <w:bottom w:val="none" w:sz="0" w:space="0" w:color="auto"/>
                    <w:right w:val="none" w:sz="0" w:space="0" w:color="auto"/>
                  </w:divBdr>
                </w:div>
                <w:div w:id="574825365">
                  <w:marLeft w:val="0"/>
                  <w:marRight w:val="0"/>
                  <w:marTop w:val="0"/>
                  <w:marBottom w:val="0"/>
                  <w:divBdr>
                    <w:top w:val="none" w:sz="0" w:space="0" w:color="auto"/>
                    <w:left w:val="none" w:sz="0" w:space="0" w:color="auto"/>
                    <w:bottom w:val="none" w:sz="0" w:space="0" w:color="auto"/>
                    <w:right w:val="none" w:sz="0" w:space="0" w:color="auto"/>
                  </w:divBdr>
                </w:div>
                <w:div w:id="599022087">
                  <w:marLeft w:val="0"/>
                  <w:marRight w:val="0"/>
                  <w:marTop w:val="0"/>
                  <w:marBottom w:val="0"/>
                  <w:divBdr>
                    <w:top w:val="none" w:sz="0" w:space="0" w:color="auto"/>
                    <w:left w:val="none" w:sz="0" w:space="0" w:color="auto"/>
                    <w:bottom w:val="none" w:sz="0" w:space="0" w:color="auto"/>
                    <w:right w:val="none" w:sz="0" w:space="0" w:color="auto"/>
                  </w:divBdr>
                </w:div>
                <w:div w:id="801188230">
                  <w:marLeft w:val="0"/>
                  <w:marRight w:val="0"/>
                  <w:marTop w:val="0"/>
                  <w:marBottom w:val="0"/>
                  <w:divBdr>
                    <w:top w:val="none" w:sz="0" w:space="0" w:color="auto"/>
                    <w:left w:val="none" w:sz="0" w:space="0" w:color="auto"/>
                    <w:bottom w:val="none" w:sz="0" w:space="0" w:color="auto"/>
                    <w:right w:val="none" w:sz="0" w:space="0" w:color="auto"/>
                  </w:divBdr>
                </w:div>
                <w:div w:id="1047221860">
                  <w:marLeft w:val="0"/>
                  <w:marRight w:val="0"/>
                  <w:marTop w:val="0"/>
                  <w:marBottom w:val="0"/>
                  <w:divBdr>
                    <w:top w:val="none" w:sz="0" w:space="0" w:color="auto"/>
                    <w:left w:val="none" w:sz="0" w:space="0" w:color="auto"/>
                    <w:bottom w:val="none" w:sz="0" w:space="0" w:color="auto"/>
                    <w:right w:val="none" w:sz="0" w:space="0" w:color="auto"/>
                  </w:divBdr>
                </w:div>
                <w:div w:id="1091312502">
                  <w:marLeft w:val="0"/>
                  <w:marRight w:val="0"/>
                  <w:marTop w:val="0"/>
                  <w:marBottom w:val="0"/>
                  <w:divBdr>
                    <w:top w:val="none" w:sz="0" w:space="0" w:color="auto"/>
                    <w:left w:val="none" w:sz="0" w:space="0" w:color="auto"/>
                    <w:bottom w:val="none" w:sz="0" w:space="0" w:color="auto"/>
                    <w:right w:val="none" w:sz="0" w:space="0" w:color="auto"/>
                  </w:divBdr>
                </w:div>
                <w:div w:id="1098141532">
                  <w:marLeft w:val="0"/>
                  <w:marRight w:val="0"/>
                  <w:marTop w:val="0"/>
                  <w:marBottom w:val="0"/>
                  <w:divBdr>
                    <w:top w:val="none" w:sz="0" w:space="0" w:color="auto"/>
                    <w:left w:val="none" w:sz="0" w:space="0" w:color="auto"/>
                    <w:bottom w:val="none" w:sz="0" w:space="0" w:color="auto"/>
                    <w:right w:val="none" w:sz="0" w:space="0" w:color="auto"/>
                  </w:divBdr>
                </w:div>
                <w:div w:id="1133330920">
                  <w:marLeft w:val="0"/>
                  <w:marRight w:val="0"/>
                  <w:marTop w:val="0"/>
                  <w:marBottom w:val="0"/>
                  <w:divBdr>
                    <w:top w:val="none" w:sz="0" w:space="0" w:color="auto"/>
                    <w:left w:val="none" w:sz="0" w:space="0" w:color="auto"/>
                    <w:bottom w:val="none" w:sz="0" w:space="0" w:color="auto"/>
                    <w:right w:val="none" w:sz="0" w:space="0" w:color="auto"/>
                  </w:divBdr>
                </w:div>
                <w:div w:id="1170411280">
                  <w:marLeft w:val="0"/>
                  <w:marRight w:val="0"/>
                  <w:marTop w:val="0"/>
                  <w:marBottom w:val="0"/>
                  <w:divBdr>
                    <w:top w:val="none" w:sz="0" w:space="0" w:color="auto"/>
                    <w:left w:val="none" w:sz="0" w:space="0" w:color="auto"/>
                    <w:bottom w:val="none" w:sz="0" w:space="0" w:color="auto"/>
                    <w:right w:val="none" w:sz="0" w:space="0" w:color="auto"/>
                  </w:divBdr>
                </w:div>
                <w:div w:id="1243643774">
                  <w:marLeft w:val="0"/>
                  <w:marRight w:val="0"/>
                  <w:marTop w:val="0"/>
                  <w:marBottom w:val="0"/>
                  <w:divBdr>
                    <w:top w:val="none" w:sz="0" w:space="0" w:color="auto"/>
                    <w:left w:val="none" w:sz="0" w:space="0" w:color="auto"/>
                    <w:bottom w:val="none" w:sz="0" w:space="0" w:color="auto"/>
                    <w:right w:val="none" w:sz="0" w:space="0" w:color="auto"/>
                  </w:divBdr>
                </w:div>
                <w:div w:id="1329332976">
                  <w:marLeft w:val="0"/>
                  <w:marRight w:val="0"/>
                  <w:marTop w:val="0"/>
                  <w:marBottom w:val="0"/>
                  <w:divBdr>
                    <w:top w:val="none" w:sz="0" w:space="0" w:color="auto"/>
                    <w:left w:val="none" w:sz="0" w:space="0" w:color="auto"/>
                    <w:bottom w:val="none" w:sz="0" w:space="0" w:color="auto"/>
                    <w:right w:val="none" w:sz="0" w:space="0" w:color="auto"/>
                  </w:divBdr>
                </w:div>
                <w:div w:id="1416367056">
                  <w:marLeft w:val="0"/>
                  <w:marRight w:val="0"/>
                  <w:marTop w:val="0"/>
                  <w:marBottom w:val="0"/>
                  <w:divBdr>
                    <w:top w:val="none" w:sz="0" w:space="0" w:color="auto"/>
                    <w:left w:val="none" w:sz="0" w:space="0" w:color="auto"/>
                    <w:bottom w:val="none" w:sz="0" w:space="0" w:color="auto"/>
                    <w:right w:val="none" w:sz="0" w:space="0" w:color="auto"/>
                  </w:divBdr>
                </w:div>
                <w:div w:id="1580868942">
                  <w:marLeft w:val="0"/>
                  <w:marRight w:val="0"/>
                  <w:marTop w:val="0"/>
                  <w:marBottom w:val="0"/>
                  <w:divBdr>
                    <w:top w:val="none" w:sz="0" w:space="0" w:color="auto"/>
                    <w:left w:val="none" w:sz="0" w:space="0" w:color="auto"/>
                    <w:bottom w:val="none" w:sz="0" w:space="0" w:color="auto"/>
                    <w:right w:val="none" w:sz="0" w:space="0" w:color="auto"/>
                  </w:divBdr>
                </w:div>
                <w:div w:id="1667633843">
                  <w:marLeft w:val="0"/>
                  <w:marRight w:val="0"/>
                  <w:marTop w:val="0"/>
                  <w:marBottom w:val="0"/>
                  <w:divBdr>
                    <w:top w:val="none" w:sz="0" w:space="0" w:color="auto"/>
                    <w:left w:val="none" w:sz="0" w:space="0" w:color="auto"/>
                    <w:bottom w:val="none" w:sz="0" w:space="0" w:color="auto"/>
                    <w:right w:val="none" w:sz="0" w:space="0" w:color="auto"/>
                  </w:divBdr>
                </w:div>
                <w:div w:id="1686903994">
                  <w:marLeft w:val="0"/>
                  <w:marRight w:val="0"/>
                  <w:marTop w:val="0"/>
                  <w:marBottom w:val="0"/>
                  <w:divBdr>
                    <w:top w:val="none" w:sz="0" w:space="0" w:color="auto"/>
                    <w:left w:val="none" w:sz="0" w:space="0" w:color="auto"/>
                    <w:bottom w:val="none" w:sz="0" w:space="0" w:color="auto"/>
                    <w:right w:val="none" w:sz="0" w:space="0" w:color="auto"/>
                  </w:divBdr>
                </w:div>
                <w:div w:id="1703481583">
                  <w:marLeft w:val="0"/>
                  <w:marRight w:val="0"/>
                  <w:marTop w:val="0"/>
                  <w:marBottom w:val="0"/>
                  <w:divBdr>
                    <w:top w:val="none" w:sz="0" w:space="0" w:color="auto"/>
                    <w:left w:val="none" w:sz="0" w:space="0" w:color="auto"/>
                    <w:bottom w:val="none" w:sz="0" w:space="0" w:color="auto"/>
                    <w:right w:val="none" w:sz="0" w:space="0" w:color="auto"/>
                  </w:divBdr>
                </w:div>
                <w:div w:id="1706445646">
                  <w:marLeft w:val="0"/>
                  <w:marRight w:val="0"/>
                  <w:marTop w:val="0"/>
                  <w:marBottom w:val="0"/>
                  <w:divBdr>
                    <w:top w:val="none" w:sz="0" w:space="0" w:color="auto"/>
                    <w:left w:val="none" w:sz="0" w:space="0" w:color="auto"/>
                    <w:bottom w:val="none" w:sz="0" w:space="0" w:color="auto"/>
                    <w:right w:val="none" w:sz="0" w:space="0" w:color="auto"/>
                  </w:divBdr>
                </w:div>
                <w:div w:id="1853496983">
                  <w:marLeft w:val="0"/>
                  <w:marRight w:val="0"/>
                  <w:marTop w:val="0"/>
                  <w:marBottom w:val="0"/>
                  <w:divBdr>
                    <w:top w:val="none" w:sz="0" w:space="0" w:color="auto"/>
                    <w:left w:val="none" w:sz="0" w:space="0" w:color="auto"/>
                    <w:bottom w:val="none" w:sz="0" w:space="0" w:color="auto"/>
                    <w:right w:val="none" w:sz="0" w:space="0" w:color="auto"/>
                  </w:divBdr>
                </w:div>
                <w:div w:id="1897814300">
                  <w:marLeft w:val="0"/>
                  <w:marRight w:val="0"/>
                  <w:marTop w:val="0"/>
                  <w:marBottom w:val="0"/>
                  <w:divBdr>
                    <w:top w:val="none" w:sz="0" w:space="0" w:color="auto"/>
                    <w:left w:val="none" w:sz="0" w:space="0" w:color="auto"/>
                    <w:bottom w:val="none" w:sz="0" w:space="0" w:color="auto"/>
                    <w:right w:val="none" w:sz="0" w:space="0" w:color="auto"/>
                  </w:divBdr>
                </w:div>
                <w:div w:id="1930698536">
                  <w:marLeft w:val="0"/>
                  <w:marRight w:val="0"/>
                  <w:marTop w:val="0"/>
                  <w:marBottom w:val="0"/>
                  <w:divBdr>
                    <w:top w:val="none" w:sz="0" w:space="0" w:color="auto"/>
                    <w:left w:val="none" w:sz="0" w:space="0" w:color="auto"/>
                    <w:bottom w:val="none" w:sz="0" w:space="0" w:color="auto"/>
                    <w:right w:val="none" w:sz="0" w:space="0" w:color="auto"/>
                  </w:divBdr>
                </w:div>
                <w:div w:id="1934164248">
                  <w:marLeft w:val="0"/>
                  <w:marRight w:val="0"/>
                  <w:marTop w:val="0"/>
                  <w:marBottom w:val="0"/>
                  <w:divBdr>
                    <w:top w:val="none" w:sz="0" w:space="0" w:color="auto"/>
                    <w:left w:val="none" w:sz="0" w:space="0" w:color="auto"/>
                    <w:bottom w:val="none" w:sz="0" w:space="0" w:color="auto"/>
                    <w:right w:val="none" w:sz="0" w:space="0" w:color="auto"/>
                  </w:divBdr>
                </w:div>
                <w:div w:id="1984962895">
                  <w:marLeft w:val="0"/>
                  <w:marRight w:val="0"/>
                  <w:marTop w:val="0"/>
                  <w:marBottom w:val="0"/>
                  <w:divBdr>
                    <w:top w:val="none" w:sz="0" w:space="0" w:color="auto"/>
                    <w:left w:val="none" w:sz="0" w:space="0" w:color="auto"/>
                    <w:bottom w:val="none" w:sz="0" w:space="0" w:color="auto"/>
                    <w:right w:val="none" w:sz="0" w:space="0" w:color="auto"/>
                  </w:divBdr>
                </w:div>
                <w:div w:id="199324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1636">
          <w:marLeft w:val="0"/>
          <w:marRight w:val="0"/>
          <w:marTop w:val="15"/>
          <w:marBottom w:val="0"/>
          <w:divBdr>
            <w:top w:val="none" w:sz="0" w:space="0" w:color="auto"/>
            <w:left w:val="none" w:sz="0" w:space="0" w:color="auto"/>
            <w:bottom w:val="none" w:sz="0" w:space="0" w:color="auto"/>
            <w:right w:val="none" w:sz="0" w:space="0" w:color="auto"/>
          </w:divBdr>
          <w:divsChild>
            <w:div w:id="2058501962">
              <w:marLeft w:val="0"/>
              <w:marRight w:val="0"/>
              <w:marTop w:val="0"/>
              <w:marBottom w:val="0"/>
              <w:divBdr>
                <w:top w:val="none" w:sz="0" w:space="0" w:color="auto"/>
                <w:left w:val="none" w:sz="0" w:space="0" w:color="auto"/>
                <w:bottom w:val="none" w:sz="0" w:space="0" w:color="auto"/>
                <w:right w:val="none" w:sz="0" w:space="0" w:color="auto"/>
              </w:divBdr>
              <w:divsChild>
                <w:div w:id="92821528">
                  <w:marLeft w:val="0"/>
                  <w:marRight w:val="0"/>
                  <w:marTop w:val="0"/>
                  <w:marBottom w:val="0"/>
                  <w:divBdr>
                    <w:top w:val="none" w:sz="0" w:space="0" w:color="auto"/>
                    <w:left w:val="none" w:sz="0" w:space="0" w:color="auto"/>
                    <w:bottom w:val="none" w:sz="0" w:space="0" w:color="auto"/>
                    <w:right w:val="none" w:sz="0" w:space="0" w:color="auto"/>
                  </w:divBdr>
                </w:div>
                <w:div w:id="108092312">
                  <w:marLeft w:val="0"/>
                  <w:marRight w:val="0"/>
                  <w:marTop w:val="0"/>
                  <w:marBottom w:val="0"/>
                  <w:divBdr>
                    <w:top w:val="none" w:sz="0" w:space="0" w:color="auto"/>
                    <w:left w:val="none" w:sz="0" w:space="0" w:color="auto"/>
                    <w:bottom w:val="none" w:sz="0" w:space="0" w:color="auto"/>
                    <w:right w:val="none" w:sz="0" w:space="0" w:color="auto"/>
                  </w:divBdr>
                </w:div>
                <w:div w:id="331686339">
                  <w:marLeft w:val="0"/>
                  <w:marRight w:val="0"/>
                  <w:marTop w:val="0"/>
                  <w:marBottom w:val="0"/>
                  <w:divBdr>
                    <w:top w:val="none" w:sz="0" w:space="0" w:color="auto"/>
                    <w:left w:val="none" w:sz="0" w:space="0" w:color="auto"/>
                    <w:bottom w:val="none" w:sz="0" w:space="0" w:color="auto"/>
                    <w:right w:val="none" w:sz="0" w:space="0" w:color="auto"/>
                  </w:divBdr>
                </w:div>
                <w:div w:id="503789797">
                  <w:marLeft w:val="0"/>
                  <w:marRight w:val="0"/>
                  <w:marTop w:val="0"/>
                  <w:marBottom w:val="0"/>
                  <w:divBdr>
                    <w:top w:val="none" w:sz="0" w:space="0" w:color="auto"/>
                    <w:left w:val="none" w:sz="0" w:space="0" w:color="auto"/>
                    <w:bottom w:val="none" w:sz="0" w:space="0" w:color="auto"/>
                    <w:right w:val="none" w:sz="0" w:space="0" w:color="auto"/>
                  </w:divBdr>
                </w:div>
                <w:div w:id="611715246">
                  <w:marLeft w:val="0"/>
                  <w:marRight w:val="0"/>
                  <w:marTop w:val="0"/>
                  <w:marBottom w:val="0"/>
                  <w:divBdr>
                    <w:top w:val="none" w:sz="0" w:space="0" w:color="auto"/>
                    <w:left w:val="none" w:sz="0" w:space="0" w:color="auto"/>
                    <w:bottom w:val="none" w:sz="0" w:space="0" w:color="auto"/>
                    <w:right w:val="none" w:sz="0" w:space="0" w:color="auto"/>
                  </w:divBdr>
                </w:div>
                <w:div w:id="695081974">
                  <w:marLeft w:val="0"/>
                  <w:marRight w:val="0"/>
                  <w:marTop w:val="0"/>
                  <w:marBottom w:val="0"/>
                  <w:divBdr>
                    <w:top w:val="none" w:sz="0" w:space="0" w:color="auto"/>
                    <w:left w:val="none" w:sz="0" w:space="0" w:color="auto"/>
                    <w:bottom w:val="none" w:sz="0" w:space="0" w:color="auto"/>
                    <w:right w:val="none" w:sz="0" w:space="0" w:color="auto"/>
                  </w:divBdr>
                </w:div>
                <w:div w:id="902716946">
                  <w:marLeft w:val="0"/>
                  <w:marRight w:val="0"/>
                  <w:marTop w:val="0"/>
                  <w:marBottom w:val="0"/>
                  <w:divBdr>
                    <w:top w:val="none" w:sz="0" w:space="0" w:color="auto"/>
                    <w:left w:val="none" w:sz="0" w:space="0" w:color="auto"/>
                    <w:bottom w:val="none" w:sz="0" w:space="0" w:color="auto"/>
                    <w:right w:val="none" w:sz="0" w:space="0" w:color="auto"/>
                  </w:divBdr>
                </w:div>
                <w:div w:id="916324614">
                  <w:marLeft w:val="0"/>
                  <w:marRight w:val="0"/>
                  <w:marTop w:val="0"/>
                  <w:marBottom w:val="0"/>
                  <w:divBdr>
                    <w:top w:val="none" w:sz="0" w:space="0" w:color="auto"/>
                    <w:left w:val="none" w:sz="0" w:space="0" w:color="auto"/>
                    <w:bottom w:val="none" w:sz="0" w:space="0" w:color="auto"/>
                    <w:right w:val="none" w:sz="0" w:space="0" w:color="auto"/>
                  </w:divBdr>
                </w:div>
                <w:div w:id="922185554">
                  <w:marLeft w:val="0"/>
                  <w:marRight w:val="0"/>
                  <w:marTop w:val="0"/>
                  <w:marBottom w:val="0"/>
                  <w:divBdr>
                    <w:top w:val="none" w:sz="0" w:space="0" w:color="auto"/>
                    <w:left w:val="none" w:sz="0" w:space="0" w:color="auto"/>
                    <w:bottom w:val="none" w:sz="0" w:space="0" w:color="auto"/>
                    <w:right w:val="none" w:sz="0" w:space="0" w:color="auto"/>
                  </w:divBdr>
                </w:div>
                <w:div w:id="986860603">
                  <w:marLeft w:val="0"/>
                  <w:marRight w:val="0"/>
                  <w:marTop w:val="0"/>
                  <w:marBottom w:val="0"/>
                  <w:divBdr>
                    <w:top w:val="none" w:sz="0" w:space="0" w:color="auto"/>
                    <w:left w:val="none" w:sz="0" w:space="0" w:color="auto"/>
                    <w:bottom w:val="none" w:sz="0" w:space="0" w:color="auto"/>
                    <w:right w:val="none" w:sz="0" w:space="0" w:color="auto"/>
                  </w:divBdr>
                </w:div>
                <w:div w:id="999773202">
                  <w:marLeft w:val="0"/>
                  <w:marRight w:val="0"/>
                  <w:marTop w:val="0"/>
                  <w:marBottom w:val="0"/>
                  <w:divBdr>
                    <w:top w:val="none" w:sz="0" w:space="0" w:color="auto"/>
                    <w:left w:val="none" w:sz="0" w:space="0" w:color="auto"/>
                    <w:bottom w:val="none" w:sz="0" w:space="0" w:color="auto"/>
                    <w:right w:val="none" w:sz="0" w:space="0" w:color="auto"/>
                  </w:divBdr>
                </w:div>
                <w:div w:id="1042251097">
                  <w:marLeft w:val="0"/>
                  <w:marRight w:val="0"/>
                  <w:marTop w:val="0"/>
                  <w:marBottom w:val="0"/>
                  <w:divBdr>
                    <w:top w:val="none" w:sz="0" w:space="0" w:color="auto"/>
                    <w:left w:val="none" w:sz="0" w:space="0" w:color="auto"/>
                    <w:bottom w:val="none" w:sz="0" w:space="0" w:color="auto"/>
                    <w:right w:val="none" w:sz="0" w:space="0" w:color="auto"/>
                  </w:divBdr>
                </w:div>
                <w:div w:id="1271430995">
                  <w:marLeft w:val="0"/>
                  <w:marRight w:val="0"/>
                  <w:marTop w:val="0"/>
                  <w:marBottom w:val="0"/>
                  <w:divBdr>
                    <w:top w:val="none" w:sz="0" w:space="0" w:color="auto"/>
                    <w:left w:val="none" w:sz="0" w:space="0" w:color="auto"/>
                    <w:bottom w:val="none" w:sz="0" w:space="0" w:color="auto"/>
                    <w:right w:val="none" w:sz="0" w:space="0" w:color="auto"/>
                  </w:divBdr>
                </w:div>
                <w:div w:id="1354108320">
                  <w:marLeft w:val="0"/>
                  <w:marRight w:val="0"/>
                  <w:marTop w:val="0"/>
                  <w:marBottom w:val="0"/>
                  <w:divBdr>
                    <w:top w:val="none" w:sz="0" w:space="0" w:color="auto"/>
                    <w:left w:val="none" w:sz="0" w:space="0" w:color="auto"/>
                    <w:bottom w:val="none" w:sz="0" w:space="0" w:color="auto"/>
                    <w:right w:val="none" w:sz="0" w:space="0" w:color="auto"/>
                  </w:divBdr>
                </w:div>
                <w:div w:id="1437677142">
                  <w:marLeft w:val="0"/>
                  <w:marRight w:val="0"/>
                  <w:marTop w:val="0"/>
                  <w:marBottom w:val="0"/>
                  <w:divBdr>
                    <w:top w:val="none" w:sz="0" w:space="0" w:color="auto"/>
                    <w:left w:val="none" w:sz="0" w:space="0" w:color="auto"/>
                    <w:bottom w:val="none" w:sz="0" w:space="0" w:color="auto"/>
                    <w:right w:val="none" w:sz="0" w:space="0" w:color="auto"/>
                  </w:divBdr>
                </w:div>
                <w:div w:id="1438132483">
                  <w:marLeft w:val="0"/>
                  <w:marRight w:val="0"/>
                  <w:marTop w:val="0"/>
                  <w:marBottom w:val="0"/>
                  <w:divBdr>
                    <w:top w:val="none" w:sz="0" w:space="0" w:color="auto"/>
                    <w:left w:val="none" w:sz="0" w:space="0" w:color="auto"/>
                    <w:bottom w:val="none" w:sz="0" w:space="0" w:color="auto"/>
                    <w:right w:val="none" w:sz="0" w:space="0" w:color="auto"/>
                  </w:divBdr>
                </w:div>
                <w:div w:id="1479224349">
                  <w:marLeft w:val="0"/>
                  <w:marRight w:val="0"/>
                  <w:marTop w:val="0"/>
                  <w:marBottom w:val="0"/>
                  <w:divBdr>
                    <w:top w:val="none" w:sz="0" w:space="0" w:color="auto"/>
                    <w:left w:val="none" w:sz="0" w:space="0" w:color="auto"/>
                    <w:bottom w:val="none" w:sz="0" w:space="0" w:color="auto"/>
                    <w:right w:val="none" w:sz="0" w:space="0" w:color="auto"/>
                  </w:divBdr>
                </w:div>
                <w:div w:id="1541556055">
                  <w:marLeft w:val="0"/>
                  <w:marRight w:val="0"/>
                  <w:marTop w:val="0"/>
                  <w:marBottom w:val="0"/>
                  <w:divBdr>
                    <w:top w:val="none" w:sz="0" w:space="0" w:color="auto"/>
                    <w:left w:val="none" w:sz="0" w:space="0" w:color="auto"/>
                    <w:bottom w:val="none" w:sz="0" w:space="0" w:color="auto"/>
                    <w:right w:val="none" w:sz="0" w:space="0" w:color="auto"/>
                  </w:divBdr>
                </w:div>
                <w:div w:id="1587767230">
                  <w:marLeft w:val="0"/>
                  <w:marRight w:val="0"/>
                  <w:marTop w:val="0"/>
                  <w:marBottom w:val="0"/>
                  <w:divBdr>
                    <w:top w:val="none" w:sz="0" w:space="0" w:color="auto"/>
                    <w:left w:val="none" w:sz="0" w:space="0" w:color="auto"/>
                    <w:bottom w:val="none" w:sz="0" w:space="0" w:color="auto"/>
                    <w:right w:val="none" w:sz="0" w:space="0" w:color="auto"/>
                  </w:divBdr>
                </w:div>
                <w:div w:id="1609042464">
                  <w:marLeft w:val="0"/>
                  <w:marRight w:val="0"/>
                  <w:marTop w:val="0"/>
                  <w:marBottom w:val="0"/>
                  <w:divBdr>
                    <w:top w:val="none" w:sz="0" w:space="0" w:color="auto"/>
                    <w:left w:val="none" w:sz="0" w:space="0" w:color="auto"/>
                    <w:bottom w:val="none" w:sz="0" w:space="0" w:color="auto"/>
                    <w:right w:val="none" w:sz="0" w:space="0" w:color="auto"/>
                  </w:divBdr>
                </w:div>
                <w:div w:id="1897162162">
                  <w:marLeft w:val="0"/>
                  <w:marRight w:val="0"/>
                  <w:marTop w:val="0"/>
                  <w:marBottom w:val="0"/>
                  <w:divBdr>
                    <w:top w:val="none" w:sz="0" w:space="0" w:color="auto"/>
                    <w:left w:val="none" w:sz="0" w:space="0" w:color="auto"/>
                    <w:bottom w:val="none" w:sz="0" w:space="0" w:color="auto"/>
                    <w:right w:val="none" w:sz="0" w:space="0" w:color="auto"/>
                  </w:divBdr>
                </w:div>
                <w:div w:id="1921061955">
                  <w:marLeft w:val="0"/>
                  <w:marRight w:val="0"/>
                  <w:marTop w:val="0"/>
                  <w:marBottom w:val="0"/>
                  <w:divBdr>
                    <w:top w:val="none" w:sz="0" w:space="0" w:color="auto"/>
                    <w:left w:val="none" w:sz="0" w:space="0" w:color="auto"/>
                    <w:bottom w:val="none" w:sz="0" w:space="0" w:color="auto"/>
                    <w:right w:val="none" w:sz="0" w:space="0" w:color="auto"/>
                  </w:divBdr>
                </w:div>
                <w:div w:id="1923029918">
                  <w:marLeft w:val="0"/>
                  <w:marRight w:val="0"/>
                  <w:marTop w:val="0"/>
                  <w:marBottom w:val="0"/>
                  <w:divBdr>
                    <w:top w:val="none" w:sz="0" w:space="0" w:color="auto"/>
                    <w:left w:val="none" w:sz="0" w:space="0" w:color="auto"/>
                    <w:bottom w:val="none" w:sz="0" w:space="0" w:color="auto"/>
                    <w:right w:val="none" w:sz="0" w:space="0" w:color="auto"/>
                  </w:divBdr>
                </w:div>
                <w:div w:id="1933199784">
                  <w:marLeft w:val="0"/>
                  <w:marRight w:val="0"/>
                  <w:marTop w:val="0"/>
                  <w:marBottom w:val="0"/>
                  <w:divBdr>
                    <w:top w:val="none" w:sz="0" w:space="0" w:color="auto"/>
                    <w:left w:val="none" w:sz="0" w:space="0" w:color="auto"/>
                    <w:bottom w:val="none" w:sz="0" w:space="0" w:color="auto"/>
                    <w:right w:val="none" w:sz="0" w:space="0" w:color="auto"/>
                  </w:divBdr>
                </w:div>
                <w:div w:id="1960405579">
                  <w:marLeft w:val="0"/>
                  <w:marRight w:val="0"/>
                  <w:marTop w:val="0"/>
                  <w:marBottom w:val="0"/>
                  <w:divBdr>
                    <w:top w:val="none" w:sz="0" w:space="0" w:color="auto"/>
                    <w:left w:val="none" w:sz="0" w:space="0" w:color="auto"/>
                    <w:bottom w:val="none" w:sz="0" w:space="0" w:color="auto"/>
                    <w:right w:val="none" w:sz="0" w:space="0" w:color="auto"/>
                  </w:divBdr>
                </w:div>
                <w:div w:id="1963999495">
                  <w:marLeft w:val="0"/>
                  <w:marRight w:val="0"/>
                  <w:marTop w:val="0"/>
                  <w:marBottom w:val="0"/>
                  <w:divBdr>
                    <w:top w:val="none" w:sz="0" w:space="0" w:color="auto"/>
                    <w:left w:val="none" w:sz="0" w:space="0" w:color="auto"/>
                    <w:bottom w:val="none" w:sz="0" w:space="0" w:color="auto"/>
                    <w:right w:val="none" w:sz="0" w:space="0" w:color="auto"/>
                  </w:divBdr>
                </w:div>
                <w:div w:id="2050761248">
                  <w:marLeft w:val="0"/>
                  <w:marRight w:val="0"/>
                  <w:marTop w:val="0"/>
                  <w:marBottom w:val="0"/>
                  <w:divBdr>
                    <w:top w:val="none" w:sz="0" w:space="0" w:color="auto"/>
                    <w:left w:val="none" w:sz="0" w:space="0" w:color="auto"/>
                    <w:bottom w:val="none" w:sz="0" w:space="0" w:color="auto"/>
                    <w:right w:val="none" w:sz="0" w:space="0" w:color="auto"/>
                  </w:divBdr>
                </w:div>
                <w:div w:id="211185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538596">
          <w:marLeft w:val="0"/>
          <w:marRight w:val="0"/>
          <w:marTop w:val="15"/>
          <w:marBottom w:val="0"/>
          <w:divBdr>
            <w:top w:val="none" w:sz="0" w:space="0" w:color="auto"/>
            <w:left w:val="none" w:sz="0" w:space="0" w:color="auto"/>
            <w:bottom w:val="none" w:sz="0" w:space="0" w:color="auto"/>
            <w:right w:val="none" w:sz="0" w:space="0" w:color="auto"/>
          </w:divBdr>
          <w:divsChild>
            <w:div w:id="982127062">
              <w:marLeft w:val="0"/>
              <w:marRight w:val="0"/>
              <w:marTop w:val="0"/>
              <w:marBottom w:val="0"/>
              <w:divBdr>
                <w:top w:val="none" w:sz="0" w:space="0" w:color="auto"/>
                <w:left w:val="none" w:sz="0" w:space="0" w:color="auto"/>
                <w:bottom w:val="none" w:sz="0" w:space="0" w:color="auto"/>
                <w:right w:val="none" w:sz="0" w:space="0" w:color="auto"/>
              </w:divBdr>
              <w:divsChild>
                <w:div w:id="152528800">
                  <w:marLeft w:val="0"/>
                  <w:marRight w:val="0"/>
                  <w:marTop w:val="0"/>
                  <w:marBottom w:val="0"/>
                  <w:divBdr>
                    <w:top w:val="none" w:sz="0" w:space="0" w:color="auto"/>
                    <w:left w:val="none" w:sz="0" w:space="0" w:color="auto"/>
                    <w:bottom w:val="none" w:sz="0" w:space="0" w:color="auto"/>
                    <w:right w:val="none" w:sz="0" w:space="0" w:color="auto"/>
                  </w:divBdr>
                </w:div>
                <w:div w:id="241069300">
                  <w:marLeft w:val="0"/>
                  <w:marRight w:val="0"/>
                  <w:marTop w:val="0"/>
                  <w:marBottom w:val="0"/>
                  <w:divBdr>
                    <w:top w:val="none" w:sz="0" w:space="0" w:color="auto"/>
                    <w:left w:val="none" w:sz="0" w:space="0" w:color="auto"/>
                    <w:bottom w:val="none" w:sz="0" w:space="0" w:color="auto"/>
                    <w:right w:val="none" w:sz="0" w:space="0" w:color="auto"/>
                  </w:divBdr>
                </w:div>
                <w:div w:id="258803256">
                  <w:marLeft w:val="0"/>
                  <w:marRight w:val="0"/>
                  <w:marTop w:val="0"/>
                  <w:marBottom w:val="0"/>
                  <w:divBdr>
                    <w:top w:val="none" w:sz="0" w:space="0" w:color="auto"/>
                    <w:left w:val="none" w:sz="0" w:space="0" w:color="auto"/>
                    <w:bottom w:val="none" w:sz="0" w:space="0" w:color="auto"/>
                    <w:right w:val="none" w:sz="0" w:space="0" w:color="auto"/>
                  </w:divBdr>
                </w:div>
                <w:div w:id="259993751">
                  <w:marLeft w:val="0"/>
                  <w:marRight w:val="0"/>
                  <w:marTop w:val="0"/>
                  <w:marBottom w:val="0"/>
                  <w:divBdr>
                    <w:top w:val="none" w:sz="0" w:space="0" w:color="auto"/>
                    <w:left w:val="none" w:sz="0" w:space="0" w:color="auto"/>
                    <w:bottom w:val="none" w:sz="0" w:space="0" w:color="auto"/>
                    <w:right w:val="none" w:sz="0" w:space="0" w:color="auto"/>
                  </w:divBdr>
                </w:div>
                <w:div w:id="341205308">
                  <w:marLeft w:val="0"/>
                  <w:marRight w:val="0"/>
                  <w:marTop w:val="0"/>
                  <w:marBottom w:val="0"/>
                  <w:divBdr>
                    <w:top w:val="none" w:sz="0" w:space="0" w:color="auto"/>
                    <w:left w:val="none" w:sz="0" w:space="0" w:color="auto"/>
                    <w:bottom w:val="none" w:sz="0" w:space="0" w:color="auto"/>
                    <w:right w:val="none" w:sz="0" w:space="0" w:color="auto"/>
                  </w:divBdr>
                </w:div>
                <w:div w:id="535197736">
                  <w:marLeft w:val="0"/>
                  <w:marRight w:val="0"/>
                  <w:marTop w:val="0"/>
                  <w:marBottom w:val="0"/>
                  <w:divBdr>
                    <w:top w:val="none" w:sz="0" w:space="0" w:color="auto"/>
                    <w:left w:val="none" w:sz="0" w:space="0" w:color="auto"/>
                    <w:bottom w:val="none" w:sz="0" w:space="0" w:color="auto"/>
                    <w:right w:val="none" w:sz="0" w:space="0" w:color="auto"/>
                  </w:divBdr>
                </w:div>
                <w:div w:id="693653678">
                  <w:marLeft w:val="0"/>
                  <w:marRight w:val="0"/>
                  <w:marTop w:val="0"/>
                  <w:marBottom w:val="0"/>
                  <w:divBdr>
                    <w:top w:val="none" w:sz="0" w:space="0" w:color="auto"/>
                    <w:left w:val="none" w:sz="0" w:space="0" w:color="auto"/>
                    <w:bottom w:val="none" w:sz="0" w:space="0" w:color="auto"/>
                    <w:right w:val="none" w:sz="0" w:space="0" w:color="auto"/>
                  </w:divBdr>
                </w:div>
                <w:div w:id="712536662">
                  <w:marLeft w:val="0"/>
                  <w:marRight w:val="0"/>
                  <w:marTop w:val="0"/>
                  <w:marBottom w:val="0"/>
                  <w:divBdr>
                    <w:top w:val="none" w:sz="0" w:space="0" w:color="auto"/>
                    <w:left w:val="none" w:sz="0" w:space="0" w:color="auto"/>
                    <w:bottom w:val="none" w:sz="0" w:space="0" w:color="auto"/>
                    <w:right w:val="none" w:sz="0" w:space="0" w:color="auto"/>
                  </w:divBdr>
                </w:div>
                <w:div w:id="712845179">
                  <w:marLeft w:val="0"/>
                  <w:marRight w:val="0"/>
                  <w:marTop w:val="0"/>
                  <w:marBottom w:val="0"/>
                  <w:divBdr>
                    <w:top w:val="none" w:sz="0" w:space="0" w:color="auto"/>
                    <w:left w:val="none" w:sz="0" w:space="0" w:color="auto"/>
                    <w:bottom w:val="none" w:sz="0" w:space="0" w:color="auto"/>
                    <w:right w:val="none" w:sz="0" w:space="0" w:color="auto"/>
                  </w:divBdr>
                </w:div>
                <w:div w:id="923874051">
                  <w:marLeft w:val="0"/>
                  <w:marRight w:val="0"/>
                  <w:marTop w:val="0"/>
                  <w:marBottom w:val="0"/>
                  <w:divBdr>
                    <w:top w:val="none" w:sz="0" w:space="0" w:color="auto"/>
                    <w:left w:val="none" w:sz="0" w:space="0" w:color="auto"/>
                    <w:bottom w:val="none" w:sz="0" w:space="0" w:color="auto"/>
                    <w:right w:val="none" w:sz="0" w:space="0" w:color="auto"/>
                  </w:divBdr>
                </w:div>
                <w:div w:id="966860342">
                  <w:marLeft w:val="0"/>
                  <w:marRight w:val="0"/>
                  <w:marTop w:val="0"/>
                  <w:marBottom w:val="0"/>
                  <w:divBdr>
                    <w:top w:val="none" w:sz="0" w:space="0" w:color="auto"/>
                    <w:left w:val="none" w:sz="0" w:space="0" w:color="auto"/>
                    <w:bottom w:val="none" w:sz="0" w:space="0" w:color="auto"/>
                    <w:right w:val="none" w:sz="0" w:space="0" w:color="auto"/>
                  </w:divBdr>
                </w:div>
                <w:div w:id="1091661074">
                  <w:marLeft w:val="0"/>
                  <w:marRight w:val="0"/>
                  <w:marTop w:val="0"/>
                  <w:marBottom w:val="0"/>
                  <w:divBdr>
                    <w:top w:val="none" w:sz="0" w:space="0" w:color="auto"/>
                    <w:left w:val="none" w:sz="0" w:space="0" w:color="auto"/>
                    <w:bottom w:val="none" w:sz="0" w:space="0" w:color="auto"/>
                    <w:right w:val="none" w:sz="0" w:space="0" w:color="auto"/>
                  </w:divBdr>
                </w:div>
                <w:div w:id="1147435169">
                  <w:marLeft w:val="0"/>
                  <w:marRight w:val="0"/>
                  <w:marTop w:val="0"/>
                  <w:marBottom w:val="0"/>
                  <w:divBdr>
                    <w:top w:val="none" w:sz="0" w:space="0" w:color="auto"/>
                    <w:left w:val="none" w:sz="0" w:space="0" w:color="auto"/>
                    <w:bottom w:val="none" w:sz="0" w:space="0" w:color="auto"/>
                    <w:right w:val="none" w:sz="0" w:space="0" w:color="auto"/>
                  </w:divBdr>
                </w:div>
                <w:div w:id="1396466678">
                  <w:marLeft w:val="0"/>
                  <w:marRight w:val="0"/>
                  <w:marTop w:val="0"/>
                  <w:marBottom w:val="0"/>
                  <w:divBdr>
                    <w:top w:val="none" w:sz="0" w:space="0" w:color="auto"/>
                    <w:left w:val="none" w:sz="0" w:space="0" w:color="auto"/>
                    <w:bottom w:val="none" w:sz="0" w:space="0" w:color="auto"/>
                    <w:right w:val="none" w:sz="0" w:space="0" w:color="auto"/>
                  </w:divBdr>
                </w:div>
                <w:div w:id="1632638433">
                  <w:marLeft w:val="0"/>
                  <w:marRight w:val="0"/>
                  <w:marTop w:val="0"/>
                  <w:marBottom w:val="0"/>
                  <w:divBdr>
                    <w:top w:val="none" w:sz="0" w:space="0" w:color="auto"/>
                    <w:left w:val="none" w:sz="0" w:space="0" w:color="auto"/>
                    <w:bottom w:val="none" w:sz="0" w:space="0" w:color="auto"/>
                    <w:right w:val="none" w:sz="0" w:space="0" w:color="auto"/>
                  </w:divBdr>
                </w:div>
                <w:div w:id="1678581233">
                  <w:marLeft w:val="0"/>
                  <w:marRight w:val="0"/>
                  <w:marTop w:val="0"/>
                  <w:marBottom w:val="0"/>
                  <w:divBdr>
                    <w:top w:val="none" w:sz="0" w:space="0" w:color="auto"/>
                    <w:left w:val="none" w:sz="0" w:space="0" w:color="auto"/>
                    <w:bottom w:val="none" w:sz="0" w:space="0" w:color="auto"/>
                    <w:right w:val="none" w:sz="0" w:space="0" w:color="auto"/>
                  </w:divBdr>
                </w:div>
                <w:div w:id="1764571875">
                  <w:marLeft w:val="0"/>
                  <w:marRight w:val="0"/>
                  <w:marTop w:val="0"/>
                  <w:marBottom w:val="0"/>
                  <w:divBdr>
                    <w:top w:val="none" w:sz="0" w:space="0" w:color="auto"/>
                    <w:left w:val="none" w:sz="0" w:space="0" w:color="auto"/>
                    <w:bottom w:val="none" w:sz="0" w:space="0" w:color="auto"/>
                    <w:right w:val="none" w:sz="0" w:space="0" w:color="auto"/>
                  </w:divBdr>
                </w:div>
                <w:div w:id="1852261215">
                  <w:marLeft w:val="0"/>
                  <w:marRight w:val="0"/>
                  <w:marTop w:val="0"/>
                  <w:marBottom w:val="0"/>
                  <w:divBdr>
                    <w:top w:val="none" w:sz="0" w:space="0" w:color="auto"/>
                    <w:left w:val="none" w:sz="0" w:space="0" w:color="auto"/>
                    <w:bottom w:val="none" w:sz="0" w:space="0" w:color="auto"/>
                    <w:right w:val="none" w:sz="0" w:space="0" w:color="auto"/>
                  </w:divBdr>
                </w:div>
                <w:div w:id="1888836074">
                  <w:marLeft w:val="0"/>
                  <w:marRight w:val="0"/>
                  <w:marTop w:val="0"/>
                  <w:marBottom w:val="0"/>
                  <w:divBdr>
                    <w:top w:val="none" w:sz="0" w:space="0" w:color="auto"/>
                    <w:left w:val="none" w:sz="0" w:space="0" w:color="auto"/>
                    <w:bottom w:val="none" w:sz="0" w:space="0" w:color="auto"/>
                    <w:right w:val="none" w:sz="0" w:space="0" w:color="auto"/>
                  </w:divBdr>
                </w:div>
                <w:div w:id="1910460705">
                  <w:marLeft w:val="0"/>
                  <w:marRight w:val="0"/>
                  <w:marTop w:val="0"/>
                  <w:marBottom w:val="0"/>
                  <w:divBdr>
                    <w:top w:val="none" w:sz="0" w:space="0" w:color="auto"/>
                    <w:left w:val="none" w:sz="0" w:space="0" w:color="auto"/>
                    <w:bottom w:val="none" w:sz="0" w:space="0" w:color="auto"/>
                    <w:right w:val="none" w:sz="0" w:space="0" w:color="auto"/>
                  </w:divBdr>
                </w:div>
                <w:div w:id="1912809931">
                  <w:marLeft w:val="0"/>
                  <w:marRight w:val="0"/>
                  <w:marTop w:val="0"/>
                  <w:marBottom w:val="0"/>
                  <w:divBdr>
                    <w:top w:val="none" w:sz="0" w:space="0" w:color="auto"/>
                    <w:left w:val="none" w:sz="0" w:space="0" w:color="auto"/>
                    <w:bottom w:val="none" w:sz="0" w:space="0" w:color="auto"/>
                    <w:right w:val="none" w:sz="0" w:space="0" w:color="auto"/>
                  </w:divBdr>
                </w:div>
                <w:div w:id="1954941450">
                  <w:marLeft w:val="0"/>
                  <w:marRight w:val="0"/>
                  <w:marTop w:val="0"/>
                  <w:marBottom w:val="0"/>
                  <w:divBdr>
                    <w:top w:val="none" w:sz="0" w:space="0" w:color="auto"/>
                    <w:left w:val="none" w:sz="0" w:space="0" w:color="auto"/>
                    <w:bottom w:val="none" w:sz="0" w:space="0" w:color="auto"/>
                    <w:right w:val="none" w:sz="0" w:space="0" w:color="auto"/>
                  </w:divBdr>
                </w:div>
                <w:div w:id="2068524794">
                  <w:marLeft w:val="0"/>
                  <w:marRight w:val="0"/>
                  <w:marTop w:val="0"/>
                  <w:marBottom w:val="0"/>
                  <w:divBdr>
                    <w:top w:val="none" w:sz="0" w:space="0" w:color="auto"/>
                    <w:left w:val="none" w:sz="0" w:space="0" w:color="auto"/>
                    <w:bottom w:val="none" w:sz="0" w:space="0" w:color="auto"/>
                    <w:right w:val="none" w:sz="0" w:space="0" w:color="auto"/>
                  </w:divBdr>
                </w:div>
                <w:div w:id="213667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973084">
          <w:marLeft w:val="0"/>
          <w:marRight w:val="0"/>
          <w:marTop w:val="15"/>
          <w:marBottom w:val="0"/>
          <w:divBdr>
            <w:top w:val="none" w:sz="0" w:space="0" w:color="auto"/>
            <w:left w:val="none" w:sz="0" w:space="0" w:color="auto"/>
            <w:bottom w:val="none" w:sz="0" w:space="0" w:color="auto"/>
            <w:right w:val="none" w:sz="0" w:space="0" w:color="auto"/>
          </w:divBdr>
          <w:divsChild>
            <w:div w:id="550580776">
              <w:marLeft w:val="0"/>
              <w:marRight w:val="0"/>
              <w:marTop w:val="0"/>
              <w:marBottom w:val="0"/>
              <w:divBdr>
                <w:top w:val="none" w:sz="0" w:space="0" w:color="auto"/>
                <w:left w:val="none" w:sz="0" w:space="0" w:color="auto"/>
                <w:bottom w:val="none" w:sz="0" w:space="0" w:color="auto"/>
                <w:right w:val="none" w:sz="0" w:space="0" w:color="auto"/>
              </w:divBdr>
              <w:divsChild>
                <w:div w:id="55864487">
                  <w:marLeft w:val="0"/>
                  <w:marRight w:val="0"/>
                  <w:marTop w:val="0"/>
                  <w:marBottom w:val="0"/>
                  <w:divBdr>
                    <w:top w:val="none" w:sz="0" w:space="0" w:color="auto"/>
                    <w:left w:val="none" w:sz="0" w:space="0" w:color="auto"/>
                    <w:bottom w:val="none" w:sz="0" w:space="0" w:color="auto"/>
                    <w:right w:val="none" w:sz="0" w:space="0" w:color="auto"/>
                  </w:divBdr>
                </w:div>
                <w:div w:id="389504769">
                  <w:marLeft w:val="0"/>
                  <w:marRight w:val="0"/>
                  <w:marTop w:val="0"/>
                  <w:marBottom w:val="0"/>
                  <w:divBdr>
                    <w:top w:val="none" w:sz="0" w:space="0" w:color="auto"/>
                    <w:left w:val="none" w:sz="0" w:space="0" w:color="auto"/>
                    <w:bottom w:val="none" w:sz="0" w:space="0" w:color="auto"/>
                    <w:right w:val="none" w:sz="0" w:space="0" w:color="auto"/>
                  </w:divBdr>
                </w:div>
                <w:div w:id="433869218">
                  <w:marLeft w:val="0"/>
                  <w:marRight w:val="0"/>
                  <w:marTop w:val="0"/>
                  <w:marBottom w:val="0"/>
                  <w:divBdr>
                    <w:top w:val="none" w:sz="0" w:space="0" w:color="auto"/>
                    <w:left w:val="none" w:sz="0" w:space="0" w:color="auto"/>
                    <w:bottom w:val="none" w:sz="0" w:space="0" w:color="auto"/>
                    <w:right w:val="none" w:sz="0" w:space="0" w:color="auto"/>
                  </w:divBdr>
                </w:div>
                <w:div w:id="551891028">
                  <w:marLeft w:val="0"/>
                  <w:marRight w:val="0"/>
                  <w:marTop w:val="0"/>
                  <w:marBottom w:val="0"/>
                  <w:divBdr>
                    <w:top w:val="none" w:sz="0" w:space="0" w:color="auto"/>
                    <w:left w:val="none" w:sz="0" w:space="0" w:color="auto"/>
                    <w:bottom w:val="none" w:sz="0" w:space="0" w:color="auto"/>
                    <w:right w:val="none" w:sz="0" w:space="0" w:color="auto"/>
                  </w:divBdr>
                </w:div>
                <w:div w:id="587349399">
                  <w:marLeft w:val="0"/>
                  <w:marRight w:val="0"/>
                  <w:marTop w:val="0"/>
                  <w:marBottom w:val="0"/>
                  <w:divBdr>
                    <w:top w:val="none" w:sz="0" w:space="0" w:color="auto"/>
                    <w:left w:val="none" w:sz="0" w:space="0" w:color="auto"/>
                    <w:bottom w:val="none" w:sz="0" w:space="0" w:color="auto"/>
                    <w:right w:val="none" w:sz="0" w:space="0" w:color="auto"/>
                  </w:divBdr>
                </w:div>
                <w:div w:id="702826340">
                  <w:marLeft w:val="0"/>
                  <w:marRight w:val="0"/>
                  <w:marTop w:val="0"/>
                  <w:marBottom w:val="0"/>
                  <w:divBdr>
                    <w:top w:val="none" w:sz="0" w:space="0" w:color="auto"/>
                    <w:left w:val="none" w:sz="0" w:space="0" w:color="auto"/>
                    <w:bottom w:val="none" w:sz="0" w:space="0" w:color="auto"/>
                    <w:right w:val="none" w:sz="0" w:space="0" w:color="auto"/>
                  </w:divBdr>
                </w:div>
                <w:div w:id="949119219">
                  <w:marLeft w:val="0"/>
                  <w:marRight w:val="0"/>
                  <w:marTop w:val="0"/>
                  <w:marBottom w:val="0"/>
                  <w:divBdr>
                    <w:top w:val="none" w:sz="0" w:space="0" w:color="auto"/>
                    <w:left w:val="none" w:sz="0" w:space="0" w:color="auto"/>
                    <w:bottom w:val="none" w:sz="0" w:space="0" w:color="auto"/>
                    <w:right w:val="none" w:sz="0" w:space="0" w:color="auto"/>
                  </w:divBdr>
                </w:div>
                <w:div w:id="953251915">
                  <w:marLeft w:val="0"/>
                  <w:marRight w:val="0"/>
                  <w:marTop w:val="0"/>
                  <w:marBottom w:val="0"/>
                  <w:divBdr>
                    <w:top w:val="none" w:sz="0" w:space="0" w:color="auto"/>
                    <w:left w:val="none" w:sz="0" w:space="0" w:color="auto"/>
                    <w:bottom w:val="none" w:sz="0" w:space="0" w:color="auto"/>
                    <w:right w:val="none" w:sz="0" w:space="0" w:color="auto"/>
                  </w:divBdr>
                </w:div>
                <w:div w:id="1010915996">
                  <w:marLeft w:val="0"/>
                  <w:marRight w:val="0"/>
                  <w:marTop w:val="0"/>
                  <w:marBottom w:val="0"/>
                  <w:divBdr>
                    <w:top w:val="none" w:sz="0" w:space="0" w:color="auto"/>
                    <w:left w:val="none" w:sz="0" w:space="0" w:color="auto"/>
                    <w:bottom w:val="none" w:sz="0" w:space="0" w:color="auto"/>
                    <w:right w:val="none" w:sz="0" w:space="0" w:color="auto"/>
                  </w:divBdr>
                </w:div>
                <w:div w:id="1093863139">
                  <w:marLeft w:val="0"/>
                  <w:marRight w:val="0"/>
                  <w:marTop w:val="0"/>
                  <w:marBottom w:val="0"/>
                  <w:divBdr>
                    <w:top w:val="none" w:sz="0" w:space="0" w:color="auto"/>
                    <w:left w:val="none" w:sz="0" w:space="0" w:color="auto"/>
                    <w:bottom w:val="none" w:sz="0" w:space="0" w:color="auto"/>
                    <w:right w:val="none" w:sz="0" w:space="0" w:color="auto"/>
                  </w:divBdr>
                </w:div>
                <w:div w:id="1141921266">
                  <w:marLeft w:val="0"/>
                  <w:marRight w:val="0"/>
                  <w:marTop w:val="0"/>
                  <w:marBottom w:val="0"/>
                  <w:divBdr>
                    <w:top w:val="none" w:sz="0" w:space="0" w:color="auto"/>
                    <w:left w:val="none" w:sz="0" w:space="0" w:color="auto"/>
                    <w:bottom w:val="none" w:sz="0" w:space="0" w:color="auto"/>
                    <w:right w:val="none" w:sz="0" w:space="0" w:color="auto"/>
                  </w:divBdr>
                </w:div>
                <w:div w:id="1181314778">
                  <w:marLeft w:val="0"/>
                  <w:marRight w:val="0"/>
                  <w:marTop w:val="0"/>
                  <w:marBottom w:val="0"/>
                  <w:divBdr>
                    <w:top w:val="none" w:sz="0" w:space="0" w:color="auto"/>
                    <w:left w:val="none" w:sz="0" w:space="0" w:color="auto"/>
                    <w:bottom w:val="none" w:sz="0" w:space="0" w:color="auto"/>
                    <w:right w:val="none" w:sz="0" w:space="0" w:color="auto"/>
                  </w:divBdr>
                </w:div>
                <w:div w:id="1248884105">
                  <w:marLeft w:val="0"/>
                  <w:marRight w:val="0"/>
                  <w:marTop w:val="0"/>
                  <w:marBottom w:val="0"/>
                  <w:divBdr>
                    <w:top w:val="none" w:sz="0" w:space="0" w:color="auto"/>
                    <w:left w:val="none" w:sz="0" w:space="0" w:color="auto"/>
                    <w:bottom w:val="none" w:sz="0" w:space="0" w:color="auto"/>
                    <w:right w:val="none" w:sz="0" w:space="0" w:color="auto"/>
                  </w:divBdr>
                </w:div>
                <w:div w:id="1300575293">
                  <w:marLeft w:val="0"/>
                  <w:marRight w:val="0"/>
                  <w:marTop w:val="0"/>
                  <w:marBottom w:val="0"/>
                  <w:divBdr>
                    <w:top w:val="none" w:sz="0" w:space="0" w:color="auto"/>
                    <w:left w:val="none" w:sz="0" w:space="0" w:color="auto"/>
                    <w:bottom w:val="none" w:sz="0" w:space="0" w:color="auto"/>
                    <w:right w:val="none" w:sz="0" w:space="0" w:color="auto"/>
                  </w:divBdr>
                </w:div>
                <w:div w:id="1302615378">
                  <w:marLeft w:val="0"/>
                  <w:marRight w:val="0"/>
                  <w:marTop w:val="0"/>
                  <w:marBottom w:val="0"/>
                  <w:divBdr>
                    <w:top w:val="none" w:sz="0" w:space="0" w:color="auto"/>
                    <w:left w:val="none" w:sz="0" w:space="0" w:color="auto"/>
                    <w:bottom w:val="none" w:sz="0" w:space="0" w:color="auto"/>
                    <w:right w:val="none" w:sz="0" w:space="0" w:color="auto"/>
                  </w:divBdr>
                </w:div>
                <w:div w:id="1426345471">
                  <w:marLeft w:val="0"/>
                  <w:marRight w:val="0"/>
                  <w:marTop w:val="0"/>
                  <w:marBottom w:val="0"/>
                  <w:divBdr>
                    <w:top w:val="none" w:sz="0" w:space="0" w:color="auto"/>
                    <w:left w:val="none" w:sz="0" w:space="0" w:color="auto"/>
                    <w:bottom w:val="none" w:sz="0" w:space="0" w:color="auto"/>
                    <w:right w:val="none" w:sz="0" w:space="0" w:color="auto"/>
                  </w:divBdr>
                </w:div>
                <w:div w:id="1483737276">
                  <w:marLeft w:val="0"/>
                  <w:marRight w:val="0"/>
                  <w:marTop w:val="0"/>
                  <w:marBottom w:val="0"/>
                  <w:divBdr>
                    <w:top w:val="none" w:sz="0" w:space="0" w:color="auto"/>
                    <w:left w:val="none" w:sz="0" w:space="0" w:color="auto"/>
                    <w:bottom w:val="none" w:sz="0" w:space="0" w:color="auto"/>
                    <w:right w:val="none" w:sz="0" w:space="0" w:color="auto"/>
                  </w:divBdr>
                </w:div>
                <w:div w:id="1524903583">
                  <w:marLeft w:val="0"/>
                  <w:marRight w:val="0"/>
                  <w:marTop w:val="0"/>
                  <w:marBottom w:val="0"/>
                  <w:divBdr>
                    <w:top w:val="none" w:sz="0" w:space="0" w:color="auto"/>
                    <w:left w:val="none" w:sz="0" w:space="0" w:color="auto"/>
                    <w:bottom w:val="none" w:sz="0" w:space="0" w:color="auto"/>
                    <w:right w:val="none" w:sz="0" w:space="0" w:color="auto"/>
                  </w:divBdr>
                </w:div>
                <w:div w:id="1666736133">
                  <w:marLeft w:val="0"/>
                  <w:marRight w:val="0"/>
                  <w:marTop w:val="0"/>
                  <w:marBottom w:val="0"/>
                  <w:divBdr>
                    <w:top w:val="none" w:sz="0" w:space="0" w:color="auto"/>
                    <w:left w:val="none" w:sz="0" w:space="0" w:color="auto"/>
                    <w:bottom w:val="none" w:sz="0" w:space="0" w:color="auto"/>
                    <w:right w:val="none" w:sz="0" w:space="0" w:color="auto"/>
                  </w:divBdr>
                </w:div>
                <w:div w:id="1840656726">
                  <w:marLeft w:val="0"/>
                  <w:marRight w:val="0"/>
                  <w:marTop w:val="0"/>
                  <w:marBottom w:val="0"/>
                  <w:divBdr>
                    <w:top w:val="none" w:sz="0" w:space="0" w:color="auto"/>
                    <w:left w:val="none" w:sz="0" w:space="0" w:color="auto"/>
                    <w:bottom w:val="none" w:sz="0" w:space="0" w:color="auto"/>
                    <w:right w:val="none" w:sz="0" w:space="0" w:color="auto"/>
                  </w:divBdr>
                </w:div>
                <w:div w:id="1898856760">
                  <w:marLeft w:val="0"/>
                  <w:marRight w:val="0"/>
                  <w:marTop w:val="0"/>
                  <w:marBottom w:val="0"/>
                  <w:divBdr>
                    <w:top w:val="none" w:sz="0" w:space="0" w:color="auto"/>
                    <w:left w:val="none" w:sz="0" w:space="0" w:color="auto"/>
                    <w:bottom w:val="none" w:sz="0" w:space="0" w:color="auto"/>
                    <w:right w:val="none" w:sz="0" w:space="0" w:color="auto"/>
                  </w:divBdr>
                </w:div>
                <w:div w:id="205253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918994">
          <w:marLeft w:val="0"/>
          <w:marRight w:val="0"/>
          <w:marTop w:val="15"/>
          <w:marBottom w:val="0"/>
          <w:divBdr>
            <w:top w:val="none" w:sz="0" w:space="0" w:color="auto"/>
            <w:left w:val="none" w:sz="0" w:space="0" w:color="auto"/>
            <w:bottom w:val="none" w:sz="0" w:space="0" w:color="auto"/>
            <w:right w:val="none" w:sz="0" w:space="0" w:color="auto"/>
          </w:divBdr>
          <w:divsChild>
            <w:div w:id="223948702">
              <w:marLeft w:val="0"/>
              <w:marRight w:val="0"/>
              <w:marTop w:val="0"/>
              <w:marBottom w:val="0"/>
              <w:divBdr>
                <w:top w:val="none" w:sz="0" w:space="0" w:color="auto"/>
                <w:left w:val="none" w:sz="0" w:space="0" w:color="auto"/>
                <w:bottom w:val="none" w:sz="0" w:space="0" w:color="auto"/>
                <w:right w:val="none" w:sz="0" w:space="0" w:color="auto"/>
              </w:divBdr>
              <w:divsChild>
                <w:div w:id="92287336">
                  <w:marLeft w:val="0"/>
                  <w:marRight w:val="0"/>
                  <w:marTop w:val="0"/>
                  <w:marBottom w:val="0"/>
                  <w:divBdr>
                    <w:top w:val="none" w:sz="0" w:space="0" w:color="auto"/>
                    <w:left w:val="none" w:sz="0" w:space="0" w:color="auto"/>
                    <w:bottom w:val="none" w:sz="0" w:space="0" w:color="auto"/>
                    <w:right w:val="none" w:sz="0" w:space="0" w:color="auto"/>
                  </w:divBdr>
                </w:div>
                <w:div w:id="210000533">
                  <w:marLeft w:val="0"/>
                  <w:marRight w:val="0"/>
                  <w:marTop w:val="0"/>
                  <w:marBottom w:val="0"/>
                  <w:divBdr>
                    <w:top w:val="none" w:sz="0" w:space="0" w:color="auto"/>
                    <w:left w:val="none" w:sz="0" w:space="0" w:color="auto"/>
                    <w:bottom w:val="none" w:sz="0" w:space="0" w:color="auto"/>
                    <w:right w:val="none" w:sz="0" w:space="0" w:color="auto"/>
                  </w:divBdr>
                </w:div>
                <w:div w:id="247346622">
                  <w:marLeft w:val="0"/>
                  <w:marRight w:val="0"/>
                  <w:marTop w:val="0"/>
                  <w:marBottom w:val="0"/>
                  <w:divBdr>
                    <w:top w:val="none" w:sz="0" w:space="0" w:color="auto"/>
                    <w:left w:val="none" w:sz="0" w:space="0" w:color="auto"/>
                    <w:bottom w:val="none" w:sz="0" w:space="0" w:color="auto"/>
                    <w:right w:val="none" w:sz="0" w:space="0" w:color="auto"/>
                  </w:divBdr>
                </w:div>
                <w:div w:id="261963569">
                  <w:marLeft w:val="0"/>
                  <w:marRight w:val="0"/>
                  <w:marTop w:val="0"/>
                  <w:marBottom w:val="0"/>
                  <w:divBdr>
                    <w:top w:val="none" w:sz="0" w:space="0" w:color="auto"/>
                    <w:left w:val="none" w:sz="0" w:space="0" w:color="auto"/>
                    <w:bottom w:val="none" w:sz="0" w:space="0" w:color="auto"/>
                    <w:right w:val="none" w:sz="0" w:space="0" w:color="auto"/>
                  </w:divBdr>
                </w:div>
                <w:div w:id="305088536">
                  <w:marLeft w:val="0"/>
                  <w:marRight w:val="0"/>
                  <w:marTop w:val="0"/>
                  <w:marBottom w:val="0"/>
                  <w:divBdr>
                    <w:top w:val="none" w:sz="0" w:space="0" w:color="auto"/>
                    <w:left w:val="none" w:sz="0" w:space="0" w:color="auto"/>
                    <w:bottom w:val="none" w:sz="0" w:space="0" w:color="auto"/>
                    <w:right w:val="none" w:sz="0" w:space="0" w:color="auto"/>
                  </w:divBdr>
                </w:div>
                <w:div w:id="545068077">
                  <w:marLeft w:val="0"/>
                  <w:marRight w:val="0"/>
                  <w:marTop w:val="0"/>
                  <w:marBottom w:val="0"/>
                  <w:divBdr>
                    <w:top w:val="none" w:sz="0" w:space="0" w:color="auto"/>
                    <w:left w:val="none" w:sz="0" w:space="0" w:color="auto"/>
                    <w:bottom w:val="none" w:sz="0" w:space="0" w:color="auto"/>
                    <w:right w:val="none" w:sz="0" w:space="0" w:color="auto"/>
                  </w:divBdr>
                </w:div>
                <w:div w:id="626549650">
                  <w:marLeft w:val="0"/>
                  <w:marRight w:val="0"/>
                  <w:marTop w:val="0"/>
                  <w:marBottom w:val="0"/>
                  <w:divBdr>
                    <w:top w:val="none" w:sz="0" w:space="0" w:color="auto"/>
                    <w:left w:val="none" w:sz="0" w:space="0" w:color="auto"/>
                    <w:bottom w:val="none" w:sz="0" w:space="0" w:color="auto"/>
                    <w:right w:val="none" w:sz="0" w:space="0" w:color="auto"/>
                  </w:divBdr>
                </w:div>
                <w:div w:id="629287678">
                  <w:marLeft w:val="0"/>
                  <w:marRight w:val="0"/>
                  <w:marTop w:val="0"/>
                  <w:marBottom w:val="0"/>
                  <w:divBdr>
                    <w:top w:val="none" w:sz="0" w:space="0" w:color="auto"/>
                    <w:left w:val="none" w:sz="0" w:space="0" w:color="auto"/>
                    <w:bottom w:val="none" w:sz="0" w:space="0" w:color="auto"/>
                    <w:right w:val="none" w:sz="0" w:space="0" w:color="auto"/>
                  </w:divBdr>
                </w:div>
                <w:div w:id="638922688">
                  <w:marLeft w:val="0"/>
                  <w:marRight w:val="0"/>
                  <w:marTop w:val="0"/>
                  <w:marBottom w:val="0"/>
                  <w:divBdr>
                    <w:top w:val="none" w:sz="0" w:space="0" w:color="auto"/>
                    <w:left w:val="none" w:sz="0" w:space="0" w:color="auto"/>
                    <w:bottom w:val="none" w:sz="0" w:space="0" w:color="auto"/>
                    <w:right w:val="none" w:sz="0" w:space="0" w:color="auto"/>
                  </w:divBdr>
                </w:div>
                <w:div w:id="671377598">
                  <w:marLeft w:val="0"/>
                  <w:marRight w:val="0"/>
                  <w:marTop w:val="0"/>
                  <w:marBottom w:val="0"/>
                  <w:divBdr>
                    <w:top w:val="none" w:sz="0" w:space="0" w:color="auto"/>
                    <w:left w:val="none" w:sz="0" w:space="0" w:color="auto"/>
                    <w:bottom w:val="none" w:sz="0" w:space="0" w:color="auto"/>
                    <w:right w:val="none" w:sz="0" w:space="0" w:color="auto"/>
                  </w:divBdr>
                </w:div>
                <w:div w:id="686177378">
                  <w:marLeft w:val="0"/>
                  <w:marRight w:val="0"/>
                  <w:marTop w:val="0"/>
                  <w:marBottom w:val="0"/>
                  <w:divBdr>
                    <w:top w:val="none" w:sz="0" w:space="0" w:color="auto"/>
                    <w:left w:val="none" w:sz="0" w:space="0" w:color="auto"/>
                    <w:bottom w:val="none" w:sz="0" w:space="0" w:color="auto"/>
                    <w:right w:val="none" w:sz="0" w:space="0" w:color="auto"/>
                  </w:divBdr>
                </w:div>
                <w:div w:id="704717884">
                  <w:marLeft w:val="0"/>
                  <w:marRight w:val="0"/>
                  <w:marTop w:val="0"/>
                  <w:marBottom w:val="0"/>
                  <w:divBdr>
                    <w:top w:val="none" w:sz="0" w:space="0" w:color="auto"/>
                    <w:left w:val="none" w:sz="0" w:space="0" w:color="auto"/>
                    <w:bottom w:val="none" w:sz="0" w:space="0" w:color="auto"/>
                    <w:right w:val="none" w:sz="0" w:space="0" w:color="auto"/>
                  </w:divBdr>
                </w:div>
                <w:div w:id="834952669">
                  <w:marLeft w:val="0"/>
                  <w:marRight w:val="0"/>
                  <w:marTop w:val="0"/>
                  <w:marBottom w:val="0"/>
                  <w:divBdr>
                    <w:top w:val="none" w:sz="0" w:space="0" w:color="auto"/>
                    <w:left w:val="none" w:sz="0" w:space="0" w:color="auto"/>
                    <w:bottom w:val="none" w:sz="0" w:space="0" w:color="auto"/>
                    <w:right w:val="none" w:sz="0" w:space="0" w:color="auto"/>
                  </w:divBdr>
                </w:div>
                <w:div w:id="917329746">
                  <w:marLeft w:val="0"/>
                  <w:marRight w:val="0"/>
                  <w:marTop w:val="0"/>
                  <w:marBottom w:val="0"/>
                  <w:divBdr>
                    <w:top w:val="none" w:sz="0" w:space="0" w:color="auto"/>
                    <w:left w:val="none" w:sz="0" w:space="0" w:color="auto"/>
                    <w:bottom w:val="none" w:sz="0" w:space="0" w:color="auto"/>
                    <w:right w:val="none" w:sz="0" w:space="0" w:color="auto"/>
                  </w:divBdr>
                </w:div>
                <w:div w:id="1294018068">
                  <w:marLeft w:val="0"/>
                  <w:marRight w:val="0"/>
                  <w:marTop w:val="0"/>
                  <w:marBottom w:val="0"/>
                  <w:divBdr>
                    <w:top w:val="none" w:sz="0" w:space="0" w:color="auto"/>
                    <w:left w:val="none" w:sz="0" w:space="0" w:color="auto"/>
                    <w:bottom w:val="none" w:sz="0" w:space="0" w:color="auto"/>
                    <w:right w:val="none" w:sz="0" w:space="0" w:color="auto"/>
                  </w:divBdr>
                </w:div>
                <w:div w:id="1328244508">
                  <w:marLeft w:val="0"/>
                  <w:marRight w:val="0"/>
                  <w:marTop w:val="0"/>
                  <w:marBottom w:val="0"/>
                  <w:divBdr>
                    <w:top w:val="none" w:sz="0" w:space="0" w:color="auto"/>
                    <w:left w:val="none" w:sz="0" w:space="0" w:color="auto"/>
                    <w:bottom w:val="none" w:sz="0" w:space="0" w:color="auto"/>
                    <w:right w:val="none" w:sz="0" w:space="0" w:color="auto"/>
                  </w:divBdr>
                </w:div>
                <w:div w:id="1423331212">
                  <w:marLeft w:val="0"/>
                  <w:marRight w:val="0"/>
                  <w:marTop w:val="0"/>
                  <w:marBottom w:val="0"/>
                  <w:divBdr>
                    <w:top w:val="none" w:sz="0" w:space="0" w:color="auto"/>
                    <w:left w:val="none" w:sz="0" w:space="0" w:color="auto"/>
                    <w:bottom w:val="none" w:sz="0" w:space="0" w:color="auto"/>
                    <w:right w:val="none" w:sz="0" w:space="0" w:color="auto"/>
                  </w:divBdr>
                </w:div>
                <w:div w:id="1439521295">
                  <w:marLeft w:val="0"/>
                  <w:marRight w:val="0"/>
                  <w:marTop w:val="0"/>
                  <w:marBottom w:val="0"/>
                  <w:divBdr>
                    <w:top w:val="none" w:sz="0" w:space="0" w:color="auto"/>
                    <w:left w:val="none" w:sz="0" w:space="0" w:color="auto"/>
                    <w:bottom w:val="none" w:sz="0" w:space="0" w:color="auto"/>
                    <w:right w:val="none" w:sz="0" w:space="0" w:color="auto"/>
                  </w:divBdr>
                </w:div>
                <w:div w:id="1441611647">
                  <w:marLeft w:val="0"/>
                  <w:marRight w:val="0"/>
                  <w:marTop w:val="0"/>
                  <w:marBottom w:val="0"/>
                  <w:divBdr>
                    <w:top w:val="none" w:sz="0" w:space="0" w:color="auto"/>
                    <w:left w:val="none" w:sz="0" w:space="0" w:color="auto"/>
                    <w:bottom w:val="none" w:sz="0" w:space="0" w:color="auto"/>
                    <w:right w:val="none" w:sz="0" w:space="0" w:color="auto"/>
                  </w:divBdr>
                </w:div>
                <w:div w:id="1446997096">
                  <w:marLeft w:val="0"/>
                  <w:marRight w:val="0"/>
                  <w:marTop w:val="0"/>
                  <w:marBottom w:val="0"/>
                  <w:divBdr>
                    <w:top w:val="none" w:sz="0" w:space="0" w:color="auto"/>
                    <w:left w:val="none" w:sz="0" w:space="0" w:color="auto"/>
                    <w:bottom w:val="none" w:sz="0" w:space="0" w:color="auto"/>
                    <w:right w:val="none" w:sz="0" w:space="0" w:color="auto"/>
                  </w:divBdr>
                </w:div>
                <w:div w:id="1493568535">
                  <w:marLeft w:val="0"/>
                  <w:marRight w:val="0"/>
                  <w:marTop w:val="0"/>
                  <w:marBottom w:val="0"/>
                  <w:divBdr>
                    <w:top w:val="none" w:sz="0" w:space="0" w:color="auto"/>
                    <w:left w:val="none" w:sz="0" w:space="0" w:color="auto"/>
                    <w:bottom w:val="none" w:sz="0" w:space="0" w:color="auto"/>
                    <w:right w:val="none" w:sz="0" w:space="0" w:color="auto"/>
                  </w:divBdr>
                </w:div>
                <w:div w:id="1504322721">
                  <w:marLeft w:val="0"/>
                  <w:marRight w:val="0"/>
                  <w:marTop w:val="0"/>
                  <w:marBottom w:val="0"/>
                  <w:divBdr>
                    <w:top w:val="none" w:sz="0" w:space="0" w:color="auto"/>
                    <w:left w:val="none" w:sz="0" w:space="0" w:color="auto"/>
                    <w:bottom w:val="none" w:sz="0" w:space="0" w:color="auto"/>
                    <w:right w:val="none" w:sz="0" w:space="0" w:color="auto"/>
                  </w:divBdr>
                </w:div>
                <w:div w:id="1585869482">
                  <w:marLeft w:val="0"/>
                  <w:marRight w:val="0"/>
                  <w:marTop w:val="0"/>
                  <w:marBottom w:val="0"/>
                  <w:divBdr>
                    <w:top w:val="none" w:sz="0" w:space="0" w:color="auto"/>
                    <w:left w:val="none" w:sz="0" w:space="0" w:color="auto"/>
                    <w:bottom w:val="none" w:sz="0" w:space="0" w:color="auto"/>
                    <w:right w:val="none" w:sz="0" w:space="0" w:color="auto"/>
                  </w:divBdr>
                </w:div>
                <w:div w:id="1598177392">
                  <w:marLeft w:val="0"/>
                  <w:marRight w:val="0"/>
                  <w:marTop w:val="0"/>
                  <w:marBottom w:val="0"/>
                  <w:divBdr>
                    <w:top w:val="none" w:sz="0" w:space="0" w:color="auto"/>
                    <w:left w:val="none" w:sz="0" w:space="0" w:color="auto"/>
                    <w:bottom w:val="none" w:sz="0" w:space="0" w:color="auto"/>
                    <w:right w:val="none" w:sz="0" w:space="0" w:color="auto"/>
                  </w:divBdr>
                </w:div>
                <w:div w:id="1692417076">
                  <w:marLeft w:val="0"/>
                  <w:marRight w:val="0"/>
                  <w:marTop w:val="0"/>
                  <w:marBottom w:val="0"/>
                  <w:divBdr>
                    <w:top w:val="none" w:sz="0" w:space="0" w:color="auto"/>
                    <w:left w:val="none" w:sz="0" w:space="0" w:color="auto"/>
                    <w:bottom w:val="none" w:sz="0" w:space="0" w:color="auto"/>
                    <w:right w:val="none" w:sz="0" w:space="0" w:color="auto"/>
                  </w:divBdr>
                </w:div>
                <w:div w:id="1756975799">
                  <w:marLeft w:val="0"/>
                  <w:marRight w:val="0"/>
                  <w:marTop w:val="0"/>
                  <w:marBottom w:val="0"/>
                  <w:divBdr>
                    <w:top w:val="none" w:sz="0" w:space="0" w:color="auto"/>
                    <w:left w:val="none" w:sz="0" w:space="0" w:color="auto"/>
                    <w:bottom w:val="none" w:sz="0" w:space="0" w:color="auto"/>
                    <w:right w:val="none" w:sz="0" w:space="0" w:color="auto"/>
                  </w:divBdr>
                </w:div>
                <w:div w:id="1809785490">
                  <w:marLeft w:val="0"/>
                  <w:marRight w:val="0"/>
                  <w:marTop w:val="0"/>
                  <w:marBottom w:val="0"/>
                  <w:divBdr>
                    <w:top w:val="none" w:sz="0" w:space="0" w:color="auto"/>
                    <w:left w:val="none" w:sz="0" w:space="0" w:color="auto"/>
                    <w:bottom w:val="none" w:sz="0" w:space="0" w:color="auto"/>
                    <w:right w:val="none" w:sz="0" w:space="0" w:color="auto"/>
                  </w:divBdr>
                </w:div>
                <w:div w:id="1922833694">
                  <w:marLeft w:val="0"/>
                  <w:marRight w:val="0"/>
                  <w:marTop w:val="0"/>
                  <w:marBottom w:val="0"/>
                  <w:divBdr>
                    <w:top w:val="none" w:sz="0" w:space="0" w:color="auto"/>
                    <w:left w:val="none" w:sz="0" w:space="0" w:color="auto"/>
                    <w:bottom w:val="none" w:sz="0" w:space="0" w:color="auto"/>
                    <w:right w:val="none" w:sz="0" w:space="0" w:color="auto"/>
                  </w:divBdr>
                </w:div>
                <w:div w:id="1950551199">
                  <w:marLeft w:val="0"/>
                  <w:marRight w:val="0"/>
                  <w:marTop w:val="0"/>
                  <w:marBottom w:val="0"/>
                  <w:divBdr>
                    <w:top w:val="none" w:sz="0" w:space="0" w:color="auto"/>
                    <w:left w:val="none" w:sz="0" w:space="0" w:color="auto"/>
                    <w:bottom w:val="none" w:sz="0" w:space="0" w:color="auto"/>
                    <w:right w:val="none" w:sz="0" w:space="0" w:color="auto"/>
                  </w:divBdr>
                </w:div>
                <w:div w:id="2004816135">
                  <w:marLeft w:val="0"/>
                  <w:marRight w:val="0"/>
                  <w:marTop w:val="0"/>
                  <w:marBottom w:val="0"/>
                  <w:divBdr>
                    <w:top w:val="none" w:sz="0" w:space="0" w:color="auto"/>
                    <w:left w:val="none" w:sz="0" w:space="0" w:color="auto"/>
                    <w:bottom w:val="none" w:sz="0" w:space="0" w:color="auto"/>
                    <w:right w:val="none" w:sz="0" w:space="0" w:color="auto"/>
                  </w:divBdr>
                </w:div>
                <w:div w:id="2062946786">
                  <w:marLeft w:val="0"/>
                  <w:marRight w:val="0"/>
                  <w:marTop w:val="0"/>
                  <w:marBottom w:val="0"/>
                  <w:divBdr>
                    <w:top w:val="none" w:sz="0" w:space="0" w:color="auto"/>
                    <w:left w:val="none" w:sz="0" w:space="0" w:color="auto"/>
                    <w:bottom w:val="none" w:sz="0" w:space="0" w:color="auto"/>
                    <w:right w:val="none" w:sz="0" w:space="0" w:color="auto"/>
                  </w:divBdr>
                </w:div>
                <w:div w:id="2067292990">
                  <w:marLeft w:val="0"/>
                  <w:marRight w:val="0"/>
                  <w:marTop w:val="0"/>
                  <w:marBottom w:val="0"/>
                  <w:divBdr>
                    <w:top w:val="none" w:sz="0" w:space="0" w:color="auto"/>
                    <w:left w:val="none" w:sz="0" w:space="0" w:color="auto"/>
                    <w:bottom w:val="none" w:sz="0" w:space="0" w:color="auto"/>
                    <w:right w:val="none" w:sz="0" w:space="0" w:color="auto"/>
                  </w:divBdr>
                </w:div>
                <w:div w:id="2077312812">
                  <w:marLeft w:val="0"/>
                  <w:marRight w:val="0"/>
                  <w:marTop w:val="0"/>
                  <w:marBottom w:val="0"/>
                  <w:divBdr>
                    <w:top w:val="none" w:sz="0" w:space="0" w:color="auto"/>
                    <w:left w:val="none" w:sz="0" w:space="0" w:color="auto"/>
                    <w:bottom w:val="none" w:sz="0" w:space="0" w:color="auto"/>
                    <w:right w:val="none" w:sz="0" w:space="0" w:color="auto"/>
                  </w:divBdr>
                </w:div>
                <w:div w:id="209374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24480">
          <w:marLeft w:val="0"/>
          <w:marRight w:val="0"/>
          <w:marTop w:val="15"/>
          <w:marBottom w:val="0"/>
          <w:divBdr>
            <w:top w:val="none" w:sz="0" w:space="0" w:color="auto"/>
            <w:left w:val="none" w:sz="0" w:space="0" w:color="auto"/>
            <w:bottom w:val="none" w:sz="0" w:space="0" w:color="auto"/>
            <w:right w:val="none" w:sz="0" w:space="0" w:color="auto"/>
          </w:divBdr>
          <w:divsChild>
            <w:div w:id="893270753">
              <w:marLeft w:val="0"/>
              <w:marRight w:val="0"/>
              <w:marTop w:val="0"/>
              <w:marBottom w:val="0"/>
              <w:divBdr>
                <w:top w:val="none" w:sz="0" w:space="0" w:color="auto"/>
                <w:left w:val="none" w:sz="0" w:space="0" w:color="auto"/>
                <w:bottom w:val="none" w:sz="0" w:space="0" w:color="auto"/>
                <w:right w:val="none" w:sz="0" w:space="0" w:color="auto"/>
              </w:divBdr>
              <w:divsChild>
                <w:div w:id="788308">
                  <w:marLeft w:val="0"/>
                  <w:marRight w:val="0"/>
                  <w:marTop w:val="0"/>
                  <w:marBottom w:val="0"/>
                  <w:divBdr>
                    <w:top w:val="none" w:sz="0" w:space="0" w:color="auto"/>
                    <w:left w:val="none" w:sz="0" w:space="0" w:color="auto"/>
                    <w:bottom w:val="none" w:sz="0" w:space="0" w:color="auto"/>
                    <w:right w:val="none" w:sz="0" w:space="0" w:color="auto"/>
                  </w:divBdr>
                </w:div>
                <w:div w:id="36781531">
                  <w:marLeft w:val="0"/>
                  <w:marRight w:val="0"/>
                  <w:marTop w:val="0"/>
                  <w:marBottom w:val="0"/>
                  <w:divBdr>
                    <w:top w:val="none" w:sz="0" w:space="0" w:color="auto"/>
                    <w:left w:val="none" w:sz="0" w:space="0" w:color="auto"/>
                    <w:bottom w:val="none" w:sz="0" w:space="0" w:color="auto"/>
                    <w:right w:val="none" w:sz="0" w:space="0" w:color="auto"/>
                  </w:divBdr>
                </w:div>
                <w:div w:id="379060250">
                  <w:marLeft w:val="0"/>
                  <w:marRight w:val="0"/>
                  <w:marTop w:val="0"/>
                  <w:marBottom w:val="0"/>
                  <w:divBdr>
                    <w:top w:val="none" w:sz="0" w:space="0" w:color="auto"/>
                    <w:left w:val="none" w:sz="0" w:space="0" w:color="auto"/>
                    <w:bottom w:val="none" w:sz="0" w:space="0" w:color="auto"/>
                    <w:right w:val="none" w:sz="0" w:space="0" w:color="auto"/>
                  </w:divBdr>
                </w:div>
                <w:div w:id="387456674">
                  <w:marLeft w:val="0"/>
                  <w:marRight w:val="0"/>
                  <w:marTop w:val="0"/>
                  <w:marBottom w:val="0"/>
                  <w:divBdr>
                    <w:top w:val="none" w:sz="0" w:space="0" w:color="auto"/>
                    <w:left w:val="none" w:sz="0" w:space="0" w:color="auto"/>
                    <w:bottom w:val="none" w:sz="0" w:space="0" w:color="auto"/>
                    <w:right w:val="none" w:sz="0" w:space="0" w:color="auto"/>
                  </w:divBdr>
                </w:div>
                <w:div w:id="389622605">
                  <w:marLeft w:val="0"/>
                  <w:marRight w:val="0"/>
                  <w:marTop w:val="0"/>
                  <w:marBottom w:val="0"/>
                  <w:divBdr>
                    <w:top w:val="none" w:sz="0" w:space="0" w:color="auto"/>
                    <w:left w:val="none" w:sz="0" w:space="0" w:color="auto"/>
                    <w:bottom w:val="none" w:sz="0" w:space="0" w:color="auto"/>
                    <w:right w:val="none" w:sz="0" w:space="0" w:color="auto"/>
                  </w:divBdr>
                </w:div>
                <w:div w:id="396631645">
                  <w:marLeft w:val="0"/>
                  <w:marRight w:val="0"/>
                  <w:marTop w:val="0"/>
                  <w:marBottom w:val="0"/>
                  <w:divBdr>
                    <w:top w:val="none" w:sz="0" w:space="0" w:color="auto"/>
                    <w:left w:val="none" w:sz="0" w:space="0" w:color="auto"/>
                    <w:bottom w:val="none" w:sz="0" w:space="0" w:color="auto"/>
                    <w:right w:val="none" w:sz="0" w:space="0" w:color="auto"/>
                  </w:divBdr>
                </w:div>
                <w:div w:id="431048597">
                  <w:marLeft w:val="0"/>
                  <w:marRight w:val="0"/>
                  <w:marTop w:val="0"/>
                  <w:marBottom w:val="0"/>
                  <w:divBdr>
                    <w:top w:val="none" w:sz="0" w:space="0" w:color="auto"/>
                    <w:left w:val="none" w:sz="0" w:space="0" w:color="auto"/>
                    <w:bottom w:val="none" w:sz="0" w:space="0" w:color="auto"/>
                    <w:right w:val="none" w:sz="0" w:space="0" w:color="auto"/>
                  </w:divBdr>
                </w:div>
                <w:div w:id="494809401">
                  <w:marLeft w:val="0"/>
                  <w:marRight w:val="0"/>
                  <w:marTop w:val="0"/>
                  <w:marBottom w:val="0"/>
                  <w:divBdr>
                    <w:top w:val="none" w:sz="0" w:space="0" w:color="auto"/>
                    <w:left w:val="none" w:sz="0" w:space="0" w:color="auto"/>
                    <w:bottom w:val="none" w:sz="0" w:space="0" w:color="auto"/>
                    <w:right w:val="none" w:sz="0" w:space="0" w:color="auto"/>
                  </w:divBdr>
                </w:div>
                <w:div w:id="628512921">
                  <w:marLeft w:val="0"/>
                  <w:marRight w:val="0"/>
                  <w:marTop w:val="0"/>
                  <w:marBottom w:val="0"/>
                  <w:divBdr>
                    <w:top w:val="none" w:sz="0" w:space="0" w:color="auto"/>
                    <w:left w:val="none" w:sz="0" w:space="0" w:color="auto"/>
                    <w:bottom w:val="none" w:sz="0" w:space="0" w:color="auto"/>
                    <w:right w:val="none" w:sz="0" w:space="0" w:color="auto"/>
                  </w:divBdr>
                </w:div>
                <w:div w:id="638264849">
                  <w:marLeft w:val="0"/>
                  <w:marRight w:val="0"/>
                  <w:marTop w:val="0"/>
                  <w:marBottom w:val="0"/>
                  <w:divBdr>
                    <w:top w:val="none" w:sz="0" w:space="0" w:color="auto"/>
                    <w:left w:val="none" w:sz="0" w:space="0" w:color="auto"/>
                    <w:bottom w:val="none" w:sz="0" w:space="0" w:color="auto"/>
                    <w:right w:val="none" w:sz="0" w:space="0" w:color="auto"/>
                  </w:divBdr>
                </w:div>
                <w:div w:id="794952207">
                  <w:marLeft w:val="0"/>
                  <w:marRight w:val="0"/>
                  <w:marTop w:val="0"/>
                  <w:marBottom w:val="0"/>
                  <w:divBdr>
                    <w:top w:val="none" w:sz="0" w:space="0" w:color="auto"/>
                    <w:left w:val="none" w:sz="0" w:space="0" w:color="auto"/>
                    <w:bottom w:val="none" w:sz="0" w:space="0" w:color="auto"/>
                    <w:right w:val="none" w:sz="0" w:space="0" w:color="auto"/>
                  </w:divBdr>
                </w:div>
                <w:div w:id="825169960">
                  <w:marLeft w:val="0"/>
                  <w:marRight w:val="0"/>
                  <w:marTop w:val="0"/>
                  <w:marBottom w:val="0"/>
                  <w:divBdr>
                    <w:top w:val="none" w:sz="0" w:space="0" w:color="auto"/>
                    <w:left w:val="none" w:sz="0" w:space="0" w:color="auto"/>
                    <w:bottom w:val="none" w:sz="0" w:space="0" w:color="auto"/>
                    <w:right w:val="none" w:sz="0" w:space="0" w:color="auto"/>
                  </w:divBdr>
                </w:div>
                <w:div w:id="867721202">
                  <w:marLeft w:val="0"/>
                  <w:marRight w:val="0"/>
                  <w:marTop w:val="0"/>
                  <w:marBottom w:val="0"/>
                  <w:divBdr>
                    <w:top w:val="none" w:sz="0" w:space="0" w:color="auto"/>
                    <w:left w:val="none" w:sz="0" w:space="0" w:color="auto"/>
                    <w:bottom w:val="none" w:sz="0" w:space="0" w:color="auto"/>
                    <w:right w:val="none" w:sz="0" w:space="0" w:color="auto"/>
                  </w:divBdr>
                </w:div>
                <w:div w:id="1025716508">
                  <w:marLeft w:val="0"/>
                  <w:marRight w:val="0"/>
                  <w:marTop w:val="0"/>
                  <w:marBottom w:val="0"/>
                  <w:divBdr>
                    <w:top w:val="none" w:sz="0" w:space="0" w:color="auto"/>
                    <w:left w:val="none" w:sz="0" w:space="0" w:color="auto"/>
                    <w:bottom w:val="none" w:sz="0" w:space="0" w:color="auto"/>
                    <w:right w:val="none" w:sz="0" w:space="0" w:color="auto"/>
                  </w:divBdr>
                </w:div>
                <w:div w:id="1152719517">
                  <w:marLeft w:val="0"/>
                  <w:marRight w:val="0"/>
                  <w:marTop w:val="0"/>
                  <w:marBottom w:val="0"/>
                  <w:divBdr>
                    <w:top w:val="none" w:sz="0" w:space="0" w:color="auto"/>
                    <w:left w:val="none" w:sz="0" w:space="0" w:color="auto"/>
                    <w:bottom w:val="none" w:sz="0" w:space="0" w:color="auto"/>
                    <w:right w:val="none" w:sz="0" w:space="0" w:color="auto"/>
                  </w:divBdr>
                </w:div>
                <w:div w:id="1275751517">
                  <w:marLeft w:val="0"/>
                  <w:marRight w:val="0"/>
                  <w:marTop w:val="0"/>
                  <w:marBottom w:val="0"/>
                  <w:divBdr>
                    <w:top w:val="none" w:sz="0" w:space="0" w:color="auto"/>
                    <w:left w:val="none" w:sz="0" w:space="0" w:color="auto"/>
                    <w:bottom w:val="none" w:sz="0" w:space="0" w:color="auto"/>
                    <w:right w:val="none" w:sz="0" w:space="0" w:color="auto"/>
                  </w:divBdr>
                </w:div>
                <w:div w:id="1322613543">
                  <w:marLeft w:val="0"/>
                  <w:marRight w:val="0"/>
                  <w:marTop w:val="0"/>
                  <w:marBottom w:val="0"/>
                  <w:divBdr>
                    <w:top w:val="none" w:sz="0" w:space="0" w:color="auto"/>
                    <w:left w:val="none" w:sz="0" w:space="0" w:color="auto"/>
                    <w:bottom w:val="none" w:sz="0" w:space="0" w:color="auto"/>
                    <w:right w:val="none" w:sz="0" w:space="0" w:color="auto"/>
                  </w:divBdr>
                </w:div>
                <w:div w:id="1328247273">
                  <w:marLeft w:val="0"/>
                  <w:marRight w:val="0"/>
                  <w:marTop w:val="0"/>
                  <w:marBottom w:val="0"/>
                  <w:divBdr>
                    <w:top w:val="none" w:sz="0" w:space="0" w:color="auto"/>
                    <w:left w:val="none" w:sz="0" w:space="0" w:color="auto"/>
                    <w:bottom w:val="none" w:sz="0" w:space="0" w:color="auto"/>
                    <w:right w:val="none" w:sz="0" w:space="0" w:color="auto"/>
                  </w:divBdr>
                </w:div>
                <w:div w:id="1401976837">
                  <w:marLeft w:val="0"/>
                  <w:marRight w:val="0"/>
                  <w:marTop w:val="0"/>
                  <w:marBottom w:val="0"/>
                  <w:divBdr>
                    <w:top w:val="none" w:sz="0" w:space="0" w:color="auto"/>
                    <w:left w:val="none" w:sz="0" w:space="0" w:color="auto"/>
                    <w:bottom w:val="none" w:sz="0" w:space="0" w:color="auto"/>
                    <w:right w:val="none" w:sz="0" w:space="0" w:color="auto"/>
                  </w:divBdr>
                </w:div>
                <w:div w:id="1425998356">
                  <w:marLeft w:val="0"/>
                  <w:marRight w:val="0"/>
                  <w:marTop w:val="0"/>
                  <w:marBottom w:val="0"/>
                  <w:divBdr>
                    <w:top w:val="none" w:sz="0" w:space="0" w:color="auto"/>
                    <w:left w:val="none" w:sz="0" w:space="0" w:color="auto"/>
                    <w:bottom w:val="none" w:sz="0" w:space="0" w:color="auto"/>
                    <w:right w:val="none" w:sz="0" w:space="0" w:color="auto"/>
                  </w:divBdr>
                </w:div>
                <w:div w:id="1482769640">
                  <w:marLeft w:val="0"/>
                  <w:marRight w:val="0"/>
                  <w:marTop w:val="0"/>
                  <w:marBottom w:val="0"/>
                  <w:divBdr>
                    <w:top w:val="none" w:sz="0" w:space="0" w:color="auto"/>
                    <w:left w:val="none" w:sz="0" w:space="0" w:color="auto"/>
                    <w:bottom w:val="none" w:sz="0" w:space="0" w:color="auto"/>
                    <w:right w:val="none" w:sz="0" w:space="0" w:color="auto"/>
                  </w:divBdr>
                </w:div>
                <w:div w:id="1495030051">
                  <w:marLeft w:val="0"/>
                  <w:marRight w:val="0"/>
                  <w:marTop w:val="0"/>
                  <w:marBottom w:val="0"/>
                  <w:divBdr>
                    <w:top w:val="none" w:sz="0" w:space="0" w:color="auto"/>
                    <w:left w:val="none" w:sz="0" w:space="0" w:color="auto"/>
                    <w:bottom w:val="none" w:sz="0" w:space="0" w:color="auto"/>
                    <w:right w:val="none" w:sz="0" w:space="0" w:color="auto"/>
                  </w:divBdr>
                </w:div>
                <w:div w:id="1672828739">
                  <w:marLeft w:val="0"/>
                  <w:marRight w:val="0"/>
                  <w:marTop w:val="0"/>
                  <w:marBottom w:val="0"/>
                  <w:divBdr>
                    <w:top w:val="none" w:sz="0" w:space="0" w:color="auto"/>
                    <w:left w:val="none" w:sz="0" w:space="0" w:color="auto"/>
                    <w:bottom w:val="none" w:sz="0" w:space="0" w:color="auto"/>
                    <w:right w:val="none" w:sz="0" w:space="0" w:color="auto"/>
                  </w:divBdr>
                </w:div>
                <w:div w:id="1702705098">
                  <w:marLeft w:val="0"/>
                  <w:marRight w:val="0"/>
                  <w:marTop w:val="0"/>
                  <w:marBottom w:val="0"/>
                  <w:divBdr>
                    <w:top w:val="none" w:sz="0" w:space="0" w:color="auto"/>
                    <w:left w:val="none" w:sz="0" w:space="0" w:color="auto"/>
                    <w:bottom w:val="none" w:sz="0" w:space="0" w:color="auto"/>
                    <w:right w:val="none" w:sz="0" w:space="0" w:color="auto"/>
                  </w:divBdr>
                </w:div>
                <w:div w:id="1934237855">
                  <w:marLeft w:val="0"/>
                  <w:marRight w:val="0"/>
                  <w:marTop w:val="0"/>
                  <w:marBottom w:val="0"/>
                  <w:divBdr>
                    <w:top w:val="none" w:sz="0" w:space="0" w:color="auto"/>
                    <w:left w:val="none" w:sz="0" w:space="0" w:color="auto"/>
                    <w:bottom w:val="none" w:sz="0" w:space="0" w:color="auto"/>
                    <w:right w:val="none" w:sz="0" w:space="0" w:color="auto"/>
                  </w:divBdr>
                </w:div>
                <w:div w:id="1958901874">
                  <w:marLeft w:val="0"/>
                  <w:marRight w:val="0"/>
                  <w:marTop w:val="0"/>
                  <w:marBottom w:val="0"/>
                  <w:divBdr>
                    <w:top w:val="none" w:sz="0" w:space="0" w:color="auto"/>
                    <w:left w:val="none" w:sz="0" w:space="0" w:color="auto"/>
                    <w:bottom w:val="none" w:sz="0" w:space="0" w:color="auto"/>
                    <w:right w:val="none" w:sz="0" w:space="0" w:color="auto"/>
                  </w:divBdr>
                </w:div>
                <w:div w:id="206124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1965">
          <w:marLeft w:val="0"/>
          <w:marRight w:val="0"/>
          <w:marTop w:val="15"/>
          <w:marBottom w:val="0"/>
          <w:divBdr>
            <w:top w:val="none" w:sz="0" w:space="0" w:color="auto"/>
            <w:left w:val="none" w:sz="0" w:space="0" w:color="auto"/>
            <w:bottom w:val="none" w:sz="0" w:space="0" w:color="auto"/>
            <w:right w:val="none" w:sz="0" w:space="0" w:color="auto"/>
          </w:divBdr>
          <w:divsChild>
            <w:div w:id="86315415">
              <w:marLeft w:val="0"/>
              <w:marRight w:val="0"/>
              <w:marTop w:val="0"/>
              <w:marBottom w:val="0"/>
              <w:divBdr>
                <w:top w:val="none" w:sz="0" w:space="0" w:color="auto"/>
                <w:left w:val="none" w:sz="0" w:space="0" w:color="auto"/>
                <w:bottom w:val="none" w:sz="0" w:space="0" w:color="auto"/>
                <w:right w:val="none" w:sz="0" w:space="0" w:color="auto"/>
              </w:divBdr>
              <w:divsChild>
                <w:div w:id="114253285">
                  <w:marLeft w:val="0"/>
                  <w:marRight w:val="0"/>
                  <w:marTop w:val="0"/>
                  <w:marBottom w:val="0"/>
                  <w:divBdr>
                    <w:top w:val="none" w:sz="0" w:space="0" w:color="auto"/>
                    <w:left w:val="none" w:sz="0" w:space="0" w:color="auto"/>
                    <w:bottom w:val="none" w:sz="0" w:space="0" w:color="auto"/>
                    <w:right w:val="none" w:sz="0" w:space="0" w:color="auto"/>
                  </w:divBdr>
                </w:div>
                <w:div w:id="139538171">
                  <w:marLeft w:val="0"/>
                  <w:marRight w:val="0"/>
                  <w:marTop w:val="0"/>
                  <w:marBottom w:val="0"/>
                  <w:divBdr>
                    <w:top w:val="none" w:sz="0" w:space="0" w:color="auto"/>
                    <w:left w:val="none" w:sz="0" w:space="0" w:color="auto"/>
                    <w:bottom w:val="none" w:sz="0" w:space="0" w:color="auto"/>
                    <w:right w:val="none" w:sz="0" w:space="0" w:color="auto"/>
                  </w:divBdr>
                </w:div>
                <w:div w:id="159203540">
                  <w:marLeft w:val="0"/>
                  <w:marRight w:val="0"/>
                  <w:marTop w:val="0"/>
                  <w:marBottom w:val="0"/>
                  <w:divBdr>
                    <w:top w:val="none" w:sz="0" w:space="0" w:color="auto"/>
                    <w:left w:val="none" w:sz="0" w:space="0" w:color="auto"/>
                    <w:bottom w:val="none" w:sz="0" w:space="0" w:color="auto"/>
                    <w:right w:val="none" w:sz="0" w:space="0" w:color="auto"/>
                  </w:divBdr>
                </w:div>
                <w:div w:id="315762454">
                  <w:marLeft w:val="0"/>
                  <w:marRight w:val="0"/>
                  <w:marTop w:val="0"/>
                  <w:marBottom w:val="0"/>
                  <w:divBdr>
                    <w:top w:val="none" w:sz="0" w:space="0" w:color="auto"/>
                    <w:left w:val="none" w:sz="0" w:space="0" w:color="auto"/>
                    <w:bottom w:val="none" w:sz="0" w:space="0" w:color="auto"/>
                    <w:right w:val="none" w:sz="0" w:space="0" w:color="auto"/>
                  </w:divBdr>
                </w:div>
                <w:div w:id="379325849">
                  <w:marLeft w:val="0"/>
                  <w:marRight w:val="0"/>
                  <w:marTop w:val="0"/>
                  <w:marBottom w:val="0"/>
                  <w:divBdr>
                    <w:top w:val="none" w:sz="0" w:space="0" w:color="auto"/>
                    <w:left w:val="none" w:sz="0" w:space="0" w:color="auto"/>
                    <w:bottom w:val="none" w:sz="0" w:space="0" w:color="auto"/>
                    <w:right w:val="none" w:sz="0" w:space="0" w:color="auto"/>
                  </w:divBdr>
                </w:div>
                <w:div w:id="387803027">
                  <w:marLeft w:val="0"/>
                  <w:marRight w:val="0"/>
                  <w:marTop w:val="0"/>
                  <w:marBottom w:val="0"/>
                  <w:divBdr>
                    <w:top w:val="none" w:sz="0" w:space="0" w:color="auto"/>
                    <w:left w:val="none" w:sz="0" w:space="0" w:color="auto"/>
                    <w:bottom w:val="none" w:sz="0" w:space="0" w:color="auto"/>
                    <w:right w:val="none" w:sz="0" w:space="0" w:color="auto"/>
                  </w:divBdr>
                </w:div>
                <w:div w:id="559294820">
                  <w:marLeft w:val="0"/>
                  <w:marRight w:val="0"/>
                  <w:marTop w:val="0"/>
                  <w:marBottom w:val="0"/>
                  <w:divBdr>
                    <w:top w:val="none" w:sz="0" w:space="0" w:color="auto"/>
                    <w:left w:val="none" w:sz="0" w:space="0" w:color="auto"/>
                    <w:bottom w:val="none" w:sz="0" w:space="0" w:color="auto"/>
                    <w:right w:val="none" w:sz="0" w:space="0" w:color="auto"/>
                  </w:divBdr>
                </w:div>
                <w:div w:id="598102228">
                  <w:marLeft w:val="0"/>
                  <w:marRight w:val="0"/>
                  <w:marTop w:val="0"/>
                  <w:marBottom w:val="0"/>
                  <w:divBdr>
                    <w:top w:val="none" w:sz="0" w:space="0" w:color="auto"/>
                    <w:left w:val="none" w:sz="0" w:space="0" w:color="auto"/>
                    <w:bottom w:val="none" w:sz="0" w:space="0" w:color="auto"/>
                    <w:right w:val="none" w:sz="0" w:space="0" w:color="auto"/>
                  </w:divBdr>
                </w:div>
                <w:div w:id="741879302">
                  <w:marLeft w:val="0"/>
                  <w:marRight w:val="0"/>
                  <w:marTop w:val="0"/>
                  <w:marBottom w:val="0"/>
                  <w:divBdr>
                    <w:top w:val="none" w:sz="0" w:space="0" w:color="auto"/>
                    <w:left w:val="none" w:sz="0" w:space="0" w:color="auto"/>
                    <w:bottom w:val="none" w:sz="0" w:space="0" w:color="auto"/>
                    <w:right w:val="none" w:sz="0" w:space="0" w:color="auto"/>
                  </w:divBdr>
                </w:div>
                <w:div w:id="935361533">
                  <w:marLeft w:val="0"/>
                  <w:marRight w:val="0"/>
                  <w:marTop w:val="0"/>
                  <w:marBottom w:val="0"/>
                  <w:divBdr>
                    <w:top w:val="none" w:sz="0" w:space="0" w:color="auto"/>
                    <w:left w:val="none" w:sz="0" w:space="0" w:color="auto"/>
                    <w:bottom w:val="none" w:sz="0" w:space="0" w:color="auto"/>
                    <w:right w:val="none" w:sz="0" w:space="0" w:color="auto"/>
                  </w:divBdr>
                </w:div>
                <w:div w:id="1076777806">
                  <w:marLeft w:val="0"/>
                  <w:marRight w:val="0"/>
                  <w:marTop w:val="0"/>
                  <w:marBottom w:val="0"/>
                  <w:divBdr>
                    <w:top w:val="none" w:sz="0" w:space="0" w:color="auto"/>
                    <w:left w:val="none" w:sz="0" w:space="0" w:color="auto"/>
                    <w:bottom w:val="none" w:sz="0" w:space="0" w:color="auto"/>
                    <w:right w:val="none" w:sz="0" w:space="0" w:color="auto"/>
                  </w:divBdr>
                </w:div>
                <w:div w:id="1261644021">
                  <w:marLeft w:val="0"/>
                  <w:marRight w:val="0"/>
                  <w:marTop w:val="0"/>
                  <w:marBottom w:val="0"/>
                  <w:divBdr>
                    <w:top w:val="none" w:sz="0" w:space="0" w:color="auto"/>
                    <w:left w:val="none" w:sz="0" w:space="0" w:color="auto"/>
                    <w:bottom w:val="none" w:sz="0" w:space="0" w:color="auto"/>
                    <w:right w:val="none" w:sz="0" w:space="0" w:color="auto"/>
                  </w:divBdr>
                </w:div>
                <w:div w:id="1262566805">
                  <w:marLeft w:val="0"/>
                  <w:marRight w:val="0"/>
                  <w:marTop w:val="0"/>
                  <w:marBottom w:val="0"/>
                  <w:divBdr>
                    <w:top w:val="none" w:sz="0" w:space="0" w:color="auto"/>
                    <w:left w:val="none" w:sz="0" w:space="0" w:color="auto"/>
                    <w:bottom w:val="none" w:sz="0" w:space="0" w:color="auto"/>
                    <w:right w:val="none" w:sz="0" w:space="0" w:color="auto"/>
                  </w:divBdr>
                </w:div>
                <w:div w:id="1385061546">
                  <w:marLeft w:val="0"/>
                  <w:marRight w:val="0"/>
                  <w:marTop w:val="0"/>
                  <w:marBottom w:val="0"/>
                  <w:divBdr>
                    <w:top w:val="none" w:sz="0" w:space="0" w:color="auto"/>
                    <w:left w:val="none" w:sz="0" w:space="0" w:color="auto"/>
                    <w:bottom w:val="none" w:sz="0" w:space="0" w:color="auto"/>
                    <w:right w:val="none" w:sz="0" w:space="0" w:color="auto"/>
                  </w:divBdr>
                </w:div>
                <w:div w:id="1751660016">
                  <w:marLeft w:val="0"/>
                  <w:marRight w:val="0"/>
                  <w:marTop w:val="0"/>
                  <w:marBottom w:val="0"/>
                  <w:divBdr>
                    <w:top w:val="none" w:sz="0" w:space="0" w:color="auto"/>
                    <w:left w:val="none" w:sz="0" w:space="0" w:color="auto"/>
                    <w:bottom w:val="none" w:sz="0" w:space="0" w:color="auto"/>
                    <w:right w:val="none" w:sz="0" w:space="0" w:color="auto"/>
                  </w:divBdr>
                </w:div>
                <w:div w:id="1764178128">
                  <w:marLeft w:val="0"/>
                  <w:marRight w:val="0"/>
                  <w:marTop w:val="0"/>
                  <w:marBottom w:val="0"/>
                  <w:divBdr>
                    <w:top w:val="none" w:sz="0" w:space="0" w:color="auto"/>
                    <w:left w:val="none" w:sz="0" w:space="0" w:color="auto"/>
                    <w:bottom w:val="none" w:sz="0" w:space="0" w:color="auto"/>
                    <w:right w:val="none" w:sz="0" w:space="0" w:color="auto"/>
                  </w:divBdr>
                </w:div>
                <w:div w:id="1889221606">
                  <w:marLeft w:val="0"/>
                  <w:marRight w:val="0"/>
                  <w:marTop w:val="0"/>
                  <w:marBottom w:val="0"/>
                  <w:divBdr>
                    <w:top w:val="none" w:sz="0" w:space="0" w:color="auto"/>
                    <w:left w:val="none" w:sz="0" w:space="0" w:color="auto"/>
                    <w:bottom w:val="none" w:sz="0" w:space="0" w:color="auto"/>
                    <w:right w:val="none" w:sz="0" w:space="0" w:color="auto"/>
                  </w:divBdr>
                </w:div>
                <w:div w:id="19710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66701">
          <w:marLeft w:val="0"/>
          <w:marRight w:val="0"/>
          <w:marTop w:val="15"/>
          <w:marBottom w:val="0"/>
          <w:divBdr>
            <w:top w:val="none" w:sz="0" w:space="0" w:color="auto"/>
            <w:left w:val="none" w:sz="0" w:space="0" w:color="auto"/>
            <w:bottom w:val="none" w:sz="0" w:space="0" w:color="auto"/>
            <w:right w:val="none" w:sz="0" w:space="0" w:color="auto"/>
          </w:divBdr>
          <w:divsChild>
            <w:div w:id="437994684">
              <w:marLeft w:val="0"/>
              <w:marRight w:val="0"/>
              <w:marTop w:val="0"/>
              <w:marBottom w:val="0"/>
              <w:divBdr>
                <w:top w:val="none" w:sz="0" w:space="0" w:color="auto"/>
                <w:left w:val="none" w:sz="0" w:space="0" w:color="auto"/>
                <w:bottom w:val="none" w:sz="0" w:space="0" w:color="auto"/>
                <w:right w:val="none" w:sz="0" w:space="0" w:color="auto"/>
              </w:divBdr>
              <w:divsChild>
                <w:div w:id="45881440">
                  <w:marLeft w:val="0"/>
                  <w:marRight w:val="0"/>
                  <w:marTop w:val="0"/>
                  <w:marBottom w:val="0"/>
                  <w:divBdr>
                    <w:top w:val="none" w:sz="0" w:space="0" w:color="auto"/>
                    <w:left w:val="none" w:sz="0" w:space="0" w:color="auto"/>
                    <w:bottom w:val="none" w:sz="0" w:space="0" w:color="auto"/>
                    <w:right w:val="none" w:sz="0" w:space="0" w:color="auto"/>
                  </w:divBdr>
                </w:div>
                <w:div w:id="46269894">
                  <w:marLeft w:val="0"/>
                  <w:marRight w:val="0"/>
                  <w:marTop w:val="0"/>
                  <w:marBottom w:val="0"/>
                  <w:divBdr>
                    <w:top w:val="none" w:sz="0" w:space="0" w:color="auto"/>
                    <w:left w:val="none" w:sz="0" w:space="0" w:color="auto"/>
                    <w:bottom w:val="none" w:sz="0" w:space="0" w:color="auto"/>
                    <w:right w:val="none" w:sz="0" w:space="0" w:color="auto"/>
                  </w:divBdr>
                </w:div>
                <w:div w:id="203256245">
                  <w:marLeft w:val="0"/>
                  <w:marRight w:val="0"/>
                  <w:marTop w:val="0"/>
                  <w:marBottom w:val="0"/>
                  <w:divBdr>
                    <w:top w:val="none" w:sz="0" w:space="0" w:color="auto"/>
                    <w:left w:val="none" w:sz="0" w:space="0" w:color="auto"/>
                    <w:bottom w:val="none" w:sz="0" w:space="0" w:color="auto"/>
                    <w:right w:val="none" w:sz="0" w:space="0" w:color="auto"/>
                  </w:divBdr>
                </w:div>
                <w:div w:id="550574665">
                  <w:marLeft w:val="0"/>
                  <w:marRight w:val="0"/>
                  <w:marTop w:val="0"/>
                  <w:marBottom w:val="0"/>
                  <w:divBdr>
                    <w:top w:val="none" w:sz="0" w:space="0" w:color="auto"/>
                    <w:left w:val="none" w:sz="0" w:space="0" w:color="auto"/>
                    <w:bottom w:val="none" w:sz="0" w:space="0" w:color="auto"/>
                    <w:right w:val="none" w:sz="0" w:space="0" w:color="auto"/>
                  </w:divBdr>
                </w:div>
                <w:div w:id="597786307">
                  <w:marLeft w:val="0"/>
                  <w:marRight w:val="0"/>
                  <w:marTop w:val="0"/>
                  <w:marBottom w:val="0"/>
                  <w:divBdr>
                    <w:top w:val="none" w:sz="0" w:space="0" w:color="auto"/>
                    <w:left w:val="none" w:sz="0" w:space="0" w:color="auto"/>
                    <w:bottom w:val="none" w:sz="0" w:space="0" w:color="auto"/>
                    <w:right w:val="none" w:sz="0" w:space="0" w:color="auto"/>
                  </w:divBdr>
                </w:div>
                <w:div w:id="718237511">
                  <w:marLeft w:val="0"/>
                  <w:marRight w:val="0"/>
                  <w:marTop w:val="0"/>
                  <w:marBottom w:val="0"/>
                  <w:divBdr>
                    <w:top w:val="none" w:sz="0" w:space="0" w:color="auto"/>
                    <w:left w:val="none" w:sz="0" w:space="0" w:color="auto"/>
                    <w:bottom w:val="none" w:sz="0" w:space="0" w:color="auto"/>
                    <w:right w:val="none" w:sz="0" w:space="0" w:color="auto"/>
                  </w:divBdr>
                </w:div>
                <w:div w:id="727612448">
                  <w:marLeft w:val="0"/>
                  <w:marRight w:val="0"/>
                  <w:marTop w:val="0"/>
                  <w:marBottom w:val="0"/>
                  <w:divBdr>
                    <w:top w:val="none" w:sz="0" w:space="0" w:color="auto"/>
                    <w:left w:val="none" w:sz="0" w:space="0" w:color="auto"/>
                    <w:bottom w:val="none" w:sz="0" w:space="0" w:color="auto"/>
                    <w:right w:val="none" w:sz="0" w:space="0" w:color="auto"/>
                  </w:divBdr>
                </w:div>
                <w:div w:id="733510099">
                  <w:marLeft w:val="0"/>
                  <w:marRight w:val="0"/>
                  <w:marTop w:val="0"/>
                  <w:marBottom w:val="0"/>
                  <w:divBdr>
                    <w:top w:val="none" w:sz="0" w:space="0" w:color="auto"/>
                    <w:left w:val="none" w:sz="0" w:space="0" w:color="auto"/>
                    <w:bottom w:val="none" w:sz="0" w:space="0" w:color="auto"/>
                    <w:right w:val="none" w:sz="0" w:space="0" w:color="auto"/>
                  </w:divBdr>
                </w:div>
                <w:div w:id="1000347888">
                  <w:marLeft w:val="0"/>
                  <w:marRight w:val="0"/>
                  <w:marTop w:val="0"/>
                  <w:marBottom w:val="0"/>
                  <w:divBdr>
                    <w:top w:val="none" w:sz="0" w:space="0" w:color="auto"/>
                    <w:left w:val="none" w:sz="0" w:space="0" w:color="auto"/>
                    <w:bottom w:val="none" w:sz="0" w:space="0" w:color="auto"/>
                    <w:right w:val="none" w:sz="0" w:space="0" w:color="auto"/>
                  </w:divBdr>
                </w:div>
                <w:div w:id="1107388749">
                  <w:marLeft w:val="0"/>
                  <w:marRight w:val="0"/>
                  <w:marTop w:val="0"/>
                  <w:marBottom w:val="0"/>
                  <w:divBdr>
                    <w:top w:val="none" w:sz="0" w:space="0" w:color="auto"/>
                    <w:left w:val="none" w:sz="0" w:space="0" w:color="auto"/>
                    <w:bottom w:val="none" w:sz="0" w:space="0" w:color="auto"/>
                    <w:right w:val="none" w:sz="0" w:space="0" w:color="auto"/>
                  </w:divBdr>
                </w:div>
                <w:div w:id="1142622038">
                  <w:marLeft w:val="0"/>
                  <w:marRight w:val="0"/>
                  <w:marTop w:val="0"/>
                  <w:marBottom w:val="0"/>
                  <w:divBdr>
                    <w:top w:val="none" w:sz="0" w:space="0" w:color="auto"/>
                    <w:left w:val="none" w:sz="0" w:space="0" w:color="auto"/>
                    <w:bottom w:val="none" w:sz="0" w:space="0" w:color="auto"/>
                    <w:right w:val="none" w:sz="0" w:space="0" w:color="auto"/>
                  </w:divBdr>
                </w:div>
                <w:div w:id="1176113122">
                  <w:marLeft w:val="0"/>
                  <w:marRight w:val="0"/>
                  <w:marTop w:val="0"/>
                  <w:marBottom w:val="0"/>
                  <w:divBdr>
                    <w:top w:val="none" w:sz="0" w:space="0" w:color="auto"/>
                    <w:left w:val="none" w:sz="0" w:space="0" w:color="auto"/>
                    <w:bottom w:val="none" w:sz="0" w:space="0" w:color="auto"/>
                    <w:right w:val="none" w:sz="0" w:space="0" w:color="auto"/>
                  </w:divBdr>
                </w:div>
                <w:div w:id="1183789079">
                  <w:marLeft w:val="0"/>
                  <w:marRight w:val="0"/>
                  <w:marTop w:val="0"/>
                  <w:marBottom w:val="0"/>
                  <w:divBdr>
                    <w:top w:val="none" w:sz="0" w:space="0" w:color="auto"/>
                    <w:left w:val="none" w:sz="0" w:space="0" w:color="auto"/>
                    <w:bottom w:val="none" w:sz="0" w:space="0" w:color="auto"/>
                    <w:right w:val="none" w:sz="0" w:space="0" w:color="auto"/>
                  </w:divBdr>
                </w:div>
                <w:div w:id="1281842008">
                  <w:marLeft w:val="0"/>
                  <w:marRight w:val="0"/>
                  <w:marTop w:val="0"/>
                  <w:marBottom w:val="0"/>
                  <w:divBdr>
                    <w:top w:val="none" w:sz="0" w:space="0" w:color="auto"/>
                    <w:left w:val="none" w:sz="0" w:space="0" w:color="auto"/>
                    <w:bottom w:val="none" w:sz="0" w:space="0" w:color="auto"/>
                    <w:right w:val="none" w:sz="0" w:space="0" w:color="auto"/>
                  </w:divBdr>
                </w:div>
                <w:div w:id="1448425173">
                  <w:marLeft w:val="0"/>
                  <w:marRight w:val="0"/>
                  <w:marTop w:val="0"/>
                  <w:marBottom w:val="0"/>
                  <w:divBdr>
                    <w:top w:val="none" w:sz="0" w:space="0" w:color="auto"/>
                    <w:left w:val="none" w:sz="0" w:space="0" w:color="auto"/>
                    <w:bottom w:val="none" w:sz="0" w:space="0" w:color="auto"/>
                    <w:right w:val="none" w:sz="0" w:space="0" w:color="auto"/>
                  </w:divBdr>
                </w:div>
                <w:div w:id="1561595400">
                  <w:marLeft w:val="0"/>
                  <w:marRight w:val="0"/>
                  <w:marTop w:val="0"/>
                  <w:marBottom w:val="0"/>
                  <w:divBdr>
                    <w:top w:val="none" w:sz="0" w:space="0" w:color="auto"/>
                    <w:left w:val="none" w:sz="0" w:space="0" w:color="auto"/>
                    <w:bottom w:val="none" w:sz="0" w:space="0" w:color="auto"/>
                    <w:right w:val="none" w:sz="0" w:space="0" w:color="auto"/>
                  </w:divBdr>
                </w:div>
                <w:div w:id="1634285516">
                  <w:marLeft w:val="0"/>
                  <w:marRight w:val="0"/>
                  <w:marTop w:val="0"/>
                  <w:marBottom w:val="0"/>
                  <w:divBdr>
                    <w:top w:val="none" w:sz="0" w:space="0" w:color="auto"/>
                    <w:left w:val="none" w:sz="0" w:space="0" w:color="auto"/>
                    <w:bottom w:val="none" w:sz="0" w:space="0" w:color="auto"/>
                    <w:right w:val="none" w:sz="0" w:space="0" w:color="auto"/>
                  </w:divBdr>
                </w:div>
                <w:div w:id="1681934654">
                  <w:marLeft w:val="0"/>
                  <w:marRight w:val="0"/>
                  <w:marTop w:val="0"/>
                  <w:marBottom w:val="0"/>
                  <w:divBdr>
                    <w:top w:val="none" w:sz="0" w:space="0" w:color="auto"/>
                    <w:left w:val="none" w:sz="0" w:space="0" w:color="auto"/>
                    <w:bottom w:val="none" w:sz="0" w:space="0" w:color="auto"/>
                    <w:right w:val="none" w:sz="0" w:space="0" w:color="auto"/>
                  </w:divBdr>
                </w:div>
                <w:div w:id="1700083124">
                  <w:marLeft w:val="0"/>
                  <w:marRight w:val="0"/>
                  <w:marTop w:val="0"/>
                  <w:marBottom w:val="0"/>
                  <w:divBdr>
                    <w:top w:val="none" w:sz="0" w:space="0" w:color="auto"/>
                    <w:left w:val="none" w:sz="0" w:space="0" w:color="auto"/>
                    <w:bottom w:val="none" w:sz="0" w:space="0" w:color="auto"/>
                    <w:right w:val="none" w:sz="0" w:space="0" w:color="auto"/>
                  </w:divBdr>
                </w:div>
                <w:div w:id="1738358484">
                  <w:marLeft w:val="0"/>
                  <w:marRight w:val="0"/>
                  <w:marTop w:val="0"/>
                  <w:marBottom w:val="0"/>
                  <w:divBdr>
                    <w:top w:val="none" w:sz="0" w:space="0" w:color="auto"/>
                    <w:left w:val="none" w:sz="0" w:space="0" w:color="auto"/>
                    <w:bottom w:val="none" w:sz="0" w:space="0" w:color="auto"/>
                    <w:right w:val="none" w:sz="0" w:space="0" w:color="auto"/>
                  </w:divBdr>
                </w:div>
                <w:div w:id="1827160467">
                  <w:marLeft w:val="0"/>
                  <w:marRight w:val="0"/>
                  <w:marTop w:val="0"/>
                  <w:marBottom w:val="0"/>
                  <w:divBdr>
                    <w:top w:val="none" w:sz="0" w:space="0" w:color="auto"/>
                    <w:left w:val="none" w:sz="0" w:space="0" w:color="auto"/>
                    <w:bottom w:val="none" w:sz="0" w:space="0" w:color="auto"/>
                    <w:right w:val="none" w:sz="0" w:space="0" w:color="auto"/>
                  </w:divBdr>
                </w:div>
                <w:div w:id="1907376277">
                  <w:marLeft w:val="0"/>
                  <w:marRight w:val="0"/>
                  <w:marTop w:val="0"/>
                  <w:marBottom w:val="0"/>
                  <w:divBdr>
                    <w:top w:val="none" w:sz="0" w:space="0" w:color="auto"/>
                    <w:left w:val="none" w:sz="0" w:space="0" w:color="auto"/>
                    <w:bottom w:val="none" w:sz="0" w:space="0" w:color="auto"/>
                    <w:right w:val="none" w:sz="0" w:space="0" w:color="auto"/>
                  </w:divBdr>
                </w:div>
                <w:div w:id="1909535917">
                  <w:marLeft w:val="0"/>
                  <w:marRight w:val="0"/>
                  <w:marTop w:val="0"/>
                  <w:marBottom w:val="0"/>
                  <w:divBdr>
                    <w:top w:val="none" w:sz="0" w:space="0" w:color="auto"/>
                    <w:left w:val="none" w:sz="0" w:space="0" w:color="auto"/>
                    <w:bottom w:val="none" w:sz="0" w:space="0" w:color="auto"/>
                    <w:right w:val="none" w:sz="0" w:space="0" w:color="auto"/>
                  </w:divBdr>
                </w:div>
                <w:div w:id="1913272186">
                  <w:marLeft w:val="0"/>
                  <w:marRight w:val="0"/>
                  <w:marTop w:val="0"/>
                  <w:marBottom w:val="0"/>
                  <w:divBdr>
                    <w:top w:val="none" w:sz="0" w:space="0" w:color="auto"/>
                    <w:left w:val="none" w:sz="0" w:space="0" w:color="auto"/>
                    <w:bottom w:val="none" w:sz="0" w:space="0" w:color="auto"/>
                    <w:right w:val="none" w:sz="0" w:space="0" w:color="auto"/>
                  </w:divBdr>
                </w:div>
                <w:div w:id="199008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99373">
          <w:marLeft w:val="0"/>
          <w:marRight w:val="0"/>
          <w:marTop w:val="15"/>
          <w:marBottom w:val="0"/>
          <w:divBdr>
            <w:top w:val="none" w:sz="0" w:space="0" w:color="auto"/>
            <w:left w:val="none" w:sz="0" w:space="0" w:color="auto"/>
            <w:bottom w:val="none" w:sz="0" w:space="0" w:color="auto"/>
            <w:right w:val="none" w:sz="0" w:space="0" w:color="auto"/>
          </w:divBdr>
          <w:divsChild>
            <w:div w:id="312178556">
              <w:marLeft w:val="0"/>
              <w:marRight w:val="0"/>
              <w:marTop w:val="0"/>
              <w:marBottom w:val="0"/>
              <w:divBdr>
                <w:top w:val="none" w:sz="0" w:space="0" w:color="auto"/>
                <w:left w:val="none" w:sz="0" w:space="0" w:color="auto"/>
                <w:bottom w:val="none" w:sz="0" w:space="0" w:color="auto"/>
                <w:right w:val="none" w:sz="0" w:space="0" w:color="auto"/>
              </w:divBdr>
              <w:divsChild>
                <w:div w:id="17052832">
                  <w:marLeft w:val="0"/>
                  <w:marRight w:val="0"/>
                  <w:marTop w:val="0"/>
                  <w:marBottom w:val="0"/>
                  <w:divBdr>
                    <w:top w:val="none" w:sz="0" w:space="0" w:color="auto"/>
                    <w:left w:val="none" w:sz="0" w:space="0" w:color="auto"/>
                    <w:bottom w:val="none" w:sz="0" w:space="0" w:color="auto"/>
                    <w:right w:val="none" w:sz="0" w:space="0" w:color="auto"/>
                  </w:divBdr>
                </w:div>
                <w:div w:id="251087336">
                  <w:marLeft w:val="0"/>
                  <w:marRight w:val="0"/>
                  <w:marTop w:val="0"/>
                  <w:marBottom w:val="0"/>
                  <w:divBdr>
                    <w:top w:val="none" w:sz="0" w:space="0" w:color="auto"/>
                    <w:left w:val="none" w:sz="0" w:space="0" w:color="auto"/>
                    <w:bottom w:val="none" w:sz="0" w:space="0" w:color="auto"/>
                    <w:right w:val="none" w:sz="0" w:space="0" w:color="auto"/>
                  </w:divBdr>
                </w:div>
                <w:div w:id="397627844">
                  <w:marLeft w:val="0"/>
                  <w:marRight w:val="0"/>
                  <w:marTop w:val="0"/>
                  <w:marBottom w:val="0"/>
                  <w:divBdr>
                    <w:top w:val="none" w:sz="0" w:space="0" w:color="auto"/>
                    <w:left w:val="none" w:sz="0" w:space="0" w:color="auto"/>
                    <w:bottom w:val="none" w:sz="0" w:space="0" w:color="auto"/>
                    <w:right w:val="none" w:sz="0" w:space="0" w:color="auto"/>
                  </w:divBdr>
                </w:div>
                <w:div w:id="653488949">
                  <w:marLeft w:val="0"/>
                  <w:marRight w:val="0"/>
                  <w:marTop w:val="0"/>
                  <w:marBottom w:val="0"/>
                  <w:divBdr>
                    <w:top w:val="none" w:sz="0" w:space="0" w:color="auto"/>
                    <w:left w:val="none" w:sz="0" w:space="0" w:color="auto"/>
                    <w:bottom w:val="none" w:sz="0" w:space="0" w:color="auto"/>
                    <w:right w:val="none" w:sz="0" w:space="0" w:color="auto"/>
                  </w:divBdr>
                </w:div>
                <w:div w:id="680669651">
                  <w:marLeft w:val="0"/>
                  <w:marRight w:val="0"/>
                  <w:marTop w:val="0"/>
                  <w:marBottom w:val="0"/>
                  <w:divBdr>
                    <w:top w:val="none" w:sz="0" w:space="0" w:color="auto"/>
                    <w:left w:val="none" w:sz="0" w:space="0" w:color="auto"/>
                    <w:bottom w:val="none" w:sz="0" w:space="0" w:color="auto"/>
                    <w:right w:val="none" w:sz="0" w:space="0" w:color="auto"/>
                  </w:divBdr>
                </w:div>
                <w:div w:id="701131708">
                  <w:marLeft w:val="0"/>
                  <w:marRight w:val="0"/>
                  <w:marTop w:val="0"/>
                  <w:marBottom w:val="0"/>
                  <w:divBdr>
                    <w:top w:val="none" w:sz="0" w:space="0" w:color="auto"/>
                    <w:left w:val="none" w:sz="0" w:space="0" w:color="auto"/>
                    <w:bottom w:val="none" w:sz="0" w:space="0" w:color="auto"/>
                    <w:right w:val="none" w:sz="0" w:space="0" w:color="auto"/>
                  </w:divBdr>
                </w:div>
                <w:div w:id="756947762">
                  <w:marLeft w:val="0"/>
                  <w:marRight w:val="0"/>
                  <w:marTop w:val="0"/>
                  <w:marBottom w:val="0"/>
                  <w:divBdr>
                    <w:top w:val="none" w:sz="0" w:space="0" w:color="auto"/>
                    <w:left w:val="none" w:sz="0" w:space="0" w:color="auto"/>
                    <w:bottom w:val="none" w:sz="0" w:space="0" w:color="auto"/>
                    <w:right w:val="none" w:sz="0" w:space="0" w:color="auto"/>
                  </w:divBdr>
                </w:div>
                <w:div w:id="793402165">
                  <w:marLeft w:val="0"/>
                  <w:marRight w:val="0"/>
                  <w:marTop w:val="0"/>
                  <w:marBottom w:val="0"/>
                  <w:divBdr>
                    <w:top w:val="none" w:sz="0" w:space="0" w:color="auto"/>
                    <w:left w:val="none" w:sz="0" w:space="0" w:color="auto"/>
                    <w:bottom w:val="none" w:sz="0" w:space="0" w:color="auto"/>
                    <w:right w:val="none" w:sz="0" w:space="0" w:color="auto"/>
                  </w:divBdr>
                </w:div>
                <w:div w:id="1002123109">
                  <w:marLeft w:val="0"/>
                  <w:marRight w:val="0"/>
                  <w:marTop w:val="0"/>
                  <w:marBottom w:val="0"/>
                  <w:divBdr>
                    <w:top w:val="none" w:sz="0" w:space="0" w:color="auto"/>
                    <w:left w:val="none" w:sz="0" w:space="0" w:color="auto"/>
                    <w:bottom w:val="none" w:sz="0" w:space="0" w:color="auto"/>
                    <w:right w:val="none" w:sz="0" w:space="0" w:color="auto"/>
                  </w:divBdr>
                </w:div>
                <w:div w:id="1003627499">
                  <w:marLeft w:val="0"/>
                  <w:marRight w:val="0"/>
                  <w:marTop w:val="0"/>
                  <w:marBottom w:val="0"/>
                  <w:divBdr>
                    <w:top w:val="none" w:sz="0" w:space="0" w:color="auto"/>
                    <w:left w:val="none" w:sz="0" w:space="0" w:color="auto"/>
                    <w:bottom w:val="none" w:sz="0" w:space="0" w:color="auto"/>
                    <w:right w:val="none" w:sz="0" w:space="0" w:color="auto"/>
                  </w:divBdr>
                </w:div>
                <w:div w:id="1049647589">
                  <w:marLeft w:val="0"/>
                  <w:marRight w:val="0"/>
                  <w:marTop w:val="0"/>
                  <w:marBottom w:val="0"/>
                  <w:divBdr>
                    <w:top w:val="none" w:sz="0" w:space="0" w:color="auto"/>
                    <w:left w:val="none" w:sz="0" w:space="0" w:color="auto"/>
                    <w:bottom w:val="none" w:sz="0" w:space="0" w:color="auto"/>
                    <w:right w:val="none" w:sz="0" w:space="0" w:color="auto"/>
                  </w:divBdr>
                </w:div>
                <w:div w:id="1166091187">
                  <w:marLeft w:val="0"/>
                  <w:marRight w:val="0"/>
                  <w:marTop w:val="0"/>
                  <w:marBottom w:val="0"/>
                  <w:divBdr>
                    <w:top w:val="none" w:sz="0" w:space="0" w:color="auto"/>
                    <w:left w:val="none" w:sz="0" w:space="0" w:color="auto"/>
                    <w:bottom w:val="none" w:sz="0" w:space="0" w:color="auto"/>
                    <w:right w:val="none" w:sz="0" w:space="0" w:color="auto"/>
                  </w:divBdr>
                </w:div>
                <w:div w:id="1230000124">
                  <w:marLeft w:val="0"/>
                  <w:marRight w:val="0"/>
                  <w:marTop w:val="0"/>
                  <w:marBottom w:val="0"/>
                  <w:divBdr>
                    <w:top w:val="none" w:sz="0" w:space="0" w:color="auto"/>
                    <w:left w:val="none" w:sz="0" w:space="0" w:color="auto"/>
                    <w:bottom w:val="none" w:sz="0" w:space="0" w:color="auto"/>
                    <w:right w:val="none" w:sz="0" w:space="0" w:color="auto"/>
                  </w:divBdr>
                </w:div>
                <w:div w:id="1317153219">
                  <w:marLeft w:val="0"/>
                  <w:marRight w:val="0"/>
                  <w:marTop w:val="0"/>
                  <w:marBottom w:val="0"/>
                  <w:divBdr>
                    <w:top w:val="none" w:sz="0" w:space="0" w:color="auto"/>
                    <w:left w:val="none" w:sz="0" w:space="0" w:color="auto"/>
                    <w:bottom w:val="none" w:sz="0" w:space="0" w:color="auto"/>
                    <w:right w:val="none" w:sz="0" w:space="0" w:color="auto"/>
                  </w:divBdr>
                </w:div>
                <w:div w:id="1369993013">
                  <w:marLeft w:val="0"/>
                  <w:marRight w:val="0"/>
                  <w:marTop w:val="0"/>
                  <w:marBottom w:val="0"/>
                  <w:divBdr>
                    <w:top w:val="none" w:sz="0" w:space="0" w:color="auto"/>
                    <w:left w:val="none" w:sz="0" w:space="0" w:color="auto"/>
                    <w:bottom w:val="none" w:sz="0" w:space="0" w:color="auto"/>
                    <w:right w:val="none" w:sz="0" w:space="0" w:color="auto"/>
                  </w:divBdr>
                </w:div>
                <w:div w:id="1469126431">
                  <w:marLeft w:val="0"/>
                  <w:marRight w:val="0"/>
                  <w:marTop w:val="0"/>
                  <w:marBottom w:val="0"/>
                  <w:divBdr>
                    <w:top w:val="none" w:sz="0" w:space="0" w:color="auto"/>
                    <w:left w:val="none" w:sz="0" w:space="0" w:color="auto"/>
                    <w:bottom w:val="none" w:sz="0" w:space="0" w:color="auto"/>
                    <w:right w:val="none" w:sz="0" w:space="0" w:color="auto"/>
                  </w:divBdr>
                </w:div>
                <w:div w:id="1497722466">
                  <w:marLeft w:val="0"/>
                  <w:marRight w:val="0"/>
                  <w:marTop w:val="0"/>
                  <w:marBottom w:val="0"/>
                  <w:divBdr>
                    <w:top w:val="none" w:sz="0" w:space="0" w:color="auto"/>
                    <w:left w:val="none" w:sz="0" w:space="0" w:color="auto"/>
                    <w:bottom w:val="none" w:sz="0" w:space="0" w:color="auto"/>
                    <w:right w:val="none" w:sz="0" w:space="0" w:color="auto"/>
                  </w:divBdr>
                </w:div>
                <w:div w:id="1685671536">
                  <w:marLeft w:val="0"/>
                  <w:marRight w:val="0"/>
                  <w:marTop w:val="0"/>
                  <w:marBottom w:val="0"/>
                  <w:divBdr>
                    <w:top w:val="none" w:sz="0" w:space="0" w:color="auto"/>
                    <w:left w:val="none" w:sz="0" w:space="0" w:color="auto"/>
                    <w:bottom w:val="none" w:sz="0" w:space="0" w:color="auto"/>
                    <w:right w:val="none" w:sz="0" w:space="0" w:color="auto"/>
                  </w:divBdr>
                </w:div>
                <w:div w:id="1822194408">
                  <w:marLeft w:val="0"/>
                  <w:marRight w:val="0"/>
                  <w:marTop w:val="0"/>
                  <w:marBottom w:val="0"/>
                  <w:divBdr>
                    <w:top w:val="none" w:sz="0" w:space="0" w:color="auto"/>
                    <w:left w:val="none" w:sz="0" w:space="0" w:color="auto"/>
                    <w:bottom w:val="none" w:sz="0" w:space="0" w:color="auto"/>
                    <w:right w:val="none" w:sz="0" w:space="0" w:color="auto"/>
                  </w:divBdr>
                </w:div>
                <w:div w:id="1843232272">
                  <w:marLeft w:val="0"/>
                  <w:marRight w:val="0"/>
                  <w:marTop w:val="0"/>
                  <w:marBottom w:val="0"/>
                  <w:divBdr>
                    <w:top w:val="none" w:sz="0" w:space="0" w:color="auto"/>
                    <w:left w:val="none" w:sz="0" w:space="0" w:color="auto"/>
                    <w:bottom w:val="none" w:sz="0" w:space="0" w:color="auto"/>
                    <w:right w:val="none" w:sz="0" w:space="0" w:color="auto"/>
                  </w:divBdr>
                </w:div>
                <w:div w:id="1844319728">
                  <w:marLeft w:val="0"/>
                  <w:marRight w:val="0"/>
                  <w:marTop w:val="0"/>
                  <w:marBottom w:val="0"/>
                  <w:divBdr>
                    <w:top w:val="none" w:sz="0" w:space="0" w:color="auto"/>
                    <w:left w:val="none" w:sz="0" w:space="0" w:color="auto"/>
                    <w:bottom w:val="none" w:sz="0" w:space="0" w:color="auto"/>
                    <w:right w:val="none" w:sz="0" w:space="0" w:color="auto"/>
                  </w:divBdr>
                </w:div>
                <w:div w:id="1897010033">
                  <w:marLeft w:val="0"/>
                  <w:marRight w:val="0"/>
                  <w:marTop w:val="0"/>
                  <w:marBottom w:val="0"/>
                  <w:divBdr>
                    <w:top w:val="none" w:sz="0" w:space="0" w:color="auto"/>
                    <w:left w:val="none" w:sz="0" w:space="0" w:color="auto"/>
                    <w:bottom w:val="none" w:sz="0" w:space="0" w:color="auto"/>
                    <w:right w:val="none" w:sz="0" w:space="0" w:color="auto"/>
                  </w:divBdr>
                </w:div>
                <w:div w:id="1966038926">
                  <w:marLeft w:val="0"/>
                  <w:marRight w:val="0"/>
                  <w:marTop w:val="0"/>
                  <w:marBottom w:val="0"/>
                  <w:divBdr>
                    <w:top w:val="none" w:sz="0" w:space="0" w:color="auto"/>
                    <w:left w:val="none" w:sz="0" w:space="0" w:color="auto"/>
                    <w:bottom w:val="none" w:sz="0" w:space="0" w:color="auto"/>
                    <w:right w:val="none" w:sz="0" w:space="0" w:color="auto"/>
                  </w:divBdr>
                </w:div>
                <w:div w:id="1977443385">
                  <w:marLeft w:val="0"/>
                  <w:marRight w:val="0"/>
                  <w:marTop w:val="0"/>
                  <w:marBottom w:val="0"/>
                  <w:divBdr>
                    <w:top w:val="none" w:sz="0" w:space="0" w:color="auto"/>
                    <w:left w:val="none" w:sz="0" w:space="0" w:color="auto"/>
                    <w:bottom w:val="none" w:sz="0" w:space="0" w:color="auto"/>
                    <w:right w:val="none" w:sz="0" w:space="0" w:color="auto"/>
                  </w:divBdr>
                </w:div>
                <w:div w:id="2005234891">
                  <w:marLeft w:val="0"/>
                  <w:marRight w:val="0"/>
                  <w:marTop w:val="0"/>
                  <w:marBottom w:val="0"/>
                  <w:divBdr>
                    <w:top w:val="none" w:sz="0" w:space="0" w:color="auto"/>
                    <w:left w:val="none" w:sz="0" w:space="0" w:color="auto"/>
                    <w:bottom w:val="none" w:sz="0" w:space="0" w:color="auto"/>
                    <w:right w:val="none" w:sz="0" w:space="0" w:color="auto"/>
                  </w:divBdr>
                </w:div>
                <w:div w:id="2008706402">
                  <w:marLeft w:val="0"/>
                  <w:marRight w:val="0"/>
                  <w:marTop w:val="0"/>
                  <w:marBottom w:val="0"/>
                  <w:divBdr>
                    <w:top w:val="none" w:sz="0" w:space="0" w:color="auto"/>
                    <w:left w:val="none" w:sz="0" w:space="0" w:color="auto"/>
                    <w:bottom w:val="none" w:sz="0" w:space="0" w:color="auto"/>
                    <w:right w:val="none" w:sz="0" w:space="0" w:color="auto"/>
                  </w:divBdr>
                </w:div>
                <w:div w:id="2029869359">
                  <w:marLeft w:val="0"/>
                  <w:marRight w:val="0"/>
                  <w:marTop w:val="0"/>
                  <w:marBottom w:val="0"/>
                  <w:divBdr>
                    <w:top w:val="none" w:sz="0" w:space="0" w:color="auto"/>
                    <w:left w:val="none" w:sz="0" w:space="0" w:color="auto"/>
                    <w:bottom w:val="none" w:sz="0" w:space="0" w:color="auto"/>
                    <w:right w:val="none" w:sz="0" w:space="0" w:color="auto"/>
                  </w:divBdr>
                </w:div>
                <w:div w:id="2101677127">
                  <w:marLeft w:val="0"/>
                  <w:marRight w:val="0"/>
                  <w:marTop w:val="0"/>
                  <w:marBottom w:val="0"/>
                  <w:divBdr>
                    <w:top w:val="none" w:sz="0" w:space="0" w:color="auto"/>
                    <w:left w:val="none" w:sz="0" w:space="0" w:color="auto"/>
                    <w:bottom w:val="none" w:sz="0" w:space="0" w:color="auto"/>
                    <w:right w:val="none" w:sz="0" w:space="0" w:color="auto"/>
                  </w:divBdr>
                </w:div>
                <w:div w:id="213516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7547">
          <w:marLeft w:val="0"/>
          <w:marRight w:val="0"/>
          <w:marTop w:val="15"/>
          <w:marBottom w:val="0"/>
          <w:divBdr>
            <w:top w:val="none" w:sz="0" w:space="0" w:color="auto"/>
            <w:left w:val="none" w:sz="0" w:space="0" w:color="auto"/>
            <w:bottom w:val="none" w:sz="0" w:space="0" w:color="auto"/>
            <w:right w:val="none" w:sz="0" w:space="0" w:color="auto"/>
          </w:divBdr>
          <w:divsChild>
            <w:div w:id="603613835">
              <w:marLeft w:val="0"/>
              <w:marRight w:val="0"/>
              <w:marTop w:val="0"/>
              <w:marBottom w:val="0"/>
              <w:divBdr>
                <w:top w:val="none" w:sz="0" w:space="0" w:color="auto"/>
                <w:left w:val="none" w:sz="0" w:space="0" w:color="auto"/>
                <w:bottom w:val="none" w:sz="0" w:space="0" w:color="auto"/>
                <w:right w:val="none" w:sz="0" w:space="0" w:color="auto"/>
              </w:divBdr>
              <w:divsChild>
                <w:div w:id="20208135">
                  <w:marLeft w:val="0"/>
                  <w:marRight w:val="0"/>
                  <w:marTop w:val="0"/>
                  <w:marBottom w:val="0"/>
                  <w:divBdr>
                    <w:top w:val="none" w:sz="0" w:space="0" w:color="auto"/>
                    <w:left w:val="none" w:sz="0" w:space="0" w:color="auto"/>
                    <w:bottom w:val="none" w:sz="0" w:space="0" w:color="auto"/>
                    <w:right w:val="none" w:sz="0" w:space="0" w:color="auto"/>
                  </w:divBdr>
                </w:div>
                <w:div w:id="76749425">
                  <w:marLeft w:val="0"/>
                  <w:marRight w:val="0"/>
                  <w:marTop w:val="0"/>
                  <w:marBottom w:val="0"/>
                  <w:divBdr>
                    <w:top w:val="none" w:sz="0" w:space="0" w:color="auto"/>
                    <w:left w:val="none" w:sz="0" w:space="0" w:color="auto"/>
                    <w:bottom w:val="none" w:sz="0" w:space="0" w:color="auto"/>
                    <w:right w:val="none" w:sz="0" w:space="0" w:color="auto"/>
                  </w:divBdr>
                </w:div>
                <w:div w:id="158927234">
                  <w:marLeft w:val="0"/>
                  <w:marRight w:val="0"/>
                  <w:marTop w:val="0"/>
                  <w:marBottom w:val="0"/>
                  <w:divBdr>
                    <w:top w:val="none" w:sz="0" w:space="0" w:color="auto"/>
                    <w:left w:val="none" w:sz="0" w:space="0" w:color="auto"/>
                    <w:bottom w:val="none" w:sz="0" w:space="0" w:color="auto"/>
                    <w:right w:val="none" w:sz="0" w:space="0" w:color="auto"/>
                  </w:divBdr>
                </w:div>
                <w:div w:id="531192231">
                  <w:marLeft w:val="0"/>
                  <w:marRight w:val="0"/>
                  <w:marTop w:val="0"/>
                  <w:marBottom w:val="0"/>
                  <w:divBdr>
                    <w:top w:val="none" w:sz="0" w:space="0" w:color="auto"/>
                    <w:left w:val="none" w:sz="0" w:space="0" w:color="auto"/>
                    <w:bottom w:val="none" w:sz="0" w:space="0" w:color="auto"/>
                    <w:right w:val="none" w:sz="0" w:space="0" w:color="auto"/>
                  </w:divBdr>
                </w:div>
                <w:div w:id="726030582">
                  <w:marLeft w:val="0"/>
                  <w:marRight w:val="0"/>
                  <w:marTop w:val="0"/>
                  <w:marBottom w:val="0"/>
                  <w:divBdr>
                    <w:top w:val="none" w:sz="0" w:space="0" w:color="auto"/>
                    <w:left w:val="none" w:sz="0" w:space="0" w:color="auto"/>
                    <w:bottom w:val="none" w:sz="0" w:space="0" w:color="auto"/>
                    <w:right w:val="none" w:sz="0" w:space="0" w:color="auto"/>
                  </w:divBdr>
                </w:div>
                <w:div w:id="796096956">
                  <w:marLeft w:val="0"/>
                  <w:marRight w:val="0"/>
                  <w:marTop w:val="0"/>
                  <w:marBottom w:val="0"/>
                  <w:divBdr>
                    <w:top w:val="none" w:sz="0" w:space="0" w:color="auto"/>
                    <w:left w:val="none" w:sz="0" w:space="0" w:color="auto"/>
                    <w:bottom w:val="none" w:sz="0" w:space="0" w:color="auto"/>
                    <w:right w:val="none" w:sz="0" w:space="0" w:color="auto"/>
                  </w:divBdr>
                </w:div>
                <w:div w:id="805702973">
                  <w:marLeft w:val="0"/>
                  <w:marRight w:val="0"/>
                  <w:marTop w:val="0"/>
                  <w:marBottom w:val="0"/>
                  <w:divBdr>
                    <w:top w:val="none" w:sz="0" w:space="0" w:color="auto"/>
                    <w:left w:val="none" w:sz="0" w:space="0" w:color="auto"/>
                    <w:bottom w:val="none" w:sz="0" w:space="0" w:color="auto"/>
                    <w:right w:val="none" w:sz="0" w:space="0" w:color="auto"/>
                  </w:divBdr>
                </w:div>
                <w:div w:id="918099844">
                  <w:marLeft w:val="0"/>
                  <w:marRight w:val="0"/>
                  <w:marTop w:val="0"/>
                  <w:marBottom w:val="0"/>
                  <w:divBdr>
                    <w:top w:val="none" w:sz="0" w:space="0" w:color="auto"/>
                    <w:left w:val="none" w:sz="0" w:space="0" w:color="auto"/>
                    <w:bottom w:val="none" w:sz="0" w:space="0" w:color="auto"/>
                    <w:right w:val="none" w:sz="0" w:space="0" w:color="auto"/>
                  </w:divBdr>
                </w:div>
                <w:div w:id="948270527">
                  <w:marLeft w:val="0"/>
                  <w:marRight w:val="0"/>
                  <w:marTop w:val="0"/>
                  <w:marBottom w:val="0"/>
                  <w:divBdr>
                    <w:top w:val="none" w:sz="0" w:space="0" w:color="auto"/>
                    <w:left w:val="none" w:sz="0" w:space="0" w:color="auto"/>
                    <w:bottom w:val="none" w:sz="0" w:space="0" w:color="auto"/>
                    <w:right w:val="none" w:sz="0" w:space="0" w:color="auto"/>
                  </w:divBdr>
                </w:div>
                <w:div w:id="1004865513">
                  <w:marLeft w:val="0"/>
                  <w:marRight w:val="0"/>
                  <w:marTop w:val="0"/>
                  <w:marBottom w:val="0"/>
                  <w:divBdr>
                    <w:top w:val="none" w:sz="0" w:space="0" w:color="auto"/>
                    <w:left w:val="none" w:sz="0" w:space="0" w:color="auto"/>
                    <w:bottom w:val="none" w:sz="0" w:space="0" w:color="auto"/>
                    <w:right w:val="none" w:sz="0" w:space="0" w:color="auto"/>
                  </w:divBdr>
                </w:div>
                <w:div w:id="1016924480">
                  <w:marLeft w:val="0"/>
                  <w:marRight w:val="0"/>
                  <w:marTop w:val="0"/>
                  <w:marBottom w:val="0"/>
                  <w:divBdr>
                    <w:top w:val="none" w:sz="0" w:space="0" w:color="auto"/>
                    <w:left w:val="none" w:sz="0" w:space="0" w:color="auto"/>
                    <w:bottom w:val="none" w:sz="0" w:space="0" w:color="auto"/>
                    <w:right w:val="none" w:sz="0" w:space="0" w:color="auto"/>
                  </w:divBdr>
                </w:div>
                <w:div w:id="1151558857">
                  <w:marLeft w:val="0"/>
                  <w:marRight w:val="0"/>
                  <w:marTop w:val="0"/>
                  <w:marBottom w:val="0"/>
                  <w:divBdr>
                    <w:top w:val="none" w:sz="0" w:space="0" w:color="auto"/>
                    <w:left w:val="none" w:sz="0" w:space="0" w:color="auto"/>
                    <w:bottom w:val="none" w:sz="0" w:space="0" w:color="auto"/>
                    <w:right w:val="none" w:sz="0" w:space="0" w:color="auto"/>
                  </w:divBdr>
                </w:div>
                <w:div w:id="1327126999">
                  <w:marLeft w:val="0"/>
                  <w:marRight w:val="0"/>
                  <w:marTop w:val="0"/>
                  <w:marBottom w:val="0"/>
                  <w:divBdr>
                    <w:top w:val="none" w:sz="0" w:space="0" w:color="auto"/>
                    <w:left w:val="none" w:sz="0" w:space="0" w:color="auto"/>
                    <w:bottom w:val="none" w:sz="0" w:space="0" w:color="auto"/>
                    <w:right w:val="none" w:sz="0" w:space="0" w:color="auto"/>
                  </w:divBdr>
                </w:div>
                <w:div w:id="1391424258">
                  <w:marLeft w:val="0"/>
                  <w:marRight w:val="0"/>
                  <w:marTop w:val="0"/>
                  <w:marBottom w:val="0"/>
                  <w:divBdr>
                    <w:top w:val="none" w:sz="0" w:space="0" w:color="auto"/>
                    <w:left w:val="none" w:sz="0" w:space="0" w:color="auto"/>
                    <w:bottom w:val="none" w:sz="0" w:space="0" w:color="auto"/>
                    <w:right w:val="none" w:sz="0" w:space="0" w:color="auto"/>
                  </w:divBdr>
                </w:div>
                <w:div w:id="1404837394">
                  <w:marLeft w:val="0"/>
                  <w:marRight w:val="0"/>
                  <w:marTop w:val="0"/>
                  <w:marBottom w:val="0"/>
                  <w:divBdr>
                    <w:top w:val="none" w:sz="0" w:space="0" w:color="auto"/>
                    <w:left w:val="none" w:sz="0" w:space="0" w:color="auto"/>
                    <w:bottom w:val="none" w:sz="0" w:space="0" w:color="auto"/>
                    <w:right w:val="none" w:sz="0" w:space="0" w:color="auto"/>
                  </w:divBdr>
                </w:div>
                <w:div w:id="1422946004">
                  <w:marLeft w:val="0"/>
                  <w:marRight w:val="0"/>
                  <w:marTop w:val="0"/>
                  <w:marBottom w:val="0"/>
                  <w:divBdr>
                    <w:top w:val="none" w:sz="0" w:space="0" w:color="auto"/>
                    <w:left w:val="none" w:sz="0" w:space="0" w:color="auto"/>
                    <w:bottom w:val="none" w:sz="0" w:space="0" w:color="auto"/>
                    <w:right w:val="none" w:sz="0" w:space="0" w:color="auto"/>
                  </w:divBdr>
                </w:div>
                <w:div w:id="1482885815">
                  <w:marLeft w:val="0"/>
                  <w:marRight w:val="0"/>
                  <w:marTop w:val="0"/>
                  <w:marBottom w:val="0"/>
                  <w:divBdr>
                    <w:top w:val="none" w:sz="0" w:space="0" w:color="auto"/>
                    <w:left w:val="none" w:sz="0" w:space="0" w:color="auto"/>
                    <w:bottom w:val="none" w:sz="0" w:space="0" w:color="auto"/>
                    <w:right w:val="none" w:sz="0" w:space="0" w:color="auto"/>
                  </w:divBdr>
                </w:div>
                <w:div w:id="1509981707">
                  <w:marLeft w:val="0"/>
                  <w:marRight w:val="0"/>
                  <w:marTop w:val="0"/>
                  <w:marBottom w:val="0"/>
                  <w:divBdr>
                    <w:top w:val="none" w:sz="0" w:space="0" w:color="auto"/>
                    <w:left w:val="none" w:sz="0" w:space="0" w:color="auto"/>
                    <w:bottom w:val="none" w:sz="0" w:space="0" w:color="auto"/>
                    <w:right w:val="none" w:sz="0" w:space="0" w:color="auto"/>
                  </w:divBdr>
                </w:div>
                <w:div w:id="1510480687">
                  <w:marLeft w:val="0"/>
                  <w:marRight w:val="0"/>
                  <w:marTop w:val="0"/>
                  <w:marBottom w:val="0"/>
                  <w:divBdr>
                    <w:top w:val="none" w:sz="0" w:space="0" w:color="auto"/>
                    <w:left w:val="none" w:sz="0" w:space="0" w:color="auto"/>
                    <w:bottom w:val="none" w:sz="0" w:space="0" w:color="auto"/>
                    <w:right w:val="none" w:sz="0" w:space="0" w:color="auto"/>
                  </w:divBdr>
                </w:div>
                <w:div w:id="1621565410">
                  <w:marLeft w:val="0"/>
                  <w:marRight w:val="0"/>
                  <w:marTop w:val="0"/>
                  <w:marBottom w:val="0"/>
                  <w:divBdr>
                    <w:top w:val="none" w:sz="0" w:space="0" w:color="auto"/>
                    <w:left w:val="none" w:sz="0" w:space="0" w:color="auto"/>
                    <w:bottom w:val="none" w:sz="0" w:space="0" w:color="auto"/>
                    <w:right w:val="none" w:sz="0" w:space="0" w:color="auto"/>
                  </w:divBdr>
                </w:div>
                <w:div w:id="1721174279">
                  <w:marLeft w:val="0"/>
                  <w:marRight w:val="0"/>
                  <w:marTop w:val="0"/>
                  <w:marBottom w:val="0"/>
                  <w:divBdr>
                    <w:top w:val="none" w:sz="0" w:space="0" w:color="auto"/>
                    <w:left w:val="none" w:sz="0" w:space="0" w:color="auto"/>
                    <w:bottom w:val="none" w:sz="0" w:space="0" w:color="auto"/>
                    <w:right w:val="none" w:sz="0" w:space="0" w:color="auto"/>
                  </w:divBdr>
                </w:div>
                <w:div w:id="1799297358">
                  <w:marLeft w:val="0"/>
                  <w:marRight w:val="0"/>
                  <w:marTop w:val="0"/>
                  <w:marBottom w:val="0"/>
                  <w:divBdr>
                    <w:top w:val="none" w:sz="0" w:space="0" w:color="auto"/>
                    <w:left w:val="none" w:sz="0" w:space="0" w:color="auto"/>
                    <w:bottom w:val="none" w:sz="0" w:space="0" w:color="auto"/>
                    <w:right w:val="none" w:sz="0" w:space="0" w:color="auto"/>
                  </w:divBdr>
                </w:div>
                <w:div w:id="1834948202">
                  <w:marLeft w:val="0"/>
                  <w:marRight w:val="0"/>
                  <w:marTop w:val="0"/>
                  <w:marBottom w:val="0"/>
                  <w:divBdr>
                    <w:top w:val="none" w:sz="0" w:space="0" w:color="auto"/>
                    <w:left w:val="none" w:sz="0" w:space="0" w:color="auto"/>
                    <w:bottom w:val="none" w:sz="0" w:space="0" w:color="auto"/>
                    <w:right w:val="none" w:sz="0" w:space="0" w:color="auto"/>
                  </w:divBdr>
                </w:div>
                <w:div w:id="1874920070">
                  <w:marLeft w:val="0"/>
                  <w:marRight w:val="0"/>
                  <w:marTop w:val="0"/>
                  <w:marBottom w:val="0"/>
                  <w:divBdr>
                    <w:top w:val="none" w:sz="0" w:space="0" w:color="auto"/>
                    <w:left w:val="none" w:sz="0" w:space="0" w:color="auto"/>
                    <w:bottom w:val="none" w:sz="0" w:space="0" w:color="auto"/>
                    <w:right w:val="none" w:sz="0" w:space="0" w:color="auto"/>
                  </w:divBdr>
                </w:div>
                <w:div w:id="1906379276">
                  <w:marLeft w:val="0"/>
                  <w:marRight w:val="0"/>
                  <w:marTop w:val="0"/>
                  <w:marBottom w:val="0"/>
                  <w:divBdr>
                    <w:top w:val="none" w:sz="0" w:space="0" w:color="auto"/>
                    <w:left w:val="none" w:sz="0" w:space="0" w:color="auto"/>
                    <w:bottom w:val="none" w:sz="0" w:space="0" w:color="auto"/>
                    <w:right w:val="none" w:sz="0" w:space="0" w:color="auto"/>
                  </w:divBdr>
                </w:div>
                <w:div w:id="1954945948">
                  <w:marLeft w:val="0"/>
                  <w:marRight w:val="0"/>
                  <w:marTop w:val="0"/>
                  <w:marBottom w:val="0"/>
                  <w:divBdr>
                    <w:top w:val="none" w:sz="0" w:space="0" w:color="auto"/>
                    <w:left w:val="none" w:sz="0" w:space="0" w:color="auto"/>
                    <w:bottom w:val="none" w:sz="0" w:space="0" w:color="auto"/>
                    <w:right w:val="none" w:sz="0" w:space="0" w:color="auto"/>
                  </w:divBdr>
                </w:div>
                <w:div w:id="1990597161">
                  <w:marLeft w:val="0"/>
                  <w:marRight w:val="0"/>
                  <w:marTop w:val="0"/>
                  <w:marBottom w:val="0"/>
                  <w:divBdr>
                    <w:top w:val="none" w:sz="0" w:space="0" w:color="auto"/>
                    <w:left w:val="none" w:sz="0" w:space="0" w:color="auto"/>
                    <w:bottom w:val="none" w:sz="0" w:space="0" w:color="auto"/>
                    <w:right w:val="none" w:sz="0" w:space="0" w:color="auto"/>
                  </w:divBdr>
                </w:div>
                <w:div w:id="2100322186">
                  <w:marLeft w:val="0"/>
                  <w:marRight w:val="0"/>
                  <w:marTop w:val="0"/>
                  <w:marBottom w:val="0"/>
                  <w:divBdr>
                    <w:top w:val="none" w:sz="0" w:space="0" w:color="auto"/>
                    <w:left w:val="none" w:sz="0" w:space="0" w:color="auto"/>
                    <w:bottom w:val="none" w:sz="0" w:space="0" w:color="auto"/>
                    <w:right w:val="none" w:sz="0" w:space="0" w:color="auto"/>
                  </w:divBdr>
                </w:div>
                <w:div w:id="211269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371808">
      <w:bodyDiv w:val="1"/>
      <w:marLeft w:val="0"/>
      <w:marRight w:val="0"/>
      <w:marTop w:val="0"/>
      <w:marBottom w:val="0"/>
      <w:divBdr>
        <w:top w:val="none" w:sz="0" w:space="0" w:color="auto"/>
        <w:left w:val="none" w:sz="0" w:space="0" w:color="auto"/>
        <w:bottom w:val="none" w:sz="0" w:space="0" w:color="auto"/>
        <w:right w:val="none" w:sz="0" w:space="0" w:color="auto"/>
      </w:divBdr>
    </w:div>
    <w:div w:id="924730022">
      <w:bodyDiv w:val="1"/>
      <w:marLeft w:val="0"/>
      <w:marRight w:val="0"/>
      <w:marTop w:val="0"/>
      <w:marBottom w:val="0"/>
      <w:divBdr>
        <w:top w:val="none" w:sz="0" w:space="0" w:color="auto"/>
        <w:left w:val="none" w:sz="0" w:space="0" w:color="auto"/>
        <w:bottom w:val="none" w:sz="0" w:space="0" w:color="auto"/>
        <w:right w:val="none" w:sz="0" w:space="0" w:color="auto"/>
      </w:divBdr>
    </w:div>
    <w:div w:id="925073245">
      <w:bodyDiv w:val="1"/>
      <w:marLeft w:val="0"/>
      <w:marRight w:val="0"/>
      <w:marTop w:val="0"/>
      <w:marBottom w:val="0"/>
      <w:divBdr>
        <w:top w:val="none" w:sz="0" w:space="0" w:color="auto"/>
        <w:left w:val="none" w:sz="0" w:space="0" w:color="auto"/>
        <w:bottom w:val="none" w:sz="0" w:space="0" w:color="auto"/>
        <w:right w:val="none" w:sz="0" w:space="0" w:color="auto"/>
      </w:divBdr>
    </w:div>
    <w:div w:id="927497455">
      <w:bodyDiv w:val="1"/>
      <w:marLeft w:val="0"/>
      <w:marRight w:val="0"/>
      <w:marTop w:val="0"/>
      <w:marBottom w:val="0"/>
      <w:divBdr>
        <w:top w:val="none" w:sz="0" w:space="0" w:color="auto"/>
        <w:left w:val="none" w:sz="0" w:space="0" w:color="auto"/>
        <w:bottom w:val="none" w:sz="0" w:space="0" w:color="auto"/>
        <w:right w:val="none" w:sz="0" w:space="0" w:color="auto"/>
      </w:divBdr>
    </w:div>
    <w:div w:id="927540038">
      <w:bodyDiv w:val="1"/>
      <w:marLeft w:val="0"/>
      <w:marRight w:val="0"/>
      <w:marTop w:val="0"/>
      <w:marBottom w:val="0"/>
      <w:divBdr>
        <w:top w:val="none" w:sz="0" w:space="0" w:color="auto"/>
        <w:left w:val="none" w:sz="0" w:space="0" w:color="auto"/>
        <w:bottom w:val="none" w:sz="0" w:space="0" w:color="auto"/>
        <w:right w:val="none" w:sz="0" w:space="0" w:color="auto"/>
      </w:divBdr>
    </w:div>
    <w:div w:id="928126346">
      <w:bodyDiv w:val="1"/>
      <w:marLeft w:val="0"/>
      <w:marRight w:val="0"/>
      <w:marTop w:val="0"/>
      <w:marBottom w:val="0"/>
      <w:divBdr>
        <w:top w:val="none" w:sz="0" w:space="0" w:color="auto"/>
        <w:left w:val="none" w:sz="0" w:space="0" w:color="auto"/>
        <w:bottom w:val="none" w:sz="0" w:space="0" w:color="auto"/>
        <w:right w:val="none" w:sz="0" w:space="0" w:color="auto"/>
      </w:divBdr>
    </w:div>
    <w:div w:id="932936002">
      <w:bodyDiv w:val="1"/>
      <w:marLeft w:val="0"/>
      <w:marRight w:val="0"/>
      <w:marTop w:val="0"/>
      <w:marBottom w:val="0"/>
      <w:divBdr>
        <w:top w:val="none" w:sz="0" w:space="0" w:color="auto"/>
        <w:left w:val="none" w:sz="0" w:space="0" w:color="auto"/>
        <w:bottom w:val="none" w:sz="0" w:space="0" w:color="auto"/>
        <w:right w:val="none" w:sz="0" w:space="0" w:color="auto"/>
      </w:divBdr>
    </w:div>
    <w:div w:id="934289399">
      <w:bodyDiv w:val="1"/>
      <w:marLeft w:val="0"/>
      <w:marRight w:val="0"/>
      <w:marTop w:val="0"/>
      <w:marBottom w:val="0"/>
      <w:divBdr>
        <w:top w:val="none" w:sz="0" w:space="0" w:color="auto"/>
        <w:left w:val="none" w:sz="0" w:space="0" w:color="auto"/>
        <w:bottom w:val="none" w:sz="0" w:space="0" w:color="auto"/>
        <w:right w:val="none" w:sz="0" w:space="0" w:color="auto"/>
      </w:divBdr>
    </w:div>
    <w:div w:id="934436329">
      <w:bodyDiv w:val="1"/>
      <w:marLeft w:val="0"/>
      <w:marRight w:val="0"/>
      <w:marTop w:val="0"/>
      <w:marBottom w:val="0"/>
      <w:divBdr>
        <w:top w:val="none" w:sz="0" w:space="0" w:color="auto"/>
        <w:left w:val="none" w:sz="0" w:space="0" w:color="auto"/>
        <w:bottom w:val="none" w:sz="0" w:space="0" w:color="auto"/>
        <w:right w:val="none" w:sz="0" w:space="0" w:color="auto"/>
      </w:divBdr>
    </w:div>
    <w:div w:id="935017892">
      <w:bodyDiv w:val="1"/>
      <w:marLeft w:val="0"/>
      <w:marRight w:val="0"/>
      <w:marTop w:val="0"/>
      <w:marBottom w:val="0"/>
      <w:divBdr>
        <w:top w:val="none" w:sz="0" w:space="0" w:color="auto"/>
        <w:left w:val="none" w:sz="0" w:space="0" w:color="auto"/>
        <w:bottom w:val="none" w:sz="0" w:space="0" w:color="auto"/>
        <w:right w:val="none" w:sz="0" w:space="0" w:color="auto"/>
      </w:divBdr>
    </w:div>
    <w:div w:id="937296436">
      <w:bodyDiv w:val="1"/>
      <w:marLeft w:val="0"/>
      <w:marRight w:val="0"/>
      <w:marTop w:val="0"/>
      <w:marBottom w:val="0"/>
      <w:divBdr>
        <w:top w:val="none" w:sz="0" w:space="0" w:color="auto"/>
        <w:left w:val="none" w:sz="0" w:space="0" w:color="auto"/>
        <w:bottom w:val="none" w:sz="0" w:space="0" w:color="auto"/>
        <w:right w:val="none" w:sz="0" w:space="0" w:color="auto"/>
      </w:divBdr>
    </w:div>
    <w:div w:id="938147951">
      <w:bodyDiv w:val="1"/>
      <w:marLeft w:val="0"/>
      <w:marRight w:val="0"/>
      <w:marTop w:val="0"/>
      <w:marBottom w:val="0"/>
      <w:divBdr>
        <w:top w:val="none" w:sz="0" w:space="0" w:color="auto"/>
        <w:left w:val="none" w:sz="0" w:space="0" w:color="auto"/>
        <w:bottom w:val="none" w:sz="0" w:space="0" w:color="auto"/>
        <w:right w:val="none" w:sz="0" w:space="0" w:color="auto"/>
      </w:divBdr>
    </w:div>
    <w:div w:id="939412864">
      <w:bodyDiv w:val="1"/>
      <w:marLeft w:val="0"/>
      <w:marRight w:val="0"/>
      <w:marTop w:val="0"/>
      <w:marBottom w:val="0"/>
      <w:divBdr>
        <w:top w:val="none" w:sz="0" w:space="0" w:color="auto"/>
        <w:left w:val="none" w:sz="0" w:space="0" w:color="auto"/>
        <w:bottom w:val="none" w:sz="0" w:space="0" w:color="auto"/>
        <w:right w:val="none" w:sz="0" w:space="0" w:color="auto"/>
      </w:divBdr>
    </w:div>
    <w:div w:id="941493521">
      <w:bodyDiv w:val="1"/>
      <w:marLeft w:val="0"/>
      <w:marRight w:val="0"/>
      <w:marTop w:val="0"/>
      <w:marBottom w:val="0"/>
      <w:divBdr>
        <w:top w:val="none" w:sz="0" w:space="0" w:color="auto"/>
        <w:left w:val="none" w:sz="0" w:space="0" w:color="auto"/>
        <w:bottom w:val="none" w:sz="0" w:space="0" w:color="auto"/>
        <w:right w:val="none" w:sz="0" w:space="0" w:color="auto"/>
      </w:divBdr>
      <w:divsChild>
        <w:div w:id="1332441888">
          <w:marLeft w:val="0"/>
          <w:marRight w:val="0"/>
          <w:marTop w:val="0"/>
          <w:marBottom w:val="0"/>
          <w:divBdr>
            <w:top w:val="none" w:sz="0" w:space="0" w:color="auto"/>
            <w:left w:val="none" w:sz="0" w:space="0" w:color="auto"/>
            <w:bottom w:val="none" w:sz="0" w:space="0" w:color="auto"/>
            <w:right w:val="none" w:sz="0" w:space="0" w:color="auto"/>
          </w:divBdr>
        </w:div>
      </w:divsChild>
    </w:div>
    <w:div w:id="941570607">
      <w:bodyDiv w:val="1"/>
      <w:marLeft w:val="0"/>
      <w:marRight w:val="0"/>
      <w:marTop w:val="0"/>
      <w:marBottom w:val="0"/>
      <w:divBdr>
        <w:top w:val="none" w:sz="0" w:space="0" w:color="auto"/>
        <w:left w:val="none" w:sz="0" w:space="0" w:color="auto"/>
        <w:bottom w:val="none" w:sz="0" w:space="0" w:color="auto"/>
        <w:right w:val="none" w:sz="0" w:space="0" w:color="auto"/>
      </w:divBdr>
    </w:div>
    <w:div w:id="941759722">
      <w:bodyDiv w:val="1"/>
      <w:marLeft w:val="0"/>
      <w:marRight w:val="0"/>
      <w:marTop w:val="0"/>
      <w:marBottom w:val="0"/>
      <w:divBdr>
        <w:top w:val="none" w:sz="0" w:space="0" w:color="auto"/>
        <w:left w:val="none" w:sz="0" w:space="0" w:color="auto"/>
        <w:bottom w:val="none" w:sz="0" w:space="0" w:color="auto"/>
        <w:right w:val="none" w:sz="0" w:space="0" w:color="auto"/>
      </w:divBdr>
    </w:div>
    <w:div w:id="943807375">
      <w:bodyDiv w:val="1"/>
      <w:marLeft w:val="0"/>
      <w:marRight w:val="0"/>
      <w:marTop w:val="0"/>
      <w:marBottom w:val="0"/>
      <w:divBdr>
        <w:top w:val="none" w:sz="0" w:space="0" w:color="auto"/>
        <w:left w:val="none" w:sz="0" w:space="0" w:color="auto"/>
        <w:bottom w:val="none" w:sz="0" w:space="0" w:color="auto"/>
        <w:right w:val="none" w:sz="0" w:space="0" w:color="auto"/>
      </w:divBdr>
    </w:div>
    <w:div w:id="946035886">
      <w:bodyDiv w:val="1"/>
      <w:marLeft w:val="0"/>
      <w:marRight w:val="0"/>
      <w:marTop w:val="0"/>
      <w:marBottom w:val="0"/>
      <w:divBdr>
        <w:top w:val="none" w:sz="0" w:space="0" w:color="auto"/>
        <w:left w:val="none" w:sz="0" w:space="0" w:color="auto"/>
        <w:bottom w:val="none" w:sz="0" w:space="0" w:color="auto"/>
        <w:right w:val="none" w:sz="0" w:space="0" w:color="auto"/>
      </w:divBdr>
    </w:div>
    <w:div w:id="954940637">
      <w:bodyDiv w:val="1"/>
      <w:marLeft w:val="0"/>
      <w:marRight w:val="0"/>
      <w:marTop w:val="0"/>
      <w:marBottom w:val="0"/>
      <w:divBdr>
        <w:top w:val="none" w:sz="0" w:space="0" w:color="auto"/>
        <w:left w:val="none" w:sz="0" w:space="0" w:color="auto"/>
        <w:bottom w:val="none" w:sz="0" w:space="0" w:color="auto"/>
        <w:right w:val="none" w:sz="0" w:space="0" w:color="auto"/>
      </w:divBdr>
    </w:div>
    <w:div w:id="956327583">
      <w:bodyDiv w:val="1"/>
      <w:marLeft w:val="0"/>
      <w:marRight w:val="0"/>
      <w:marTop w:val="0"/>
      <w:marBottom w:val="0"/>
      <w:divBdr>
        <w:top w:val="none" w:sz="0" w:space="0" w:color="auto"/>
        <w:left w:val="none" w:sz="0" w:space="0" w:color="auto"/>
        <w:bottom w:val="none" w:sz="0" w:space="0" w:color="auto"/>
        <w:right w:val="none" w:sz="0" w:space="0" w:color="auto"/>
      </w:divBdr>
      <w:divsChild>
        <w:div w:id="916594495">
          <w:marLeft w:val="0"/>
          <w:marRight w:val="0"/>
          <w:marTop w:val="0"/>
          <w:marBottom w:val="0"/>
          <w:divBdr>
            <w:top w:val="none" w:sz="0" w:space="0" w:color="auto"/>
            <w:left w:val="none" w:sz="0" w:space="0" w:color="auto"/>
            <w:bottom w:val="none" w:sz="0" w:space="0" w:color="auto"/>
            <w:right w:val="none" w:sz="0" w:space="0" w:color="auto"/>
          </w:divBdr>
        </w:div>
      </w:divsChild>
    </w:div>
    <w:div w:id="957758608">
      <w:bodyDiv w:val="1"/>
      <w:marLeft w:val="0"/>
      <w:marRight w:val="0"/>
      <w:marTop w:val="0"/>
      <w:marBottom w:val="0"/>
      <w:divBdr>
        <w:top w:val="none" w:sz="0" w:space="0" w:color="auto"/>
        <w:left w:val="none" w:sz="0" w:space="0" w:color="auto"/>
        <w:bottom w:val="none" w:sz="0" w:space="0" w:color="auto"/>
        <w:right w:val="none" w:sz="0" w:space="0" w:color="auto"/>
      </w:divBdr>
    </w:div>
    <w:div w:id="960497286">
      <w:bodyDiv w:val="1"/>
      <w:marLeft w:val="0"/>
      <w:marRight w:val="0"/>
      <w:marTop w:val="0"/>
      <w:marBottom w:val="0"/>
      <w:divBdr>
        <w:top w:val="none" w:sz="0" w:space="0" w:color="auto"/>
        <w:left w:val="none" w:sz="0" w:space="0" w:color="auto"/>
        <w:bottom w:val="none" w:sz="0" w:space="0" w:color="auto"/>
        <w:right w:val="none" w:sz="0" w:space="0" w:color="auto"/>
      </w:divBdr>
    </w:div>
    <w:div w:id="960847013">
      <w:bodyDiv w:val="1"/>
      <w:marLeft w:val="0"/>
      <w:marRight w:val="0"/>
      <w:marTop w:val="0"/>
      <w:marBottom w:val="0"/>
      <w:divBdr>
        <w:top w:val="none" w:sz="0" w:space="0" w:color="auto"/>
        <w:left w:val="none" w:sz="0" w:space="0" w:color="auto"/>
        <w:bottom w:val="none" w:sz="0" w:space="0" w:color="auto"/>
        <w:right w:val="none" w:sz="0" w:space="0" w:color="auto"/>
      </w:divBdr>
    </w:div>
    <w:div w:id="961152878">
      <w:bodyDiv w:val="1"/>
      <w:marLeft w:val="0"/>
      <w:marRight w:val="0"/>
      <w:marTop w:val="0"/>
      <w:marBottom w:val="0"/>
      <w:divBdr>
        <w:top w:val="none" w:sz="0" w:space="0" w:color="auto"/>
        <w:left w:val="none" w:sz="0" w:space="0" w:color="auto"/>
        <w:bottom w:val="none" w:sz="0" w:space="0" w:color="auto"/>
        <w:right w:val="none" w:sz="0" w:space="0" w:color="auto"/>
      </w:divBdr>
    </w:div>
    <w:div w:id="967206849">
      <w:bodyDiv w:val="1"/>
      <w:marLeft w:val="0"/>
      <w:marRight w:val="0"/>
      <w:marTop w:val="0"/>
      <w:marBottom w:val="0"/>
      <w:divBdr>
        <w:top w:val="none" w:sz="0" w:space="0" w:color="auto"/>
        <w:left w:val="none" w:sz="0" w:space="0" w:color="auto"/>
        <w:bottom w:val="none" w:sz="0" w:space="0" w:color="auto"/>
        <w:right w:val="none" w:sz="0" w:space="0" w:color="auto"/>
      </w:divBdr>
    </w:div>
    <w:div w:id="971444358">
      <w:bodyDiv w:val="1"/>
      <w:marLeft w:val="0"/>
      <w:marRight w:val="0"/>
      <w:marTop w:val="0"/>
      <w:marBottom w:val="0"/>
      <w:divBdr>
        <w:top w:val="none" w:sz="0" w:space="0" w:color="auto"/>
        <w:left w:val="none" w:sz="0" w:space="0" w:color="auto"/>
        <w:bottom w:val="none" w:sz="0" w:space="0" w:color="auto"/>
        <w:right w:val="none" w:sz="0" w:space="0" w:color="auto"/>
      </w:divBdr>
    </w:div>
    <w:div w:id="973481543">
      <w:bodyDiv w:val="1"/>
      <w:marLeft w:val="0"/>
      <w:marRight w:val="0"/>
      <w:marTop w:val="0"/>
      <w:marBottom w:val="0"/>
      <w:divBdr>
        <w:top w:val="none" w:sz="0" w:space="0" w:color="auto"/>
        <w:left w:val="none" w:sz="0" w:space="0" w:color="auto"/>
        <w:bottom w:val="none" w:sz="0" w:space="0" w:color="auto"/>
        <w:right w:val="none" w:sz="0" w:space="0" w:color="auto"/>
      </w:divBdr>
    </w:div>
    <w:div w:id="974945536">
      <w:bodyDiv w:val="1"/>
      <w:marLeft w:val="0"/>
      <w:marRight w:val="0"/>
      <w:marTop w:val="0"/>
      <w:marBottom w:val="0"/>
      <w:divBdr>
        <w:top w:val="none" w:sz="0" w:space="0" w:color="auto"/>
        <w:left w:val="none" w:sz="0" w:space="0" w:color="auto"/>
        <w:bottom w:val="none" w:sz="0" w:space="0" w:color="auto"/>
        <w:right w:val="none" w:sz="0" w:space="0" w:color="auto"/>
      </w:divBdr>
    </w:div>
    <w:div w:id="977495012">
      <w:bodyDiv w:val="1"/>
      <w:marLeft w:val="0"/>
      <w:marRight w:val="0"/>
      <w:marTop w:val="0"/>
      <w:marBottom w:val="0"/>
      <w:divBdr>
        <w:top w:val="none" w:sz="0" w:space="0" w:color="auto"/>
        <w:left w:val="none" w:sz="0" w:space="0" w:color="auto"/>
        <w:bottom w:val="none" w:sz="0" w:space="0" w:color="auto"/>
        <w:right w:val="none" w:sz="0" w:space="0" w:color="auto"/>
      </w:divBdr>
    </w:div>
    <w:div w:id="981811464">
      <w:bodyDiv w:val="1"/>
      <w:marLeft w:val="0"/>
      <w:marRight w:val="0"/>
      <w:marTop w:val="0"/>
      <w:marBottom w:val="0"/>
      <w:divBdr>
        <w:top w:val="none" w:sz="0" w:space="0" w:color="auto"/>
        <w:left w:val="none" w:sz="0" w:space="0" w:color="auto"/>
        <w:bottom w:val="none" w:sz="0" w:space="0" w:color="auto"/>
        <w:right w:val="none" w:sz="0" w:space="0" w:color="auto"/>
      </w:divBdr>
    </w:div>
    <w:div w:id="985663416">
      <w:bodyDiv w:val="1"/>
      <w:marLeft w:val="0"/>
      <w:marRight w:val="0"/>
      <w:marTop w:val="0"/>
      <w:marBottom w:val="0"/>
      <w:divBdr>
        <w:top w:val="none" w:sz="0" w:space="0" w:color="auto"/>
        <w:left w:val="none" w:sz="0" w:space="0" w:color="auto"/>
        <w:bottom w:val="none" w:sz="0" w:space="0" w:color="auto"/>
        <w:right w:val="none" w:sz="0" w:space="0" w:color="auto"/>
      </w:divBdr>
    </w:div>
    <w:div w:id="985744426">
      <w:bodyDiv w:val="1"/>
      <w:marLeft w:val="0"/>
      <w:marRight w:val="0"/>
      <w:marTop w:val="0"/>
      <w:marBottom w:val="0"/>
      <w:divBdr>
        <w:top w:val="none" w:sz="0" w:space="0" w:color="auto"/>
        <w:left w:val="none" w:sz="0" w:space="0" w:color="auto"/>
        <w:bottom w:val="none" w:sz="0" w:space="0" w:color="auto"/>
        <w:right w:val="none" w:sz="0" w:space="0" w:color="auto"/>
      </w:divBdr>
    </w:div>
    <w:div w:id="986206602">
      <w:bodyDiv w:val="1"/>
      <w:marLeft w:val="0"/>
      <w:marRight w:val="0"/>
      <w:marTop w:val="0"/>
      <w:marBottom w:val="0"/>
      <w:divBdr>
        <w:top w:val="none" w:sz="0" w:space="0" w:color="auto"/>
        <w:left w:val="none" w:sz="0" w:space="0" w:color="auto"/>
        <w:bottom w:val="none" w:sz="0" w:space="0" w:color="auto"/>
        <w:right w:val="none" w:sz="0" w:space="0" w:color="auto"/>
      </w:divBdr>
    </w:div>
    <w:div w:id="989791511">
      <w:bodyDiv w:val="1"/>
      <w:marLeft w:val="0"/>
      <w:marRight w:val="0"/>
      <w:marTop w:val="0"/>
      <w:marBottom w:val="0"/>
      <w:divBdr>
        <w:top w:val="none" w:sz="0" w:space="0" w:color="auto"/>
        <w:left w:val="none" w:sz="0" w:space="0" w:color="auto"/>
        <w:bottom w:val="none" w:sz="0" w:space="0" w:color="auto"/>
        <w:right w:val="none" w:sz="0" w:space="0" w:color="auto"/>
      </w:divBdr>
    </w:div>
    <w:div w:id="994146794">
      <w:bodyDiv w:val="1"/>
      <w:marLeft w:val="0"/>
      <w:marRight w:val="0"/>
      <w:marTop w:val="0"/>
      <w:marBottom w:val="0"/>
      <w:divBdr>
        <w:top w:val="none" w:sz="0" w:space="0" w:color="auto"/>
        <w:left w:val="none" w:sz="0" w:space="0" w:color="auto"/>
        <w:bottom w:val="none" w:sz="0" w:space="0" w:color="auto"/>
        <w:right w:val="none" w:sz="0" w:space="0" w:color="auto"/>
      </w:divBdr>
    </w:div>
    <w:div w:id="994987430">
      <w:bodyDiv w:val="1"/>
      <w:marLeft w:val="0"/>
      <w:marRight w:val="0"/>
      <w:marTop w:val="0"/>
      <w:marBottom w:val="0"/>
      <w:divBdr>
        <w:top w:val="none" w:sz="0" w:space="0" w:color="auto"/>
        <w:left w:val="none" w:sz="0" w:space="0" w:color="auto"/>
        <w:bottom w:val="none" w:sz="0" w:space="0" w:color="auto"/>
        <w:right w:val="none" w:sz="0" w:space="0" w:color="auto"/>
      </w:divBdr>
    </w:div>
    <w:div w:id="996693425">
      <w:bodyDiv w:val="1"/>
      <w:marLeft w:val="0"/>
      <w:marRight w:val="0"/>
      <w:marTop w:val="0"/>
      <w:marBottom w:val="0"/>
      <w:divBdr>
        <w:top w:val="none" w:sz="0" w:space="0" w:color="auto"/>
        <w:left w:val="none" w:sz="0" w:space="0" w:color="auto"/>
        <w:bottom w:val="none" w:sz="0" w:space="0" w:color="auto"/>
        <w:right w:val="none" w:sz="0" w:space="0" w:color="auto"/>
      </w:divBdr>
    </w:div>
    <w:div w:id="1002664294">
      <w:bodyDiv w:val="1"/>
      <w:marLeft w:val="0"/>
      <w:marRight w:val="0"/>
      <w:marTop w:val="0"/>
      <w:marBottom w:val="0"/>
      <w:divBdr>
        <w:top w:val="none" w:sz="0" w:space="0" w:color="auto"/>
        <w:left w:val="none" w:sz="0" w:space="0" w:color="auto"/>
        <w:bottom w:val="none" w:sz="0" w:space="0" w:color="auto"/>
        <w:right w:val="none" w:sz="0" w:space="0" w:color="auto"/>
      </w:divBdr>
    </w:div>
    <w:div w:id="1004237633">
      <w:bodyDiv w:val="1"/>
      <w:marLeft w:val="0"/>
      <w:marRight w:val="0"/>
      <w:marTop w:val="0"/>
      <w:marBottom w:val="0"/>
      <w:divBdr>
        <w:top w:val="none" w:sz="0" w:space="0" w:color="auto"/>
        <w:left w:val="none" w:sz="0" w:space="0" w:color="auto"/>
        <w:bottom w:val="none" w:sz="0" w:space="0" w:color="auto"/>
        <w:right w:val="none" w:sz="0" w:space="0" w:color="auto"/>
      </w:divBdr>
    </w:div>
    <w:div w:id="1007055961">
      <w:bodyDiv w:val="1"/>
      <w:marLeft w:val="0"/>
      <w:marRight w:val="0"/>
      <w:marTop w:val="0"/>
      <w:marBottom w:val="0"/>
      <w:divBdr>
        <w:top w:val="none" w:sz="0" w:space="0" w:color="auto"/>
        <w:left w:val="none" w:sz="0" w:space="0" w:color="auto"/>
        <w:bottom w:val="none" w:sz="0" w:space="0" w:color="auto"/>
        <w:right w:val="none" w:sz="0" w:space="0" w:color="auto"/>
      </w:divBdr>
    </w:div>
    <w:div w:id="1015958542">
      <w:bodyDiv w:val="1"/>
      <w:marLeft w:val="0"/>
      <w:marRight w:val="0"/>
      <w:marTop w:val="0"/>
      <w:marBottom w:val="0"/>
      <w:divBdr>
        <w:top w:val="none" w:sz="0" w:space="0" w:color="auto"/>
        <w:left w:val="none" w:sz="0" w:space="0" w:color="auto"/>
        <w:bottom w:val="none" w:sz="0" w:space="0" w:color="auto"/>
        <w:right w:val="none" w:sz="0" w:space="0" w:color="auto"/>
      </w:divBdr>
    </w:div>
    <w:div w:id="1016736718">
      <w:bodyDiv w:val="1"/>
      <w:marLeft w:val="0"/>
      <w:marRight w:val="0"/>
      <w:marTop w:val="0"/>
      <w:marBottom w:val="0"/>
      <w:divBdr>
        <w:top w:val="none" w:sz="0" w:space="0" w:color="auto"/>
        <w:left w:val="none" w:sz="0" w:space="0" w:color="auto"/>
        <w:bottom w:val="none" w:sz="0" w:space="0" w:color="auto"/>
        <w:right w:val="none" w:sz="0" w:space="0" w:color="auto"/>
      </w:divBdr>
    </w:div>
    <w:div w:id="1017196046">
      <w:bodyDiv w:val="1"/>
      <w:marLeft w:val="0"/>
      <w:marRight w:val="0"/>
      <w:marTop w:val="0"/>
      <w:marBottom w:val="0"/>
      <w:divBdr>
        <w:top w:val="none" w:sz="0" w:space="0" w:color="auto"/>
        <w:left w:val="none" w:sz="0" w:space="0" w:color="auto"/>
        <w:bottom w:val="none" w:sz="0" w:space="0" w:color="auto"/>
        <w:right w:val="none" w:sz="0" w:space="0" w:color="auto"/>
      </w:divBdr>
    </w:div>
    <w:div w:id="1018700594">
      <w:bodyDiv w:val="1"/>
      <w:marLeft w:val="0"/>
      <w:marRight w:val="0"/>
      <w:marTop w:val="0"/>
      <w:marBottom w:val="0"/>
      <w:divBdr>
        <w:top w:val="none" w:sz="0" w:space="0" w:color="auto"/>
        <w:left w:val="none" w:sz="0" w:space="0" w:color="auto"/>
        <w:bottom w:val="none" w:sz="0" w:space="0" w:color="auto"/>
        <w:right w:val="none" w:sz="0" w:space="0" w:color="auto"/>
      </w:divBdr>
    </w:div>
    <w:div w:id="1021054809">
      <w:bodyDiv w:val="1"/>
      <w:marLeft w:val="0"/>
      <w:marRight w:val="0"/>
      <w:marTop w:val="0"/>
      <w:marBottom w:val="0"/>
      <w:divBdr>
        <w:top w:val="none" w:sz="0" w:space="0" w:color="auto"/>
        <w:left w:val="none" w:sz="0" w:space="0" w:color="auto"/>
        <w:bottom w:val="none" w:sz="0" w:space="0" w:color="auto"/>
        <w:right w:val="none" w:sz="0" w:space="0" w:color="auto"/>
      </w:divBdr>
    </w:div>
    <w:div w:id="1025054272">
      <w:bodyDiv w:val="1"/>
      <w:marLeft w:val="0"/>
      <w:marRight w:val="0"/>
      <w:marTop w:val="0"/>
      <w:marBottom w:val="0"/>
      <w:divBdr>
        <w:top w:val="none" w:sz="0" w:space="0" w:color="auto"/>
        <w:left w:val="none" w:sz="0" w:space="0" w:color="auto"/>
        <w:bottom w:val="none" w:sz="0" w:space="0" w:color="auto"/>
        <w:right w:val="none" w:sz="0" w:space="0" w:color="auto"/>
      </w:divBdr>
    </w:div>
    <w:div w:id="1026177838">
      <w:bodyDiv w:val="1"/>
      <w:marLeft w:val="0"/>
      <w:marRight w:val="0"/>
      <w:marTop w:val="0"/>
      <w:marBottom w:val="0"/>
      <w:divBdr>
        <w:top w:val="none" w:sz="0" w:space="0" w:color="auto"/>
        <w:left w:val="none" w:sz="0" w:space="0" w:color="auto"/>
        <w:bottom w:val="none" w:sz="0" w:space="0" w:color="auto"/>
        <w:right w:val="none" w:sz="0" w:space="0" w:color="auto"/>
      </w:divBdr>
    </w:div>
    <w:div w:id="1027100579">
      <w:bodyDiv w:val="1"/>
      <w:marLeft w:val="0"/>
      <w:marRight w:val="0"/>
      <w:marTop w:val="0"/>
      <w:marBottom w:val="0"/>
      <w:divBdr>
        <w:top w:val="none" w:sz="0" w:space="0" w:color="auto"/>
        <w:left w:val="none" w:sz="0" w:space="0" w:color="auto"/>
        <w:bottom w:val="none" w:sz="0" w:space="0" w:color="auto"/>
        <w:right w:val="none" w:sz="0" w:space="0" w:color="auto"/>
      </w:divBdr>
    </w:div>
    <w:div w:id="1027871164">
      <w:bodyDiv w:val="1"/>
      <w:marLeft w:val="0"/>
      <w:marRight w:val="0"/>
      <w:marTop w:val="0"/>
      <w:marBottom w:val="0"/>
      <w:divBdr>
        <w:top w:val="none" w:sz="0" w:space="0" w:color="auto"/>
        <w:left w:val="none" w:sz="0" w:space="0" w:color="auto"/>
        <w:bottom w:val="none" w:sz="0" w:space="0" w:color="auto"/>
        <w:right w:val="none" w:sz="0" w:space="0" w:color="auto"/>
      </w:divBdr>
    </w:div>
    <w:div w:id="1028873105">
      <w:bodyDiv w:val="1"/>
      <w:marLeft w:val="0"/>
      <w:marRight w:val="0"/>
      <w:marTop w:val="0"/>
      <w:marBottom w:val="0"/>
      <w:divBdr>
        <w:top w:val="none" w:sz="0" w:space="0" w:color="auto"/>
        <w:left w:val="none" w:sz="0" w:space="0" w:color="auto"/>
        <w:bottom w:val="none" w:sz="0" w:space="0" w:color="auto"/>
        <w:right w:val="none" w:sz="0" w:space="0" w:color="auto"/>
      </w:divBdr>
    </w:div>
    <w:div w:id="1030183786">
      <w:bodyDiv w:val="1"/>
      <w:marLeft w:val="0"/>
      <w:marRight w:val="0"/>
      <w:marTop w:val="0"/>
      <w:marBottom w:val="0"/>
      <w:divBdr>
        <w:top w:val="none" w:sz="0" w:space="0" w:color="auto"/>
        <w:left w:val="none" w:sz="0" w:space="0" w:color="auto"/>
        <w:bottom w:val="none" w:sz="0" w:space="0" w:color="auto"/>
        <w:right w:val="none" w:sz="0" w:space="0" w:color="auto"/>
      </w:divBdr>
    </w:div>
    <w:div w:id="1031490450">
      <w:bodyDiv w:val="1"/>
      <w:marLeft w:val="0"/>
      <w:marRight w:val="0"/>
      <w:marTop w:val="0"/>
      <w:marBottom w:val="0"/>
      <w:divBdr>
        <w:top w:val="none" w:sz="0" w:space="0" w:color="auto"/>
        <w:left w:val="none" w:sz="0" w:space="0" w:color="auto"/>
        <w:bottom w:val="none" w:sz="0" w:space="0" w:color="auto"/>
        <w:right w:val="none" w:sz="0" w:space="0" w:color="auto"/>
      </w:divBdr>
    </w:div>
    <w:div w:id="1034691123">
      <w:bodyDiv w:val="1"/>
      <w:marLeft w:val="0"/>
      <w:marRight w:val="0"/>
      <w:marTop w:val="0"/>
      <w:marBottom w:val="0"/>
      <w:divBdr>
        <w:top w:val="none" w:sz="0" w:space="0" w:color="auto"/>
        <w:left w:val="none" w:sz="0" w:space="0" w:color="auto"/>
        <w:bottom w:val="none" w:sz="0" w:space="0" w:color="auto"/>
        <w:right w:val="none" w:sz="0" w:space="0" w:color="auto"/>
      </w:divBdr>
    </w:div>
    <w:div w:id="1038360477">
      <w:bodyDiv w:val="1"/>
      <w:marLeft w:val="0"/>
      <w:marRight w:val="0"/>
      <w:marTop w:val="0"/>
      <w:marBottom w:val="0"/>
      <w:divBdr>
        <w:top w:val="none" w:sz="0" w:space="0" w:color="auto"/>
        <w:left w:val="none" w:sz="0" w:space="0" w:color="auto"/>
        <w:bottom w:val="none" w:sz="0" w:space="0" w:color="auto"/>
        <w:right w:val="none" w:sz="0" w:space="0" w:color="auto"/>
      </w:divBdr>
    </w:div>
    <w:div w:id="1038700882">
      <w:bodyDiv w:val="1"/>
      <w:marLeft w:val="0"/>
      <w:marRight w:val="0"/>
      <w:marTop w:val="0"/>
      <w:marBottom w:val="0"/>
      <w:divBdr>
        <w:top w:val="none" w:sz="0" w:space="0" w:color="auto"/>
        <w:left w:val="none" w:sz="0" w:space="0" w:color="auto"/>
        <w:bottom w:val="none" w:sz="0" w:space="0" w:color="auto"/>
        <w:right w:val="none" w:sz="0" w:space="0" w:color="auto"/>
      </w:divBdr>
    </w:div>
    <w:div w:id="1038890733">
      <w:bodyDiv w:val="1"/>
      <w:marLeft w:val="0"/>
      <w:marRight w:val="0"/>
      <w:marTop w:val="0"/>
      <w:marBottom w:val="0"/>
      <w:divBdr>
        <w:top w:val="none" w:sz="0" w:space="0" w:color="auto"/>
        <w:left w:val="none" w:sz="0" w:space="0" w:color="auto"/>
        <w:bottom w:val="none" w:sz="0" w:space="0" w:color="auto"/>
        <w:right w:val="none" w:sz="0" w:space="0" w:color="auto"/>
      </w:divBdr>
    </w:div>
    <w:div w:id="1040668632">
      <w:bodyDiv w:val="1"/>
      <w:marLeft w:val="0"/>
      <w:marRight w:val="0"/>
      <w:marTop w:val="0"/>
      <w:marBottom w:val="0"/>
      <w:divBdr>
        <w:top w:val="none" w:sz="0" w:space="0" w:color="auto"/>
        <w:left w:val="none" w:sz="0" w:space="0" w:color="auto"/>
        <w:bottom w:val="none" w:sz="0" w:space="0" w:color="auto"/>
        <w:right w:val="none" w:sz="0" w:space="0" w:color="auto"/>
      </w:divBdr>
    </w:div>
    <w:div w:id="1041396499">
      <w:bodyDiv w:val="1"/>
      <w:marLeft w:val="0"/>
      <w:marRight w:val="0"/>
      <w:marTop w:val="0"/>
      <w:marBottom w:val="0"/>
      <w:divBdr>
        <w:top w:val="none" w:sz="0" w:space="0" w:color="auto"/>
        <w:left w:val="none" w:sz="0" w:space="0" w:color="auto"/>
        <w:bottom w:val="none" w:sz="0" w:space="0" w:color="auto"/>
        <w:right w:val="none" w:sz="0" w:space="0" w:color="auto"/>
      </w:divBdr>
    </w:div>
    <w:div w:id="1044327740">
      <w:bodyDiv w:val="1"/>
      <w:marLeft w:val="0"/>
      <w:marRight w:val="0"/>
      <w:marTop w:val="0"/>
      <w:marBottom w:val="0"/>
      <w:divBdr>
        <w:top w:val="none" w:sz="0" w:space="0" w:color="auto"/>
        <w:left w:val="none" w:sz="0" w:space="0" w:color="auto"/>
        <w:bottom w:val="none" w:sz="0" w:space="0" w:color="auto"/>
        <w:right w:val="none" w:sz="0" w:space="0" w:color="auto"/>
      </w:divBdr>
    </w:div>
    <w:div w:id="1045257012">
      <w:bodyDiv w:val="1"/>
      <w:marLeft w:val="0"/>
      <w:marRight w:val="0"/>
      <w:marTop w:val="0"/>
      <w:marBottom w:val="0"/>
      <w:divBdr>
        <w:top w:val="none" w:sz="0" w:space="0" w:color="auto"/>
        <w:left w:val="none" w:sz="0" w:space="0" w:color="auto"/>
        <w:bottom w:val="none" w:sz="0" w:space="0" w:color="auto"/>
        <w:right w:val="none" w:sz="0" w:space="0" w:color="auto"/>
      </w:divBdr>
    </w:div>
    <w:div w:id="1045373253">
      <w:bodyDiv w:val="1"/>
      <w:marLeft w:val="0"/>
      <w:marRight w:val="0"/>
      <w:marTop w:val="0"/>
      <w:marBottom w:val="0"/>
      <w:divBdr>
        <w:top w:val="none" w:sz="0" w:space="0" w:color="auto"/>
        <w:left w:val="none" w:sz="0" w:space="0" w:color="auto"/>
        <w:bottom w:val="none" w:sz="0" w:space="0" w:color="auto"/>
        <w:right w:val="none" w:sz="0" w:space="0" w:color="auto"/>
      </w:divBdr>
    </w:div>
    <w:div w:id="1046372251">
      <w:bodyDiv w:val="1"/>
      <w:marLeft w:val="0"/>
      <w:marRight w:val="0"/>
      <w:marTop w:val="0"/>
      <w:marBottom w:val="0"/>
      <w:divBdr>
        <w:top w:val="none" w:sz="0" w:space="0" w:color="auto"/>
        <w:left w:val="none" w:sz="0" w:space="0" w:color="auto"/>
        <w:bottom w:val="none" w:sz="0" w:space="0" w:color="auto"/>
        <w:right w:val="none" w:sz="0" w:space="0" w:color="auto"/>
      </w:divBdr>
    </w:div>
    <w:div w:id="1046444773">
      <w:bodyDiv w:val="1"/>
      <w:marLeft w:val="0"/>
      <w:marRight w:val="0"/>
      <w:marTop w:val="0"/>
      <w:marBottom w:val="0"/>
      <w:divBdr>
        <w:top w:val="none" w:sz="0" w:space="0" w:color="auto"/>
        <w:left w:val="none" w:sz="0" w:space="0" w:color="auto"/>
        <w:bottom w:val="none" w:sz="0" w:space="0" w:color="auto"/>
        <w:right w:val="none" w:sz="0" w:space="0" w:color="auto"/>
      </w:divBdr>
    </w:div>
    <w:div w:id="1047801778">
      <w:bodyDiv w:val="1"/>
      <w:marLeft w:val="0"/>
      <w:marRight w:val="0"/>
      <w:marTop w:val="0"/>
      <w:marBottom w:val="0"/>
      <w:divBdr>
        <w:top w:val="none" w:sz="0" w:space="0" w:color="auto"/>
        <w:left w:val="none" w:sz="0" w:space="0" w:color="auto"/>
        <w:bottom w:val="none" w:sz="0" w:space="0" w:color="auto"/>
        <w:right w:val="none" w:sz="0" w:space="0" w:color="auto"/>
      </w:divBdr>
    </w:div>
    <w:div w:id="1048722787">
      <w:bodyDiv w:val="1"/>
      <w:marLeft w:val="0"/>
      <w:marRight w:val="0"/>
      <w:marTop w:val="0"/>
      <w:marBottom w:val="0"/>
      <w:divBdr>
        <w:top w:val="none" w:sz="0" w:space="0" w:color="auto"/>
        <w:left w:val="none" w:sz="0" w:space="0" w:color="auto"/>
        <w:bottom w:val="none" w:sz="0" w:space="0" w:color="auto"/>
        <w:right w:val="none" w:sz="0" w:space="0" w:color="auto"/>
      </w:divBdr>
    </w:div>
    <w:div w:id="1051147281">
      <w:bodyDiv w:val="1"/>
      <w:marLeft w:val="0"/>
      <w:marRight w:val="0"/>
      <w:marTop w:val="0"/>
      <w:marBottom w:val="0"/>
      <w:divBdr>
        <w:top w:val="none" w:sz="0" w:space="0" w:color="auto"/>
        <w:left w:val="none" w:sz="0" w:space="0" w:color="auto"/>
        <w:bottom w:val="none" w:sz="0" w:space="0" w:color="auto"/>
        <w:right w:val="none" w:sz="0" w:space="0" w:color="auto"/>
      </w:divBdr>
    </w:div>
    <w:div w:id="1051147955">
      <w:bodyDiv w:val="1"/>
      <w:marLeft w:val="0"/>
      <w:marRight w:val="0"/>
      <w:marTop w:val="0"/>
      <w:marBottom w:val="0"/>
      <w:divBdr>
        <w:top w:val="none" w:sz="0" w:space="0" w:color="auto"/>
        <w:left w:val="none" w:sz="0" w:space="0" w:color="auto"/>
        <w:bottom w:val="none" w:sz="0" w:space="0" w:color="auto"/>
        <w:right w:val="none" w:sz="0" w:space="0" w:color="auto"/>
      </w:divBdr>
    </w:div>
    <w:div w:id="1052540453">
      <w:bodyDiv w:val="1"/>
      <w:marLeft w:val="0"/>
      <w:marRight w:val="0"/>
      <w:marTop w:val="0"/>
      <w:marBottom w:val="0"/>
      <w:divBdr>
        <w:top w:val="none" w:sz="0" w:space="0" w:color="auto"/>
        <w:left w:val="none" w:sz="0" w:space="0" w:color="auto"/>
        <w:bottom w:val="none" w:sz="0" w:space="0" w:color="auto"/>
        <w:right w:val="none" w:sz="0" w:space="0" w:color="auto"/>
      </w:divBdr>
      <w:divsChild>
        <w:div w:id="286620115">
          <w:marLeft w:val="0"/>
          <w:marRight w:val="0"/>
          <w:marTop w:val="0"/>
          <w:marBottom w:val="0"/>
          <w:divBdr>
            <w:top w:val="none" w:sz="0" w:space="0" w:color="auto"/>
            <w:left w:val="none" w:sz="0" w:space="0" w:color="auto"/>
            <w:bottom w:val="none" w:sz="0" w:space="0" w:color="auto"/>
            <w:right w:val="none" w:sz="0" w:space="0" w:color="auto"/>
          </w:divBdr>
        </w:div>
        <w:div w:id="736708421">
          <w:marLeft w:val="0"/>
          <w:marRight w:val="0"/>
          <w:marTop w:val="0"/>
          <w:marBottom w:val="0"/>
          <w:divBdr>
            <w:top w:val="none" w:sz="0" w:space="0" w:color="auto"/>
            <w:left w:val="none" w:sz="0" w:space="0" w:color="auto"/>
            <w:bottom w:val="none" w:sz="0" w:space="0" w:color="auto"/>
            <w:right w:val="none" w:sz="0" w:space="0" w:color="auto"/>
          </w:divBdr>
        </w:div>
        <w:div w:id="1123495543">
          <w:marLeft w:val="0"/>
          <w:marRight w:val="0"/>
          <w:marTop w:val="0"/>
          <w:marBottom w:val="0"/>
          <w:divBdr>
            <w:top w:val="none" w:sz="0" w:space="0" w:color="auto"/>
            <w:left w:val="none" w:sz="0" w:space="0" w:color="auto"/>
            <w:bottom w:val="none" w:sz="0" w:space="0" w:color="auto"/>
            <w:right w:val="none" w:sz="0" w:space="0" w:color="auto"/>
          </w:divBdr>
        </w:div>
      </w:divsChild>
    </w:div>
    <w:div w:id="1053773321">
      <w:bodyDiv w:val="1"/>
      <w:marLeft w:val="0"/>
      <w:marRight w:val="0"/>
      <w:marTop w:val="0"/>
      <w:marBottom w:val="0"/>
      <w:divBdr>
        <w:top w:val="none" w:sz="0" w:space="0" w:color="auto"/>
        <w:left w:val="none" w:sz="0" w:space="0" w:color="auto"/>
        <w:bottom w:val="none" w:sz="0" w:space="0" w:color="auto"/>
        <w:right w:val="none" w:sz="0" w:space="0" w:color="auto"/>
      </w:divBdr>
    </w:div>
    <w:div w:id="1054355235">
      <w:bodyDiv w:val="1"/>
      <w:marLeft w:val="0"/>
      <w:marRight w:val="0"/>
      <w:marTop w:val="0"/>
      <w:marBottom w:val="0"/>
      <w:divBdr>
        <w:top w:val="none" w:sz="0" w:space="0" w:color="auto"/>
        <w:left w:val="none" w:sz="0" w:space="0" w:color="auto"/>
        <w:bottom w:val="none" w:sz="0" w:space="0" w:color="auto"/>
        <w:right w:val="none" w:sz="0" w:space="0" w:color="auto"/>
      </w:divBdr>
    </w:div>
    <w:div w:id="1057821631">
      <w:bodyDiv w:val="1"/>
      <w:marLeft w:val="0"/>
      <w:marRight w:val="0"/>
      <w:marTop w:val="0"/>
      <w:marBottom w:val="0"/>
      <w:divBdr>
        <w:top w:val="none" w:sz="0" w:space="0" w:color="auto"/>
        <w:left w:val="none" w:sz="0" w:space="0" w:color="auto"/>
        <w:bottom w:val="none" w:sz="0" w:space="0" w:color="auto"/>
        <w:right w:val="none" w:sz="0" w:space="0" w:color="auto"/>
      </w:divBdr>
    </w:div>
    <w:div w:id="1063989033">
      <w:bodyDiv w:val="1"/>
      <w:marLeft w:val="0"/>
      <w:marRight w:val="0"/>
      <w:marTop w:val="0"/>
      <w:marBottom w:val="0"/>
      <w:divBdr>
        <w:top w:val="none" w:sz="0" w:space="0" w:color="auto"/>
        <w:left w:val="none" w:sz="0" w:space="0" w:color="auto"/>
        <w:bottom w:val="none" w:sz="0" w:space="0" w:color="auto"/>
        <w:right w:val="none" w:sz="0" w:space="0" w:color="auto"/>
      </w:divBdr>
    </w:div>
    <w:div w:id="1064568611">
      <w:bodyDiv w:val="1"/>
      <w:marLeft w:val="0"/>
      <w:marRight w:val="0"/>
      <w:marTop w:val="0"/>
      <w:marBottom w:val="0"/>
      <w:divBdr>
        <w:top w:val="none" w:sz="0" w:space="0" w:color="auto"/>
        <w:left w:val="none" w:sz="0" w:space="0" w:color="auto"/>
        <w:bottom w:val="none" w:sz="0" w:space="0" w:color="auto"/>
        <w:right w:val="none" w:sz="0" w:space="0" w:color="auto"/>
      </w:divBdr>
    </w:div>
    <w:div w:id="1067070507">
      <w:bodyDiv w:val="1"/>
      <w:marLeft w:val="0"/>
      <w:marRight w:val="0"/>
      <w:marTop w:val="0"/>
      <w:marBottom w:val="0"/>
      <w:divBdr>
        <w:top w:val="none" w:sz="0" w:space="0" w:color="auto"/>
        <w:left w:val="none" w:sz="0" w:space="0" w:color="auto"/>
        <w:bottom w:val="none" w:sz="0" w:space="0" w:color="auto"/>
        <w:right w:val="none" w:sz="0" w:space="0" w:color="auto"/>
      </w:divBdr>
    </w:div>
    <w:div w:id="1068458196">
      <w:bodyDiv w:val="1"/>
      <w:marLeft w:val="0"/>
      <w:marRight w:val="0"/>
      <w:marTop w:val="0"/>
      <w:marBottom w:val="0"/>
      <w:divBdr>
        <w:top w:val="none" w:sz="0" w:space="0" w:color="auto"/>
        <w:left w:val="none" w:sz="0" w:space="0" w:color="auto"/>
        <w:bottom w:val="none" w:sz="0" w:space="0" w:color="auto"/>
        <w:right w:val="none" w:sz="0" w:space="0" w:color="auto"/>
      </w:divBdr>
    </w:div>
    <w:div w:id="1070158874">
      <w:bodyDiv w:val="1"/>
      <w:marLeft w:val="0"/>
      <w:marRight w:val="0"/>
      <w:marTop w:val="0"/>
      <w:marBottom w:val="0"/>
      <w:divBdr>
        <w:top w:val="none" w:sz="0" w:space="0" w:color="auto"/>
        <w:left w:val="none" w:sz="0" w:space="0" w:color="auto"/>
        <w:bottom w:val="none" w:sz="0" w:space="0" w:color="auto"/>
        <w:right w:val="none" w:sz="0" w:space="0" w:color="auto"/>
      </w:divBdr>
    </w:div>
    <w:div w:id="1070424795">
      <w:bodyDiv w:val="1"/>
      <w:marLeft w:val="0"/>
      <w:marRight w:val="0"/>
      <w:marTop w:val="0"/>
      <w:marBottom w:val="0"/>
      <w:divBdr>
        <w:top w:val="none" w:sz="0" w:space="0" w:color="auto"/>
        <w:left w:val="none" w:sz="0" w:space="0" w:color="auto"/>
        <w:bottom w:val="none" w:sz="0" w:space="0" w:color="auto"/>
        <w:right w:val="none" w:sz="0" w:space="0" w:color="auto"/>
      </w:divBdr>
      <w:divsChild>
        <w:div w:id="1500924825">
          <w:marLeft w:val="0"/>
          <w:marRight w:val="0"/>
          <w:marTop w:val="0"/>
          <w:marBottom w:val="0"/>
          <w:divBdr>
            <w:top w:val="none" w:sz="0" w:space="0" w:color="auto"/>
            <w:left w:val="none" w:sz="0" w:space="0" w:color="auto"/>
            <w:bottom w:val="none" w:sz="0" w:space="0" w:color="auto"/>
            <w:right w:val="none" w:sz="0" w:space="0" w:color="auto"/>
          </w:divBdr>
        </w:div>
      </w:divsChild>
    </w:div>
    <w:div w:id="1073509800">
      <w:bodyDiv w:val="1"/>
      <w:marLeft w:val="0"/>
      <w:marRight w:val="0"/>
      <w:marTop w:val="0"/>
      <w:marBottom w:val="0"/>
      <w:divBdr>
        <w:top w:val="none" w:sz="0" w:space="0" w:color="auto"/>
        <w:left w:val="none" w:sz="0" w:space="0" w:color="auto"/>
        <w:bottom w:val="none" w:sz="0" w:space="0" w:color="auto"/>
        <w:right w:val="none" w:sz="0" w:space="0" w:color="auto"/>
      </w:divBdr>
    </w:div>
    <w:div w:id="1073623592">
      <w:bodyDiv w:val="1"/>
      <w:marLeft w:val="0"/>
      <w:marRight w:val="0"/>
      <w:marTop w:val="0"/>
      <w:marBottom w:val="0"/>
      <w:divBdr>
        <w:top w:val="none" w:sz="0" w:space="0" w:color="auto"/>
        <w:left w:val="none" w:sz="0" w:space="0" w:color="auto"/>
        <w:bottom w:val="none" w:sz="0" w:space="0" w:color="auto"/>
        <w:right w:val="none" w:sz="0" w:space="0" w:color="auto"/>
      </w:divBdr>
    </w:div>
    <w:div w:id="1074203797">
      <w:bodyDiv w:val="1"/>
      <w:marLeft w:val="0"/>
      <w:marRight w:val="0"/>
      <w:marTop w:val="0"/>
      <w:marBottom w:val="0"/>
      <w:divBdr>
        <w:top w:val="none" w:sz="0" w:space="0" w:color="auto"/>
        <w:left w:val="none" w:sz="0" w:space="0" w:color="auto"/>
        <w:bottom w:val="none" w:sz="0" w:space="0" w:color="auto"/>
        <w:right w:val="none" w:sz="0" w:space="0" w:color="auto"/>
      </w:divBdr>
    </w:div>
    <w:div w:id="1074619867">
      <w:bodyDiv w:val="1"/>
      <w:marLeft w:val="0"/>
      <w:marRight w:val="0"/>
      <w:marTop w:val="0"/>
      <w:marBottom w:val="0"/>
      <w:divBdr>
        <w:top w:val="none" w:sz="0" w:space="0" w:color="auto"/>
        <w:left w:val="none" w:sz="0" w:space="0" w:color="auto"/>
        <w:bottom w:val="none" w:sz="0" w:space="0" w:color="auto"/>
        <w:right w:val="none" w:sz="0" w:space="0" w:color="auto"/>
      </w:divBdr>
    </w:div>
    <w:div w:id="1077705016">
      <w:bodyDiv w:val="1"/>
      <w:marLeft w:val="0"/>
      <w:marRight w:val="0"/>
      <w:marTop w:val="0"/>
      <w:marBottom w:val="0"/>
      <w:divBdr>
        <w:top w:val="none" w:sz="0" w:space="0" w:color="auto"/>
        <w:left w:val="none" w:sz="0" w:space="0" w:color="auto"/>
        <w:bottom w:val="none" w:sz="0" w:space="0" w:color="auto"/>
        <w:right w:val="none" w:sz="0" w:space="0" w:color="auto"/>
      </w:divBdr>
    </w:div>
    <w:div w:id="1081290222">
      <w:bodyDiv w:val="1"/>
      <w:marLeft w:val="0"/>
      <w:marRight w:val="0"/>
      <w:marTop w:val="0"/>
      <w:marBottom w:val="0"/>
      <w:divBdr>
        <w:top w:val="none" w:sz="0" w:space="0" w:color="auto"/>
        <w:left w:val="none" w:sz="0" w:space="0" w:color="auto"/>
        <w:bottom w:val="none" w:sz="0" w:space="0" w:color="auto"/>
        <w:right w:val="none" w:sz="0" w:space="0" w:color="auto"/>
      </w:divBdr>
    </w:div>
    <w:div w:id="1081945072">
      <w:bodyDiv w:val="1"/>
      <w:marLeft w:val="0"/>
      <w:marRight w:val="0"/>
      <w:marTop w:val="0"/>
      <w:marBottom w:val="0"/>
      <w:divBdr>
        <w:top w:val="none" w:sz="0" w:space="0" w:color="auto"/>
        <w:left w:val="none" w:sz="0" w:space="0" w:color="auto"/>
        <w:bottom w:val="none" w:sz="0" w:space="0" w:color="auto"/>
        <w:right w:val="none" w:sz="0" w:space="0" w:color="auto"/>
      </w:divBdr>
    </w:div>
    <w:div w:id="1083378234">
      <w:bodyDiv w:val="1"/>
      <w:marLeft w:val="0"/>
      <w:marRight w:val="0"/>
      <w:marTop w:val="0"/>
      <w:marBottom w:val="0"/>
      <w:divBdr>
        <w:top w:val="none" w:sz="0" w:space="0" w:color="auto"/>
        <w:left w:val="none" w:sz="0" w:space="0" w:color="auto"/>
        <w:bottom w:val="none" w:sz="0" w:space="0" w:color="auto"/>
        <w:right w:val="none" w:sz="0" w:space="0" w:color="auto"/>
      </w:divBdr>
    </w:div>
    <w:div w:id="1085416697">
      <w:bodyDiv w:val="1"/>
      <w:marLeft w:val="0"/>
      <w:marRight w:val="0"/>
      <w:marTop w:val="0"/>
      <w:marBottom w:val="0"/>
      <w:divBdr>
        <w:top w:val="none" w:sz="0" w:space="0" w:color="auto"/>
        <w:left w:val="none" w:sz="0" w:space="0" w:color="auto"/>
        <w:bottom w:val="none" w:sz="0" w:space="0" w:color="auto"/>
        <w:right w:val="none" w:sz="0" w:space="0" w:color="auto"/>
      </w:divBdr>
    </w:div>
    <w:div w:id="1086657837">
      <w:bodyDiv w:val="1"/>
      <w:marLeft w:val="0"/>
      <w:marRight w:val="0"/>
      <w:marTop w:val="0"/>
      <w:marBottom w:val="0"/>
      <w:divBdr>
        <w:top w:val="none" w:sz="0" w:space="0" w:color="auto"/>
        <w:left w:val="none" w:sz="0" w:space="0" w:color="auto"/>
        <w:bottom w:val="none" w:sz="0" w:space="0" w:color="auto"/>
        <w:right w:val="none" w:sz="0" w:space="0" w:color="auto"/>
      </w:divBdr>
    </w:div>
    <w:div w:id="1086926910">
      <w:bodyDiv w:val="1"/>
      <w:marLeft w:val="0"/>
      <w:marRight w:val="0"/>
      <w:marTop w:val="0"/>
      <w:marBottom w:val="0"/>
      <w:divBdr>
        <w:top w:val="none" w:sz="0" w:space="0" w:color="auto"/>
        <w:left w:val="none" w:sz="0" w:space="0" w:color="auto"/>
        <w:bottom w:val="none" w:sz="0" w:space="0" w:color="auto"/>
        <w:right w:val="none" w:sz="0" w:space="0" w:color="auto"/>
      </w:divBdr>
    </w:div>
    <w:div w:id="1086993428">
      <w:bodyDiv w:val="1"/>
      <w:marLeft w:val="0"/>
      <w:marRight w:val="0"/>
      <w:marTop w:val="0"/>
      <w:marBottom w:val="0"/>
      <w:divBdr>
        <w:top w:val="none" w:sz="0" w:space="0" w:color="auto"/>
        <w:left w:val="none" w:sz="0" w:space="0" w:color="auto"/>
        <w:bottom w:val="none" w:sz="0" w:space="0" w:color="auto"/>
        <w:right w:val="none" w:sz="0" w:space="0" w:color="auto"/>
      </w:divBdr>
    </w:div>
    <w:div w:id="1087078295">
      <w:bodyDiv w:val="1"/>
      <w:marLeft w:val="0"/>
      <w:marRight w:val="0"/>
      <w:marTop w:val="0"/>
      <w:marBottom w:val="0"/>
      <w:divBdr>
        <w:top w:val="none" w:sz="0" w:space="0" w:color="auto"/>
        <w:left w:val="none" w:sz="0" w:space="0" w:color="auto"/>
        <w:bottom w:val="none" w:sz="0" w:space="0" w:color="auto"/>
        <w:right w:val="none" w:sz="0" w:space="0" w:color="auto"/>
      </w:divBdr>
    </w:div>
    <w:div w:id="1088648736">
      <w:bodyDiv w:val="1"/>
      <w:marLeft w:val="0"/>
      <w:marRight w:val="0"/>
      <w:marTop w:val="0"/>
      <w:marBottom w:val="0"/>
      <w:divBdr>
        <w:top w:val="none" w:sz="0" w:space="0" w:color="auto"/>
        <w:left w:val="none" w:sz="0" w:space="0" w:color="auto"/>
        <w:bottom w:val="none" w:sz="0" w:space="0" w:color="auto"/>
        <w:right w:val="none" w:sz="0" w:space="0" w:color="auto"/>
      </w:divBdr>
    </w:div>
    <w:div w:id="1090469706">
      <w:bodyDiv w:val="1"/>
      <w:marLeft w:val="0"/>
      <w:marRight w:val="0"/>
      <w:marTop w:val="0"/>
      <w:marBottom w:val="0"/>
      <w:divBdr>
        <w:top w:val="none" w:sz="0" w:space="0" w:color="auto"/>
        <w:left w:val="none" w:sz="0" w:space="0" w:color="auto"/>
        <w:bottom w:val="none" w:sz="0" w:space="0" w:color="auto"/>
        <w:right w:val="none" w:sz="0" w:space="0" w:color="auto"/>
      </w:divBdr>
    </w:div>
    <w:div w:id="1092048763">
      <w:bodyDiv w:val="1"/>
      <w:marLeft w:val="0"/>
      <w:marRight w:val="0"/>
      <w:marTop w:val="0"/>
      <w:marBottom w:val="0"/>
      <w:divBdr>
        <w:top w:val="none" w:sz="0" w:space="0" w:color="auto"/>
        <w:left w:val="none" w:sz="0" w:space="0" w:color="auto"/>
        <w:bottom w:val="none" w:sz="0" w:space="0" w:color="auto"/>
        <w:right w:val="none" w:sz="0" w:space="0" w:color="auto"/>
      </w:divBdr>
    </w:div>
    <w:div w:id="1092432836">
      <w:bodyDiv w:val="1"/>
      <w:marLeft w:val="0"/>
      <w:marRight w:val="0"/>
      <w:marTop w:val="0"/>
      <w:marBottom w:val="0"/>
      <w:divBdr>
        <w:top w:val="none" w:sz="0" w:space="0" w:color="auto"/>
        <w:left w:val="none" w:sz="0" w:space="0" w:color="auto"/>
        <w:bottom w:val="none" w:sz="0" w:space="0" w:color="auto"/>
        <w:right w:val="none" w:sz="0" w:space="0" w:color="auto"/>
      </w:divBdr>
    </w:div>
    <w:div w:id="1093280936">
      <w:bodyDiv w:val="1"/>
      <w:marLeft w:val="0"/>
      <w:marRight w:val="0"/>
      <w:marTop w:val="0"/>
      <w:marBottom w:val="0"/>
      <w:divBdr>
        <w:top w:val="none" w:sz="0" w:space="0" w:color="auto"/>
        <w:left w:val="none" w:sz="0" w:space="0" w:color="auto"/>
        <w:bottom w:val="none" w:sz="0" w:space="0" w:color="auto"/>
        <w:right w:val="none" w:sz="0" w:space="0" w:color="auto"/>
      </w:divBdr>
    </w:div>
    <w:div w:id="1098140161">
      <w:bodyDiv w:val="1"/>
      <w:marLeft w:val="0"/>
      <w:marRight w:val="0"/>
      <w:marTop w:val="0"/>
      <w:marBottom w:val="0"/>
      <w:divBdr>
        <w:top w:val="none" w:sz="0" w:space="0" w:color="auto"/>
        <w:left w:val="none" w:sz="0" w:space="0" w:color="auto"/>
        <w:bottom w:val="none" w:sz="0" w:space="0" w:color="auto"/>
        <w:right w:val="none" w:sz="0" w:space="0" w:color="auto"/>
      </w:divBdr>
    </w:div>
    <w:div w:id="1099594802">
      <w:bodyDiv w:val="1"/>
      <w:marLeft w:val="0"/>
      <w:marRight w:val="0"/>
      <w:marTop w:val="0"/>
      <w:marBottom w:val="0"/>
      <w:divBdr>
        <w:top w:val="none" w:sz="0" w:space="0" w:color="auto"/>
        <w:left w:val="none" w:sz="0" w:space="0" w:color="auto"/>
        <w:bottom w:val="none" w:sz="0" w:space="0" w:color="auto"/>
        <w:right w:val="none" w:sz="0" w:space="0" w:color="auto"/>
      </w:divBdr>
    </w:div>
    <w:div w:id="1100637338">
      <w:bodyDiv w:val="1"/>
      <w:marLeft w:val="0"/>
      <w:marRight w:val="0"/>
      <w:marTop w:val="0"/>
      <w:marBottom w:val="0"/>
      <w:divBdr>
        <w:top w:val="none" w:sz="0" w:space="0" w:color="auto"/>
        <w:left w:val="none" w:sz="0" w:space="0" w:color="auto"/>
        <w:bottom w:val="none" w:sz="0" w:space="0" w:color="auto"/>
        <w:right w:val="none" w:sz="0" w:space="0" w:color="auto"/>
      </w:divBdr>
    </w:div>
    <w:div w:id="1102188616">
      <w:bodyDiv w:val="1"/>
      <w:marLeft w:val="0"/>
      <w:marRight w:val="0"/>
      <w:marTop w:val="0"/>
      <w:marBottom w:val="0"/>
      <w:divBdr>
        <w:top w:val="none" w:sz="0" w:space="0" w:color="auto"/>
        <w:left w:val="none" w:sz="0" w:space="0" w:color="auto"/>
        <w:bottom w:val="none" w:sz="0" w:space="0" w:color="auto"/>
        <w:right w:val="none" w:sz="0" w:space="0" w:color="auto"/>
      </w:divBdr>
    </w:div>
    <w:div w:id="1105424592">
      <w:bodyDiv w:val="1"/>
      <w:marLeft w:val="0"/>
      <w:marRight w:val="0"/>
      <w:marTop w:val="0"/>
      <w:marBottom w:val="0"/>
      <w:divBdr>
        <w:top w:val="none" w:sz="0" w:space="0" w:color="auto"/>
        <w:left w:val="none" w:sz="0" w:space="0" w:color="auto"/>
        <w:bottom w:val="none" w:sz="0" w:space="0" w:color="auto"/>
        <w:right w:val="none" w:sz="0" w:space="0" w:color="auto"/>
      </w:divBdr>
    </w:div>
    <w:div w:id="1109200885">
      <w:bodyDiv w:val="1"/>
      <w:marLeft w:val="0"/>
      <w:marRight w:val="0"/>
      <w:marTop w:val="0"/>
      <w:marBottom w:val="0"/>
      <w:divBdr>
        <w:top w:val="none" w:sz="0" w:space="0" w:color="auto"/>
        <w:left w:val="none" w:sz="0" w:space="0" w:color="auto"/>
        <w:bottom w:val="none" w:sz="0" w:space="0" w:color="auto"/>
        <w:right w:val="none" w:sz="0" w:space="0" w:color="auto"/>
      </w:divBdr>
    </w:div>
    <w:div w:id="1111321333">
      <w:bodyDiv w:val="1"/>
      <w:marLeft w:val="0"/>
      <w:marRight w:val="0"/>
      <w:marTop w:val="0"/>
      <w:marBottom w:val="0"/>
      <w:divBdr>
        <w:top w:val="none" w:sz="0" w:space="0" w:color="auto"/>
        <w:left w:val="none" w:sz="0" w:space="0" w:color="auto"/>
        <w:bottom w:val="none" w:sz="0" w:space="0" w:color="auto"/>
        <w:right w:val="none" w:sz="0" w:space="0" w:color="auto"/>
      </w:divBdr>
    </w:div>
    <w:div w:id="1116102474">
      <w:bodyDiv w:val="1"/>
      <w:marLeft w:val="0"/>
      <w:marRight w:val="0"/>
      <w:marTop w:val="0"/>
      <w:marBottom w:val="0"/>
      <w:divBdr>
        <w:top w:val="none" w:sz="0" w:space="0" w:color="auto"/>
        <w:left w:val="none" w:sz="0" w:space="0" w:color="auto"/>
        <w:bottom w:val="none" w:sz="0" w:space="0" w:color="auto"/>
        <w:right w:val="none" w:sz="0" w:space="0" w:color="auto"/>
      </w:divBdr>
      <w:divsChild>
        <w:div w:id="341207473">
          <w:marLeft w:val="0"/>
          <w:marRight w:val="0"/>
          <w:marTop w:val="0"/>
          <w:marBottom w:val="0"/>
          <w:divBdr>
            <w:top w:val="none" w:sz="0" w:space="0" w:color="auto"/>
            <w:left w:val="none" w:sz="0" w:space="0" w:color="auto"/>
            <w:bottom w:val="none" w:sz="0" w:space="0" w:color="auto"/>
            <w:right w:val="none" w:sz="0" w:space="0" w:color="auto"/>
          </w:divBdr>
          <w:divsChild>
            <w:div w:id="633367346">
              <w:marLeft w:val="0"/>
              <w:marRight w:val="0"/>
              <w:marTop w:val="0"/>
              <w:marBottom w:val="0"/>
              <w:divBdr>
                <w:top w:val="none" w:sz="0" w:space="0" w:color="auto"/>
                <w:left w:val="none" w:sz="0" w:space="0" w:color="auto"/>
                <w:bottom w:val="none" w:sz="0" w:space="0" w:color="auto"/>
                <w:right w:val="none" w:sz="0" w:space="0" w:color="auto"/>
              </w:divBdr>
              <w:divsChild>
                <w:div w:id="201857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609499">
          <w:marLeft w:val="0"/>
          <w:marRight w:val="0"/>
          <w:marTop w:val="0"/>
          <w:marBottom w:val="0"/>
          <w:divBdr>
            <w:top w:val="none" w:sz="0" w:space="0" w:color="auto"/>
            <w:left w:val="none" w:sz="0" w:space="0" w:color="auto"/>
            <w:bottom w:val="none" w:sz="0" w:space="0" w:color="auto"/>
            <w:right w:val="none" w:sz="0" w:space="0" w:color="auto"/>
          </w:divBdr>
        </w:div>
      </w:divsChild>
    </w:div>
    <w:div w:id="1120685110">
      <w:bodyDiv w:val="1"/>
      <w:marLeft w:val="0"/>
      <w:marRight w:val="0"/>
      <w:marTop w:val="0"/>
      <w:marBottom w:val="0"/>
      <w:divBdr>
        <w:top w:val="none" w:sz="0" w:space="0" w:color="auto"/>
        <w:left w:val="none" w:sz="0" w:space="0" w:color="auto"/>
        <w:bottom w:val="none" w:sz="0" w:space="0" w:color="auto"/>
        <w:right w:val="none" w:sz="0" w:space="0" w:color="auto"/>
      </w:divBdr>
    </w:div>
    <w:div w:id="1122967215">
      <w:bodyDiv w:val="1"/>
      <w:marLeft w:val="0"/>
      <w:marRight w:val="0"/>
      <w:marTop w:val="0"/>
      <w:marBottom w:val="0"/>
      <w:divBdr>
        <w:top w:val="none" w:sz="0" w:space="0" w:color="auto"/>
        <w:left w:val="none" w:sz="0" w:space="0" w:color="auto"/>
        <w:bottom w:val="none" w:sz="0" w:space="0" w:color="auto"/>
        <w:right w:val="none" w:sz="0" w:space="0" w:color="auto"/>
      </w:divBdr>
    </w:div>
    <w:div w:id="1123495442">
      <w:bodyDiv w:val="1"/>
      <w:marLeft w:val="0"/>
      <w:marRight w:val="0"/>
      <w:marTop w:val="0"/>
      <w:marBottom w:val="0"/>
      <w:divBdr>
        <w:top w:val="none" w:sz="0" w:space="0" w:color="auto"/>
        <w:left w:val="none" w:sz="0" w:space="0" w:color="auto"/>
        <w:bottom w:val="none" w:sz="0" w:space="0" w:color="auto"/>
        <w:right w:val="none" w:sz="0" w:space="0" w:color="auto"/>
      </w:divBdr>
    </w:div>
    <w:div w:id="1126121228">
      <w:bodyDiv w:val="1"/>
      <w:marLeft w:val="0"/>
      <w:marRight w:val="0"/>
      <w:marTop w:val="0"/>
      <w:marBottom w:val="0"/>
      <w:divBdr>
        <w:top w:val="none" w:sz="0" w:space="0" w:color="auto"/>
        <w:left w:val="none" w:sz="0" w:space="0" w:color="auto"/>
        <w:bottom w:val="none" w:sz="0" w:space="0" w:color="auto"/>
        <w:right w:val="none" w:sz="0" w:space="0" w:color="auto"/>
      </w:divBdr>
    </w:div>
    <w:div w:id="1126895789">
      <w:bodyDiv w:val="1"/>
      <w:marLeft w:val="0"/>
      <w:marRight w:val="0"/>
      <w:marTop w:val="0"/>
      <w:marBottom w:val="0"/>
      <w:divBdr>
        <w:top w:val="none" w:sz="0" w:space="0" w:color="auto"/>
        <w:left w:val="none" w:sz="0" w:space="0" w:color="auto"/>
        <w:bottom w:val="none" w:sz="0" w:space="0" w:color="auto"/>
        <w:right w:val="none" w:sz="0" w:space="0" w:color="auto"/>
      </w:divBdr>
    </w:div>
    <w:div w:id="1129279407">
      <w:bodyDiv w:val="1"/>
      <w:marLeft w:val="0"/>
      <w:marRight w:val="0"/>
      <w:marTop w:val="0"/>
      <w:marBottom w:val="0"/>
      <w:divBdr>
        <w:top w:val="none" w:sz="0" w:space="0" w:color="auto"/>
        <w:left w:val="none" w:sz="0" w:space="0" w:color="auto"/>
        <w:bottom w:val="none" w:sz="0" w:space="0" w:color="auto"/>
        <w:right w:val="none" w:sz="0" w:space="0" w:color="auto"/>
      </w:divBdr>
    </w:div>
    <w:div w:id="1129930344">
      <w:bodyDiv w:val="1"/>
      <w:marLeft w:val="0"/>
      <w:marRight w:val="0"/>
      <w:marTop w:val="0"/>
      <w:marBottom w:val="0"/>
      <w:divBdr>
        <w:top w:val="none" w:sz="0" w:space="0" w:color="auto"/>
        <w:left w:val="none" w:sz="0" w:space="0" w:color="auto"/>
        <w:bottom w:val="none" w:sz="0" w:space="0" w:color="auto"/>
        <w:right w:val="none" w:sz="0" w:space="0" w:color="auto"/>
      </w:divBdr>
    </w:div>
    <w:div w:id="1132479019">
      <w:bodyDiv w:val="1"/>
      <w:marLeft w:val="0"/>
      <w:marRight w:val="0"/>
      <w:marTop w:val="0"/>
      <w:marBottom w:val="0"/>
      <w:divBdr>
        <w:top w:val="none" w:sz="0" w:space="0" w:color="auto"/>
        <w:left w:val="none" w:sz="0" w:space="0" w:color="auto"/>
        <w:bottom w:val="none" w:sz="0" w:space="0" w:color="auto"/>
        <w:right w:val="none" w:sz="0" w:space="0" w:color="auto"/>
      </w:divBdr>
    </w:div>
    <w:div w:id="1135414923">
      <w:bodyDiv w:val="1"/>
      <w:marLeft w:val="0"/>
      <w:marRight w:val="0"/>
      <w:marTop w:val="0"/>
      <w:marBottom w:val="0"/>
      <w:divBdr>
        <w:top w:val="none" w:sz="0" w:space="0" w:color="auto"/>
        <w:left w:val="none" w:sz="0" w:space="0" w:color="auto"/>
        <w:bottom w:val="none" w:sz="0" w:space="0" w:color="auto"/>
        <w:right w:val="none" w:sz="0" w:space="0" w:color="auto"/>
      </w:divBdr>
      <w:divsChild>
        <w:div w:id="657459696">
          <w:marLeft w:val="0"/>
          <w:marRight w:val="0"/>
          <w:marTop w:val="0"/>
          <w:marBottom w:val="0"/>
          <w:divBdr>
            <w:top w:val="none" w:sz="0" w:space="0" w:color="auto"/>
            <w:left w:val="none" w:sz="0" w:space="0" w:color="auto"/>
            <w:bottom w:val="none" w:sz="0" w:space="0" w:color="auto"/>
            <w:right w:val="none" w:sz="0" w:space="0" w:color="auto"/>
          </w:divBdr>
        </w:div>
        <w:div w:id="712340404">
          <w:marLeft w:val="0"/>
          <w:marRight w:val="0"/>
          <w:marTop w:val="0"/>
          <w:marBottom w:val="0"/>
          <w:divBdr>
            <w:top w:val="none" w:sz="0" w:space="0" w:color="auto"/>
            <w:left w:val="none" w:sz="0" w:space="0" w:color="auto"/>
            <w:bottom w:val="none" w:sz="0" w:space="0" w:color="auto"/>
            <w:right w:val="none" w:sz="0" w:space="0" w:color="auto"/>
          </w:divBdr>
        </w:div>
        <w:div w:id="1079250913">
          <w:marLeft w:val="0"/>
          <w:marRight w:val="0"/>
          <w:marTop w:val="0"/>
          <w:marBottom w:val="0"/>
          <w:divBdr>
            <w:top w:val="none" w:sz="0" w:space="0" w:color="auto"/>
            <w:left w:val="none" w:sz="0" w:space="0" w:color="auto"/>
            <w:bottom w:val="none" w:sz="0" w:space="0" w:color="auto"/>
            <w:right w:val="none" w:sz="0" w:space="0" w:color="auto"/>
          </w:divBdr>
        </w:div>
        <w:div w:id="1718314423">
          <w:marLeft w:val="0"/>
          <w:marRight w:val="0"/>
          <w:marTop w:val="0"/>
          <w:marBottom w:val="0"/>
          <w:divBdr>
            <w:top w:val="none" w:sz="0" w:space="0" w:color="auto"/>
            <w:left w:val="none" w:sz="0" w:space="0" w:color="auto"/>
            <w:bottom w:val="none" w:sz="0" w:space="0" w:color="auto"/>
            <w:right w:val="none" w:sz="0" w:space="0" w:color="auto"/>
          </w:divBdr>
        </w:div>
        <w:div w:id="1946300497">
          <w:marLeft w:val="0"/>
          <w:marRight w:val="0"/>
          <w:marTop w:val="0"/>
          <w:marBottom w:val="0"/>
          <w:divBdr>
            <w:top w:val="none" w:sz="0" w:space="0" w:color="auto"/>
            <w:left w:val="none" w:sz="0" w:space="0" w:color="auto"/>
            <w:bottom w:val="none" w:sz="0" w:space="0" w:color="auto"/>
            <w:right w:val="none" w:sz="0" w:space="0" w:color="auto"/>
          </w:divBdr>
        </w:div>
      </w:divsChild>
    </w:div>
    <w:div w:id="1136215433">
      <w:bodyDiv w:val="1"/>
      <w:marLeft w:val="0"/>
      <w:marRight w:val="0"/>
      <w:marTop w:val="0"/>
      <w:marBottom w:val="0"/>
      <w:divBdr>
        <w:top w:val="none" w:sz="0" w:space="0" w:color="auto"/>
        <w:left w:val="none" w:sz="0" w:space="0" w:color="auto"/>
        <w:bottom w:val="none" w:sz="0" w:space="0" w:color="auto"/>
        <w:right w:val="none" w:sz="0" w:space="0" w:color="auto"/>
      </w:divBdr>
    </w:div>
    <w:div w:id="1137333126">
      <w:bodyDiv w:val="1"/>
      <w:marLeft w:val="0"/>
      <w:marRight w:val="0"/>
      <w:marTop w:val="0"/>
      <w:marBottom w:val="0"/>
      <w:divBdr>
        <w:top w:val="none" w:sz="0" w:space="0" w:color="auto"/>
        <w:left w:val="none" w:sz="0" w:space="0" w:color="auto"/>
        <w:bottom w:val="none" w:sz="0" w:space="0" w:color="auto"/>
        <w:right w:val="none" w:sz="0" w:space="0" w:color="auto"/>
      </w:divBdr>
    </w:div>
    <w:div w:id="1137407963">
      <w:bodyDiv w:val="1"/>
      <w:marLeft w:val="0"/>
      <w:marRight w:val="0"/>
      <w:marTop w:val="0"/>
      <w:marBottom w:val="0"/>
      <w:divBdr>
        <w:top w:val="none" w:sz="0" w:space="0" w:color="auto"/>
        <w:left w:val="none" w:sz="0" w:space="0" w:color="auto"/>
        <w:bottom w:val="none" w:sz="0" w:space="0" w:color="auto"/>
        <w:right w:val="none" w:sz="0" w:space="0" w:color="auto"/>
      </w:divBdr>
    </w:div>
    <w:div w:id="1138373230">
      <w:bodyDiv w:val="1"/>
      <w:marLeft w:val="0"/>
      <w:marRight w:val="0"/>
      <w:marTop w:val="0"/>
      <w:marBottom w:val="0"/>
      <w:divBdr>
        <w:top w:val="none" w:sz="0" w:space="0" w:color="auto"/>
        <w:left w:val="none" w:sz="0" w:space="0" w:color="auto"/>
        <w:bottom w:val="none" w:sz="0" w:space="0" w:color="auto"/>
        <w:right w:val="none" w:sz="0" w:space="0" w:color="auto"/>
      </w:divBdr>
    </w:div>
    <w:div w:id="1141773032">
      <w:bodyDiv w:val="1"/>
      <w:marLeft w:val="0"/>
      <w:marRight w:val="0"/>
      <w:marTop w:val="0"/>
      <w:marBottom w:val="0"/>
      <w:divBdr>
        <w:top w:val="none" w:sz="0" w:space="0" w:color="auto"/>
        <w:left w:val="none" w:sz="0" w:space="0" w:color="auto"/>
        <w:bottom w:val="none" w:sz="0" w:space="0" w:color="auto"/>
        <w:right w:val="none" w:sz="0" w:space="0" w:color="auto"/>
      </w:divBdr>
    </w:div>
    <w:div w:id="1146123409">
      <w:bodyDiv w:val="1"/>
      <w:marLeft w:val="0"/>
      <w:marRight w:val="0"/>
      <w:marTop w:val="0"/>
      <w:marBottom w:val="0"/>
      <w:divBdr>
        <w:top w:val="none" w:sz="0" w:space="0" w:color="auto"/>
        <w:left w:val="none" w:sz="0" w:space="0" w:color="auto"/>
        <w:bottom w:val="none" w:sz="0" w:space="0" w:color="auto"/>
        <w:right w:val="none" w:sz="0" w:space="0" w:color="auto"/>
      </w:divBdr>
    </w:div>
    <w:div w:id="1146438393">
      <w:bodyDiv w:val="1"/>
      <w:marLeft w:val="0"/>
      <w:marRight w:val="0"/>
      <w:marTop w:val="0"/>
      <w:marBottom w:val="0"/>
      <w:divBdr>
        <w:top w:val="none" w:sz="0" w:space="0" w:color="auto"/>
        <w:left w:val="none" w:sz="0" w:space="0" w:color="auto"/>
        <w:bottom w:val="none" w:sz="0" w:space="0" w:color="auto"/>
        <w:right w:val="none" w:sz="0" w:space="0" w:color="auto"/>
      </w:divBdr>
    </w:div>
    <w:div w:id="1147551882">
      <w:bodyDiv w:val="1"/>
      <w:marLeft w:val="0"/>
      <w:marRight w:val="0"/>
      <w:marTop w:val="0"/>
      <w:marBottom w:val="0"/>
      <w:divBdr>
        <w:top w:val="none" w:sz="0" w:space="0" w:color="auto"/>
        <w:left w:val="none" w:sz="0" w:space="0" w:color="auto"/>
        <w:bottom w:val="none" w:sz="0" w:space="0" w:color="auto"/>
        <w:right w:val="none" w:sz="0" w:space="0" w:color="auto"/>
      </w:divBdr>
    </w:div>
    <w:div w:id="1149857555">
      <w:bodyDiv w:val="1"/>
      <w:marLeft w:val="0"/>
      <w:marRight w:val="0"/>
      <w:marTop w:val="0"/>
      <w:marBottom w:val="0"/>
      <w:divBdr>
        <w:top w:val="none" w:sz="0" w:space="0" w:color="auto"/>
        <w:left w:val="none" w:sz="0" w:space="0" w:color="auto"/>
        <w:bottom w:val="none" w:sz="0" w:space="0" w:color="auto"/>
        <w:right w:val="none" w:sz="0" w:space="0" w:color="auto"/>
      </w:divBdr>
    </w:div>
    <w:div w:id="1150101932">
      <w:bodyDiv w:val="1"/>
      <w:marLeft w:val="0"/>
      <w:marRight w:val="0"/>
      <w:marTop w:val="0"/>
      <w:marBottom w:val="0"/>
      <w:divBdr>
        <w:top w:val="none" w:sz="0" w:space="0" w:color="auto"/>
        <w:left w:val="none" w:sz="0" w:space="0" w:color="auto"/>
        <w:bottom w:val="none" w:sz="0" w:space="0" w:color="auto"/>
        <w:right w:val="none" w:sz="0" w:space="0" w:color="auto"/>
      </w:divBdr>
    </w:div>
    <w:div w:id="1150177066">
      <w:bodyDiv w:val="1"/>
      <w:marLeft w:val="0"/>
      <w:marRight w:val="0"/>
      <w:marTop w:val="0"/>
      <w:marBottom w:val="0"/>
      <w:divBdr>
        <w:top w:val="none" w:sz="0" w:space="0" w:color="auto"/>
        <w:left w:val="none" w:sz="0" w:space="0" w:color="auto"/>
        <w:bottom w:val="none" w:sz="0" w:space="0" w:color="auto"/>
        <w:right w:val="none" w:sz="0" w:space="0" w:color="auto"/>
      </w:divBdr>
    </w:div>
    <w:div w:id="1152480394">
      <w:bodyDiv w:val="1"/>
      <w:marLeft w:val="0"/>
      <w:marRight w:val="0"/>
      <w:marTop w:val="0"/>
      <w:marBottom w:val="0"/>
      <w:divBdr>
        <w:top w:val="none" w:sz="0" w:space="0" w:color="auto"/>
        <w:left w:val="none" w:sz="0" w:space="0" w:color="auto"/>
        <w:bottom w:val="none" w:sz="0" w:space="0" w:color="auto"/>
        <w:right w:val="none" w:sz="0" w:space="0" w:color="auto"/>
      </w:divBdr>
    </w:div>
    <w:div w:id="1154293349">
      <w:bodyDiv w:val="1"/>
      <w:marLeft w:val="0"/>
      <w:marRight w:val="0"/>
      <w:marTop w:val="0"/>
      <w:marBottom w:val="0"/>
      <w:divBdr>
        <w:top w:val="none" w:sz="0" w:space="0" w:color="auto"/>
        <w:left w:val="none" w:sz="0" w:space="0" w:color="auto"/>
        <w:bottom w:val="none" w:sz="0" w:space="0" w:color="auto"/>
        <w:right w:val="none" w:sz="0" w:space="0" w:color="auto"/>
      </w:divBdr>
      <w:divsChild>
        <w:div w:id="7997355">
          <w:marLeft w:val="0"/>
          <w:marRight w:val="0"/>
          <w:marTop w:val="0"/>
          <w:marBottom w:val="0"/>
          <w:divBdr>
            <w:top w:val="none" w:sz="0" w:space="0" w:color="auto"/>
            <w:left w:val="none" w:sz="0" w:space="0" w:color="auto"/>
            <w:bottom w:val="none" w:sz="0" w:space="0" w:color="auto"/>
            <w:right w:val="none" w:sz="0" w:space="0" w:color="auto"/>
          </w:divBdr>
        </w:div>
        <w:div w:id="35013864">
          <w:marLeft w:val="0"/>
          <w:marRight w:val="0"/>
          <w:marTop w:val="0"/>
          <w:marBottom w:val="0"/>
          <w:divBdr>
            <w:top w:val="none" w:sz="0" w:space="0" w:color="auto"/>
            <w:left w:val="none" w:sz="0" w:space="0" w:color="auto"/>
            <w:bottom w:val="none" w:sz="0" w:space="0" w:color="auto"/>
            <w:right w:val="none" w:sz="0" w:space="0" w:color="auto"/>
          </w:divBdr>
        </w:div>
        <w:div w:id="36272917">
          <w:marLeft w:val="0"/>
          <w:marRight w:val="0"/>
          <w:marTop w:val="0"/>
          <w:marBottom w:val="0"/>
          <w:divBdr>
            <w:top w:val="none" w:sz="0" w:space="0" w:color="auto"/>
            <w:left w:val="none" w:sz="0" w:space="0" w:color="auto"/>
            <w:bottom w:val="none" w:sz="0" w:space="0" w:color="auto"/>
            <w:right w:val="none" w:sz="0" w:space="0" w:color="auto"/>
          </w:divBdr>
        </w:div>
        <w:div w:id="74939956">
          <w:marLeft w:val="0"/>
          <w:marRight w:val="0"/>
          <w:marTop w:val="0"/>
          <w:marBottom w:val="0"/>
          <w:divBdr>
            <w:top w:val="none" w:sz="0" w:space="0" w:color="auto"/>
            <w:left w:val="none" w:sz="0" w:space="0" w:color="auto"/>
            <w:bottom w:val="none" w:sz="0" w:space="0" w:color="auto"/>
            <w:right w:val="none" w:sz="0" w:space="0" w:color="auto"/>
          </w:divBdr>
        </w:div>
        <w:div w:id="78524893">
          <w:marLeft w:val="0"/>
          <w:marRight w:val="0"/>
          <w:marTop w:val="0"/>
          <w:marBottom w:val="0"/>
          <w:divBdr>
            <w:top w:val="none" w:sz="0" w:space="0" w:color="auto"/>
            <w:left w:val="none" w:sz="0" w:space="0" w:color="auto"/>
            <w:bottom w:val="none" w:sz="0" w:space="0" w:color="auto"/>
            <w:right w:val="none" w:sz="0" w:space="0" w:color="auto"/>
          </w:divBdr>
        </w:div>
        <w:div w:id="82722301">
          <w:marLeft w:val="0"/>
          <w:marRight w:val="0"/>
          <w:marTop w:val="0"/>
          <w:marBottom w:val="0"/>
          <w:divBdr>
            <w:top w:val="none" w:sz="0" w:space="0" w:color="auto"/>
            <w:left w:val="none" w:sz="0" w:space="0" w:color="auto"/>
            <w:bottom w:val="none" w:sz="0" w:space="0" w:color="auto"/>
            <w:right w:val="none" w:sz="0" w:space="0" w:color="auto"/>
          </w:divBdr>
        </w:div>
        <w:div w:id="107969512">
          <w:marLeft w:val="0"/>
          <w:marRight w:val="0"/>
          <w:marTop w:val="0"/>
          <w:marBottom w:val="0"/>
          <w:divBdr>
            <w:top w:val="none" w:sz="0" w:space="0" w:color="auto"/>
            <w:left w:val="none" w:sz="0" w:space="0" w:color="auto"/>
            <w:bottom w:val="none" w:sz="0" w:space="0" w:color="auto"/>
            <w:right w:val="none" w:sz="0" w:space="0" w:color="auto"/>
          </w:divBdr>
        </w:div>
        <w:div w:id="126049479">
          <w:marLeft w:val="0"/>
          <w:marRight w:val="0"/>
          <w:marTop w:val="0"/>
          <w:marBottom w:val="0"/>
          <w:divBdr>
            <w:top w:val="none" w:sz="0" w:space="0" w:color="auto"/>
            <w:left w:val="none" w:sz="0" w:space="0" w:color="auto"/>
            <w:bottom w:val="none" w:sz="0" w:space="0" w:color="auto"/>
            <w:right w:val="none" w:sz="0" w:space="0" w:color="auto"/>
          </w:divBdr>
        </w:div>
        <w:div w:id="154614498">
          <w:marLeft w:val="0"/>
          <w:marRight w:val="0"/>
          <w:marTop w:val="0"/>
          <w:marBottom w:val="0"/>
          <w:divBdr>
            <w:top w:val="none" w:sz="0" w:space="0" w:color="auto"/>
            <w:left w:val="none" w:sz="0" w:space="0" w:color="auto"/>
            <w:bottom w:val="none" w:sz="0" w:space="0" w:color="auto"/>
            <w:right w:val="none" w:sz="0" w:space="0" w:color="auto"/>
          </w:divBdr>
        </w:div>
        <w:div w:id="157431142">
          <w:marLeft w:val="0"/>
          <w:marRight w:val="0"/>
          <w:marTop w:val="0"/>
          <w:marBottom w:val="0"/>
          <w:divBdr>
            <w:top w:val="none" w:sz="0" w:space="0" w:color="auto"/>
            <w:left w:val="none" w:sz="0" w:space="0" w:color="auto"/>
            <w:bottom w:val="none" w:sz="0" w:space="0" w:color="auto"/>
            <w:right w:val="none" w:sz="0" w:space="0" w:color="auto"/>
          </w:divBdr>
        </w:div>
        <w:div w:id="157504795">
          <w:marLeft w:val="0"/>
          <w:marRight w:val="0"/>
          <w:marTop w:val="0"/>
          <w:marBottom w:val="0"/>
          <w:divBdr>
            <w:top w:val="none" w:sz="0" w:space="0" w:color="auto"/>
            <w:left w:val="none" w:sz="0" w:space="0" w:color="auto"/>
            <w:bottom w:val="none" w:sz="0" w:space="0" w:color="auto"/>
            <w:right w:val="none" w:sz="0" w:space="0" w:color="auto"/>
          </w:divBdr>
        </w:div>
        <w:div w:id="158812471">
          <w:marLeft w:val="0"/>
          <w:marRight w:val="0"/>
          <w:marTop w:val="0"/>
          <w:marBottom w:val="0"/>
          <w:divBdr>
            <w:top w:val="none" w:sz="0" w:space="0" w:color="auto"/>
            <w:left w:val="none" w:sz="0" w:space="0" w:color="auto"/>
            <w:bottom w:val="none" w:sz="0" w:space="0" w:color="auto"/>
            <w:right w:val="none" w:sz="0" w:space="0" w:color="auto"/>
          </w:divBdr>
        </w:div>
        <w:div w:id="163129694">
          <w:marLeft w:val="0"/>
          <w:marRight w:val="0"/>
          <w:marTop w:val="0"/>
          <w:marBottom w:val="0"/>
          <w:divBdr>
            <w:top w:val="none" w:sz="0" w:space="0" w:color="auto"/>
            <w:left w:val="none" w:sz="0" w:space="0" w:color="auto"/>
            <w:bottom w:val="none" w:sz="0" w:space="0" w:color="auto"/>
            <w:right w:val="none" w:sz="0" w:space="0" w:color="auto"/>
          </w:divBdr>
        </w:div>
        <w:div w:id="171535718">
          <w:marLeft w:val="0"/>
          <w:marRight w:val="0"/>
          <w:marTop w:val="0"/>
          <w:marBottom w:val="0"/>
          <w:divBdr>
            <w:top w:val="none" w:sz="0" w:space="0" w:color="auto"/>
            <w:left w:val="none" w:sz="0" w:space="0" w:color="auto"/>
            <w:bottom w:val="none" w:sz="0" w:space="0" w:color="auto"/>
            <w:right w:val="none" w:sz="0" w:space="0" w:color="auto"/>
          </w:divBdr>
        </w:div>
        <w:div w:id="173805880">
          <w:marLeft w:val="0"/>
          <w:marRight w:val="0"/>
          <w:marTop w:val="0"/>
          <w:marBottom w:val="0"/>
          <w:divBdr>
            <w:top w:val="none" w:sz="0" w:space="0" w:color="auto"/>
            <w:left w:val="none" w:sz="0" w:space="0" w:color="auto"/>
            <w:bottom w:val="none" w:sz="0" w:space="0" w:color="auto"/>
            <w:right w:val="none" w:sz="0" w:space="0" w:color="auto"/>
          </w:divBdr>
        </w:div>
        <w:div w:id="174729798">
          <w:marLeft w:val="0"/>
          <w:marRight w:val="0"/>
          <w:marTop w:val="0"/>
          <w:marBottom w:val="0"/>
          <w:divBdr>
            <w:top w:val="none" w:sz="0" w:space="0" w:color="auto"/>
            <w:left w:val="none" w:sz="0" w:space="0" w:color="auto"/>
            <w:bottom w:val="none" w:sz="0" w:space="0" w:color="auto"/>
            <w:right w:val="none" w:sz="0" w:space="0" w:color="auto"/>
          </w:divBdr>
        </w:div>
        <w:div w:id="198668276">
          <w:marLeft w:val="0"/>
          <w:marRight w:val="0"/>
          <w:marTop w:val="0"/>
          <w:marBottom w:val="0"/>
          <w:divBdr>
            <w:top w:val="none" w:sz="0" w:space="0" w:color="auto"/>
            <w:left w:val="none" w:sz="0" w:space="0" w:color="auto"/>
            <w:bottom w:val="none" w:sz="0" w:space="0" w:color="auto"/>
            <w:right w:val="none" w:sz="0" w:space="0" w:color="auto"/>
          </w:divBdr>
        </w:div>
        <w:div w:id="224951991">
          <w:marLeft w:val="0"/>
          <w:marRight w:val="0"/>
          <w:marTop w:val="0"/>
          <w:marBottom w:val="0"/>
          <w:divBdr>
            <w:top w:val="none" w:sz="0" w:space="0" w:color="auto"/>
            <w:left w:val="none" w:sz="0" w:space="0" w:color="auto"/>
            <w:bottom w:val="none" w:sz="0" w:space="0" w:color="auto"/>
            <w:right w:val="none" w:sz="0" w:space="0" w:color="auto"/>
          </w:divBdr>
        </w:div>
        <w:div w:id="230238581">
          <w:marLeft w:val="0"/>
          <w:marRight w:val="0"/>
          <w:marTop w:val="0"/>
          <w:marBottom w:val="0"/>
          <w:divBdr>
            <w:top w:val="none" w:sz="0" w:space="0" w:color="auto"/>
            <w:left w:val="none" w:sz="0" w:space="0" w:color="auto"/>
            <w:bottom w:val="none" w:sz="0" w:space="0" w:color="auto"/>
            <w:right w:val="none" w:sz="0" w:space="0" w:color="auto"/>
          </w:divBdr>
        </w:div>
        <w:div w:id="239869061">
          <w:marLeft w:val="0"/>
          <w:marRight w:val="0"/>
          <w:marTop w:val="0"/>
          <w:marBottom w:val="0"/>
          <w:divBdr>
            <w:top w:val="none" w:sz="0" w:space="0" w:color="auto"/>
            <w:left w:val="none" w:sz="0" w:space="0" w:color="auto"/>
            <w:bottom w:val="none" w:sz="0" w:space="0" w:color="auto"/>
            <w:right w:val="none" w:sz="0" w:space="0" w:color="auto"/>
          </w:divBdr>
        </w:div>
        <w:div w:id="258801697">
          <w:marLeft w:val="0"/>
          <w:marRight w:val="0"/>
          <w:marTop w:val="0"/>
          <w:marBottom w:val="0"/>
          <w:divBdr>
            <w:top w:val="none" w:sz="0" w:space="0" w:color="auto"/>
            <w:left w:val="none" w:sz="0" w:space="0" w:color="auto"/>
            <w:bottom w:val="none" w:sz="0" w:space="0" w:color="auto"/>
            <w:right w:val="none" w:sz="0" w:space="0" w:color="auto"/>
          </w:divBdr>
        </w:div>
        <w:div w:id="315031798">
          <w:marLeft w:val="0"/>
          <w:marRight w:val="0"/>
          <w:marTop w:val="0"/>
          <w:marBottom w:val="0"/>
          <w:divBdr>
            <w:top w:val="none" w:sz="0" w:space="0" w:color="auto"/>
            <w:left w:val="none" w:sz="0" w:space="0" w:color="auto"/>
            <w:bottom w:val="none" w:sz="0" w:space="0" w:color="auto"/>
            <w:right w:val="none" w:sz="0" w:space="0" w:color="auto"/>
          </w:divBdr>
        </w:div>
        <w:div w:id="331837948">
          <w:marLeft w:val="0"/>
          <w:marRight w:val="0"/>
          <w:marTop w:val="0"/>
          <w:marBottom w:val="0"/>
          <w:divBdr>
            <w:top w:val="none" w:sz="0" w:space="0" w:color="auto"/>
            <w:left w:val="none" w:sz="0" w:space="0" w:color="auto"/>
            <w:bottom w:val="none" w:sz="0" w:space="0" w:color="auto"/>
            <w:right w:val="none" w:sz="0" w:space="0" w:color="auto"/>
          </w:divBdr>
        </w:div>
        <w:div w:id="334848000">
          <w:marLeft w:val="0"/>
          <w:marRight w:val="0"/>
          <w:marTop w:val="0"/>
          <w:marBottom w:val="0"/>
          <w:divBdr>
            <w:top w:val="none" w:sz="0" w:space="0" w:color="auto"/>
            <w:left w:val="none" w:sz="0" w:space="0" w:color="auto"/>
            <w:bottom w:val="none" w:sz="0" w:space="0" w:color="auto"/>
            <w:right w:val="none" w:sz="0" w:space="0" w:color="auto"/>
          </w:divBdr>
        </w:div>
        <w:div w:id="357051024">
          <w:marLeft w:val="0"/>
          <w:marRight w:val="0"/>
          <w:marTop w:val="0"/>
          <w:marBottom w:val="0"/>
          <w:divBdr>
            <w:top w:val="none" w:sz="0" w:space="0" w:color="auto"/>
            <w:left w:val="none" w:sz="0" w:space="0" w:color="auto"/>
            <w:bottom w:val="none" w:sz="0" w:space="0" w:color="auto"/>
            <w:right w:val="none" w:sz="0" w:space="0" w:color="auto"/>
          </w:divBdr>
        </w:div>
        <w:div w:id="366413052">
          <w:marLeft w:val="0"/>
          <w:marRight w:val="0"/>
          <w:marTop w:val="0"/>
          <w:marBottom w:val="0"/>
          <w:divBdr>
            <w:top w:val="none" w:sz="0" w:space="0" w:color="auto"/>
            <w:left w:val="none" w:sz="0" w:space="0" w:color="auto"/>
            <w:bottom w:val="none" w:sz="0" w:space="0" w:color="auto"/>
            <w:right w:val="none" w:sz="0" w:space="0" w:color="auto"/>
          </w:divBdr>
        </w:div>
        <w:div w:id="390538165">
          <w:marLeft w:val="0"/>
          <w:marRight w:val="0"/>
          <w:marTop w:val="0"/>
          <w:marBottom w:val="0"/>
          <w:divBdr>
            <w:top w:val="none" w:sz="0" w:space="0" w:color="auto"/>
            <w:left w:val="none" w:sz="0" w:space="0" w:color="auto"/>
            <w:bottom w:val="none" w:sz="0" w:space="0" w:color="auto"/>
            <w:right w:val="none" w:sz="0" w:space="0" w:color="auto"/>
          </w:divBdr>
        </w:div>
        <w:div w:id="398133229">
          <w:marLeft w:val="0"/>
          <w:marRight w:val="0"/>
          <w:marTop w:val="0"/>
          <w:marBottom w:val="0"/>
          <w:divBdr>
            <w:top w:val="none" w:sz="0" w:space="0" w:color="auto"/>
            <w:left w:val="none" w:sz="0" w:space="0" w:color="auto"/>
            <w:bottom w:val="none" w:sz="0" w:space="0" w:color="auto"/>
            <w:right w:val="none" w:sz="0" w:space="0" w:color="auto"/>
          </w:divBdr>
        </w:div>
        <w:div w:id="403533587">
          <w:marLeft w:val="0"/>
          <w:marRight w:val="0"/>
          <w:marTop w:val="0"/>
          <w:marBottom w:val="0"/>
          <w:divBdr>
            <w:top w:val="none" w:sz="0" w:space="0" w:color="auto"/>
            <w:left w:val="none" w:sz="0" w:space="0" w:color="auto"/>
            <w:bottom w:val="none" w:sz="0" w:space="0" w:color="auto"/>
            <w:right w:val="none" w:sz="0" w:space="0" w:color="auto"/>
          </w:divBdr>
        </w:div>
        <w:div w:id="429207134">
          <w:marLeft w:val="0"/>
          <w:marRight w:val="0"/>
          <w:marTop w:val="0"/>
          <w:marBottom w:val="0"/>
          <w:divBdr>
            <w:top w:val="none" w:sz="0" w:space="0" w:color="auto"/>
            <w:left w:val="none" w:sz="0" w:space="0" w:color="auto"/>
            <w:bottom w:val="none" w:sz="0" w:space="0" w:color="auto"/>
            <w:right w:val="none" w:sz="0" w:space="0" w:color="auto"/>
          </w:divBdr>
        </w:div>
        <w:div w:id="429737748">
          <w:marLeft w:val="0"/>
          <w:marRight w:val="0"/>
          <w:marTop w:val="0"/>
          <w:marBottom w:val="0"/>
          <w:divBdr>
            <w:top w:val="none" w:sz="0" w:space="0" w:color="auto"/>
            <w:left w:val="none" w:sz="0" w:space="0" w:color="auto"/>
            <w:bottom w:val="none" w:sz="0" w:space="0" w:color="auto"/>
            <w:right w:val="none" w:sz="0" w:space="0" w:color="auto"/>
          </w:divBdr>
        </w:div>
        <w:div w:id="443618559">
          <w:marLeft w:val="0"/>
          <w:marRight w:val="0"/>
          <w:marTop w:val="0"/>
          <w:marBottom w:val="0"/>
          <w:divBdr>
            <w:top w:val="none" w:sz="0" w:space="0" w:color="auto"/>
            <w:left w:val="none" w:sz="0" w:space="0" w:color="auto"/>
            <w:bottom w:val="none" w:sz="0" w:space="0" w:color="auto"/>
            <w:right w:val="none" w:sz="0" w:space="0" w:color="auto"/>
          </w:divBdr>
        </w:div>
        <w:div w:id="448276702">
          <w:marLeft w:val="0"/>
          <w:marRight w:val="0"/>
          <w:marTop w:val="0"/>
          <w:marBottom w:val="0"/>
          <w:divBdr>
            <w:top w:val="none" w:sz="0" w:space="0" w:color="auto"/>
            <w:left w:val="none" w:sz="0" w:space="0" w:color="auto"/>
            <w:bottom w:val="none" w:sz="0" w:space="0" w:color="auto"/>
            <w:right w:val="none" w:sz="0" w:space="0" w:color="auto"/>
          </w:divBdr>
        </w:div>
        <w:div w:id="454448991">
          <w:marLeft w:val="0"/>
          <w:marRight w:val="0"/>
          <w:marTop w:val="0"/>
          <w:marBottom w:val="0"/>
          <w:divBdr>
            <w:top w:val="none" w:sz="0" w:space="0" w:color="auto"/>
            <w:left w:val="none" w:sz="0" w:space="0" w:color="auto"/>
            <w:bottom w:val="none" w:sz="0" w:space="0" w:color="auto"/>
            <w:right w:val="none" w:sz="0" w:space="0" w:color="auto"/>
          </w:divBdr>
        </w:div>
        <w:div w:id="467169199">
          <w:marLeft w:val="0"/>
          <w:marRight w:val="0"/>
          <w:marTop w:val="0"/>
          <w:marBottom w:val="0"/>
          <w:divBdr>
            <w:top w:val="none" w:sz="0" w:space="0" w:color="auto"/>
            <w:left w:val="none" w:sz="0" w:space="0" w:color="auto"/>
            <w:bottom w:val="none" w:sz="0" w:space="0" w:color="auto"/>
            <w:right w:val="none" w:sz="0" w:space="0" w:color="auto"/>
          </w:divBdr>
        </w:div>
        <w:div w:id="493767997">
          <w:marLeft w:val="0"/>
          <w:marRight w:val="0"/>
          <w:marTop w:val="0"/>
          <w:marBottom w:val="0"/>
          <w:divBdr>
            <w:top w:val="none" w:sz="0" w:space="0" w:color="auto"/>
            <w:left w:val="none" w:sz="0" w:space="0" w:color="auto"/>
            <w:bottom w:val="none" w:sz="0" w:space="0" w:color="auto"/>
            <w:right w:val="none" w:sz="0" w:space="0" w:color="auto"/>
          </w:divBdr>
        </w:div>
        <w:div w:id="498423748">
          <w:marLeft w:val="0"/>
          <w:marRight w:val="0"/>
          <w:marTop w:val="0"/>
          <w:marBottom w:val="0"/>
          <w:divBdr>
            <w:top w:val="none" w:sz="0" w:space="0" w:color="auto"/>
            <w:left w:val="none" w:sz="0" w:space="0" w:color="auto"/>
            <w:bottom w:val="none" w:sz="0" w:space="0" w:color="auto"/>
            <w:right w:val="none" w:sz="0" w:space="0" w:color="auto"/>
          </w:divBdr>
        </w:div>
        <w:div w:id="502547322">
          <w:marLeft w:val="0"/>
          <w:marRight w:val="0"/>
          <w:marTop w:val="0"/>
          <w:marBottom w:val="0"/>
          <w:divBdr>
            <w:top w:val="none" w:sz="0" w:space="0" w:color="auto"/>
            <w:left w:val="none" w:sz="0" w:space="0" w:color="auto"/>
            <w:bottom w:val="none" w:sz="0" w:space="0" w:color="auto"/>
            <w:right w:val="none" w:sz="0" w:space="0" w:color="auto"/>
          </w:divBdr>
        </w:div>
        <w:div w:id="524487041">
          <w:marLeft w:val="0"/>
          <w:marRight w:val="0"/>
          <w:marTop w:val="0"/>
          <w:marBottom w:val="0"/>
          <w:divBdr>
            <w:top w:val="none" w:sz="0" w:space="0" w:color="auto"/>
            <w:left w:val="none" w:sz="0" w:space="0" w:color="auto"/>
            <w:bottom w:val="none" w:sz="0" w:space="0" w:color="auto"/>
            <w:right w:val="none" w:sz="0" w:space="0" w:color="auto"/>
          </w:divBdr>
        </w:div>
        <w:div w:id="527910090">
          <w:marLeft w:val="0"/>
          <w:marRight w:val="0"/>
          <w:marTop w:val="0"/>
          <w:marBottom w:val="0"/>
          <w:divBdr>
            <w:top w:val="none" w:sz="0" w:space="0" w:color="auto"/>
            <w:left w:val="none" w:sz="0" w:space="0" w:color="auto"/>
            <w:bottom w:val="none" w:sz="0" w:space="0" w:color="auto"/>
            <w:right w:val="none" w:sz="0" w:space="0" w:color="auto"/>
          </w:divBdr>
        </w:div>
        <w:div w:id="532767700">
          <w:marLeft w:val="0"/>
          <w:marRight w:val="0"/>
          <w:marTop w:val="0"/>
          <w:marBottom w:val="0"/>
          <w:divBdr>
            <w:top w:val="none" w:sz="0" w:space="0" w:color="auto"/>
            <w:left w:val="none" w:sz="0" w:space="0" w:color="auto"/>
            <w:bottom w:val="none" w:sz="0" w:space="0" w:color="auto"/>
            <w:right w:val="none" w:sz="0" w:space="0" w:color="auto"/>
          </w:divBdr>
        </w:div>
        <w:div w:id="542787140">
          <w:marLeft w:val="0"/>
          <w:marRight w:val="0"/>
          <w:marTop w:val="0"/>
          <w:marBottom w:val="0"/>
          <w:divBdr>
            <w:top w:val="none" w:sz="0" w:space="0" w:color="auto"/>
            <w:left w:val="none" w:sz="0" w:space="0" w:color="auto"/>
            <w:bottom w:val="none" w:sz="0" w:space="0" w:color="auto"/>
            <w:right w:val="none" w:sz="0" w:space="0" w:color="auto"/>
          </w:divBdr>
        </w:div>
        <w:div w:id="545609147">
          <w:marLeft w:val="0"/>
          <w:marRight w:val="0"/>
          <w:marTop w:val="0"/>
          <w:marBottom w:val="0"/>
          <w:divBdr>
            <w:top w:val="none" w:sz="0" w:space="0" w:color="auto"/>
            <w:left w:val="none" w:sz="0" w:space="0" w:color="auto"/>
            <w:bottom w:val="none" w:sz="0" w:space="0" w:color="auto"/>
            <w:right w:val="none" w:sz="0" w:space="0" w:color="auto"/>
          </w:divBdr>
        </w:div>
        <w:div w:id="565456494">
          <w:marLeft w:val="0"/>
          <w:marRight w:val="0"/>
          <w:marTop w:val="0"/>
          <w:marBottom w:val="0"/>
          <w:divBdr>
            <w:top w:val="none" w:sz="0" w:space="0" w:color="auto"/>
            <w:left w:val="none" w:sz="0" w:space="0" w:color="auto"/>
            <w:bottom w:val="none" w:sz="0" w:space="0" w:color="auto"/>
            <w:right w:val="none" w:sz="0" w:space="0" w:color="auto"/>
          </w:divBdr>
        </w:div>
        <w:div w:id="582757889">
          <w:marLeft w:val="0"/>
          <w:marRight w:val="0"/>
          <w:marTop w:val="0"/>
          <w:marBottom w:val="0"/>
          <w:divBdr>
            <w:top w:val="none" w:sz="0" w:space="0" w:color="auto"/>
            <w:left w:val="none" w:sz="0" w:space="0" w:color="auto"/>
            <w:bottom w:val="none" w:sz="0" w:space="0" w:color="auto"/>
            <w:right w:val="none" w:sz="0" w:space="0" w:color="auto"/>
          </w:divBdr>
        </w:div>
        <w:div w:id="643511309">
          <w:marLeft w:val="0"/>
          <w:marRight w:val="0"/>
          <w:marTop w:val="0"/>
          <w:marBottom w:val="0"/>
          <w:divBdr>
            <w:top w:val="none" w:sz="0" w:space="0" w:color="auto"/>
            <w:left w:val="none" w:sz="0" w:space="0" w:color="auto"/>
            <w:bottom w:val="none" w:sz="0" w:space="0" w:color="auto"/>
            <w:right w:val="none" w:sz="0" w:space="0" w:color="auto"/>
          </w:divBdr>
        </w:div>
        <w:div w:id="651371084">
          <w:marLeft w:val="0"/>
          <w:marRight w:val="0"/>
          <w:marTop w:val="0"/>
          <w:marBottom w:val="0"/>
          <w:divBdr>
            <w:top w:val="none" w:sz="0" w:space="0" w:color="auto"/>
            <w:left w:val="none" w:sz="0" w:space="0" w:color="auto"/>
            <w:bottom w:val="none" w:sz="0" w:space="0" w:color="auto"/>
            <w:right w:val="none" w:sz="0" w:space="0" w:color="auto"/>
          </w:divBdr>
        </w:div>
        <w:div w:id="676152720">
          <w:marLeft w:val="0"/>
          <w:marRight w:val="0"/>
          <w:marTop w:val="0"/>
          <w:marBottom w:val="0"/>
          <w:divBdr>
            <w:top w:val="none" w:sz="0" w:space="0" w:color="auto"/>
            <w:left w:val="none" w:sz="0" w:space="0" w:color="auto"/>
            <w:bottom w:val="none" w:sz="0" w:space="0" w:color="auto"/>
            <w:right w:val="none" w:sz="0" w:space="0" w:color="auto"/>
          </w:divBdr>
        </w:div>
        <w:div w:id="681128676">
          <w:marLeft w:val="0"/>
          <w:marRight w:val="0"/>
          <w:marTop w:val="0"/>
          <w:marBottom w:val="0"/>
          <w:divBdr>
            <w:top w:val="none" w:sz="0" w:space="0" w:color="auto"/>
            <w:left w:val="none" w:sz="0" w:space="0" w:color="auto"/>
            <w:bottom w:val="none" w:sz="0" w:space="0" w:color="auto"/>
            <w:right w:val="none" w:sz="0" w:space="0" w:color="auto"/>
          </w:divBdr>
        </w:div>
        <w:div w:id="690028820">
          <w:marLeft w:val="0"/>
          <w:marRight w:val="0"/>
          <w:marTop w:val="0"/>
          <w:marBottom w:val="0"/>
          <w:divBdr>
            <w:top w:val="none" w:sz="0" w:space="0" w:color="auto"/>
            <w:left w:val="none" w:sz="0" w:space="0" w:color="auto"/>
            <w:bottom w:val="none" w:sz="0" w:space="0" w:color="auto"/>
            <w:right w:val="none" w:sz="0" w:space="0" w:color="auto"/>
          </w:divBdr>
        </w:div>
        <w:div w:id="718475860">
          <w:marLeft w:val="0"/>
          <w:marRight w:val="0"/>
          <w:marTop w:val="0"/>
          <w:marBottom w:val="0"/>
          <w:divBdr>
            <w:top w:val="none" w:sz="0" w:space="0" w:color="auto"/>
            <w:left w:val="none" w:sz="0" w:space="0" w:color="auto"/>
            <w:bottom w:val="none" w:sz="0" w:space="0" w:color="auto"/>
            <w:right w:val="none" w:sz="0" w:space="0" w:color="auto"/>
          </w:divBdr>
        </w:div>
        <w:div w:id="756907227">
          <w:marLeft w:val="0"/>
          <w:marRight w:val="0"/>
          <w:marTop w:val="0"/>
          <w:marBottom w:val="0"/>
          <w:divBdr>
            <w:top w:val="none" w:sz="0" w:space="0" w:color="auto"/>
            <w:left w:val="none" w:sz="0" w:space="0" w:color="auto"/>
            <w:bottom w:val="none" w:sz="0" w:space="0" w:color="auto"/>
            <w:right w:val="none" w:sz="0" w:space="0" w:color="auto"/>
          </w:divBdr>
        </w:div>
        <w:div w:id="763962351">
          <w:marLeft w:val="0"/>
          <w:marRight w:val="0"/>
          <w:marTop w:val="0"/>
          <w:marBottom w:val="0"/>
          <w:divBdr>
            <w:top w:val="none" w:sz="0" w:space="0" w:color="auto"/>
            <w:left w:val="none" w:sz="0" w:space="0" w:color="auto"/>
            <w:bottom w:val="none" w:sz="0" w:space="0" w:color="auto"/>
            <w:right w:val="none" w:sz="0" w:space="0" w:color="auto"/>
          </w:divBdr>
        </w:div>
        <w:div w:id="765540390">
          <w:marLeft w:val="0"/>
          <w:marRight w:val="0"/>
          <w:marTop w:val="0"/>
          <w:marBottom w:val="0"/>
          <w:divBdr>
            <w:top w:val="none" w:sz="0" w:space="0" w:color="auto"/>
            <w:left w:val="none" w:sz="0" w:space="0" w:color="auto"/>
            <w:bottom w:val="none" w:sz="0" w:space="0" w:color="auto"/>
            <w:right w:val="none" w:sz="0" w:space="0" w:color="auto"/>
          </w:divBdr>
        </w:div>
        <w:div w:id="769860694">
          <w:marLeft w:val="0"/>
          <w:marRight w:val="0"/>
          <w:marTop w:val="0"/>
          <w:marBottom w:val="0"/>
          <w:divBdr>
            <w:top w:val="none" w:sz="0" w:space="0" w:color="auto"/>
            <w:left w:val="none" w:sz="0" w:space="0" w:color="auto"/>
            <w:bottom w:val="none" w:sz="0" w:space="0" w:color="auto"/>
            <w:right w:val="none" w:sz="0" w:space="0" w:color="auto"/>
          </w:divBdr>
        </w:div>
        <w:div w:id="780225135">
          <w:marLeft w:val="0"/>
          <w:marRight w:val="0"/>
          <w:marTop w:val="0"/>
          <w:marBottom w:val="0"/>
          <w:divBdr>
            <w:top w:val="none" w:sz="0" w:space="0" w:color="auto"/>
            <w:left w:val="none" w:sz="0" w:space="0" w:color="auto"/>
            <w:bottom w:val="none" w:sz="0" w:space="0" w:color="auto"/>
            <w:right w:val="none" w:sz="0" w:space="0" w:color="auto"/>
          </w:divBdr>
        </w:div>
        <w:div w:id="794905169">
          <w:marLeft w:val="0"/>
          <w:marRight w:val="0"/>
          <w:marTop w:val="0"/>
          <w:marBottom w:val="0"/>
          <w:divBdr>
            <w:top w:val="none" w:sz="0" w:space="0" w:color="auto"/>
            <w:left w:val="none" w:sz="0" w:space="0" w:color="auto"/>
            <w:bottom w:val="none" w:sz="0" w:space="0" w:color="auto"/>
            <w:right w:val="none" w:sz="0" w:space="0" w:color="auto"/>
          </w:divBdr>
        </w:div>
        <w:div w:id="806237587">
          <w:marLeft w:val="0"/>
          <w:marRight w:val="0"/>
          <w:marTop w:val="0"/>
          <w:marBottom w:val="0"/>
          <w:divBdr>
            <w:top w:val="none" w:sz="0" w:space="0" w:color="auto"/>
            <w:left w:val="none" w:sz="0" w:space="0" w:color="auto"/>
            <w:bottom w:val="none" w:sz="0" w:space="0" w:color="auto"/>
            <w:right w:val="none" w:sz="0" w:space="0" w:color="auto"/>
          </w:divBdr>
        </w:div>
        <w:div w:id="822045859">
          <w:marLeft w:val="0"/>
          <w:marRight w:val="0"/>
          <w:marTop w:val="0"/>
          <w:marBottom w:val="0"/>
          <w:divBdr>
            <w:top w:val="none" w:sz="0" w:space="0" w:color="auto"/>
            <w:left w:val="none" w:sz="0" w:space="0" w:color="auto"/>
            <w:bottom w:val="none" w:sz="0" w:space="0" w:color="auto"/>
            <w:right w:val="none" w:sz="0" w:space="0" w:color="auto"/>
          </w:divBdr>
        </w:div>
        <w:div w:id="828330389">
          <w:marLeft w:val="0"/>
          <w:marRight w:val="0"/>
          <w:marTop w:val="0"/>
          <w:marBottom w:val="0"/>
          <w:divBdr>
            <w:top w:val="none" w:sz="0" w:space="0" w:color="auto"/>
            <w:left w:val="none" w:sz="0" w:space="0" w:color="auto"/>
            <w:bottom w:val="none" w:sz="0" w:space="0" w:color="auto"/>
            <w:right w:val="none" w:sz="0" w:space="0" w:color="auto"/>
          </w:divBdr>
        </w:div>
        <w:div w:id="838424845">
          <w:marLeft w:val="0"/>
          <w:marRight w:val="0"/>
          <w:marTop w:val="0"/>
          <w:marBottom w:val="0"/>
          <w:divBdr>
            <w:top w:val="none" w:sz="0" w:space="0" w:color="auto"/>
            <w:left w:val="none" w:sz="0" w:space="0" w:color="auto"/>
            <w:bottom w:val="none" w:sz="0" w:space="0" w:color="auto"/>
            <w:right w:val="none" w:sz="0" w:space="0" w:color="auto"/>
          </w:divBdr>
        </w:div>
        <w:div w:id="841627206">
          <w:marLeft w:val="0"/>
          <w:marRight w:val="0"/>
          <w:marTop w:val="0"/>
          <w:marBottom w:val="0"/>
          <w:divBdr>
            <w:top w:val="none" w:sz="0" w:space="0" w:color="auto"/>
            <w:left w:val="none" w:sz="0" w:space="0" w:color="auto"/>
            <w:bottom w:val="none" w:sz="0" w:space="0" w:color="auto"/>
            <w:right w:val="none" w:sz="0" w:space="0" w:color="auto"/>
          </w:divBdr>
        </w:div>
        <w:div w:id="857887957">
          <w:marLeft w:val="0"/>
          <w:marRight w:val="0"/>
          <w:marTop w:val="0"/>
          <w:marBottom w:val="0"/>
          <w:divBdr>
            <w:top w:val="none" w:sz="0" w:space="0" w:color="auto"/>
            <w:left w:val="none" w:sz="0" w:space="0" w:color="auto"/>
            <w:bottom w:val="none" w:sz="0" w:space="0" w:color="auto"/>
            <w:right w:val="none" w:sz="0" w:space="0" w:color="auto"/>
          </w:divBdr>
        </w:div>
        <w:div w:id="867522185">
          <w:marLeft w:val="0"/>
          <w:marRight w:val="0"/>
          <w:marTop w:val="0"/>
          <w:marBottom w:val="0"/>
          <w:divBdr>
            <w:top w:val="none" w:sz="0" w:space="0" w:color="auto"/>
            <w:left w:val="none" w:sz="0" w:space="0" w:color="auto"/>
            <w:bottom w:val="none" w:sz="0" w:space="0" w:color="auto"/>
            <w:right w:val="none" w:sz="0" w:space="0" w:color="auto"/>
          </w:divBdr>
        </w:div>
        <w:div w:id="878323091">
          <w:marLeft w:val="0"/>
          <w:marRight w:val="0"/>
          <w:marTop w:val="0"/>
          <w:marBottom w:val="0"/>
          <w:divBdr>
            <w:top w:val="none" w:sz="0" w:space="0" w:color="auto"/>
            <w:left w:val="none" w:sz="0" w:space="0" w:color="auto"/>
            <w:bottom w:val="none" w:sz="0" w:space="0" w:color="auto"/>
            <w:right w:val="none" w:sz="0" w:space="0" w:color="auto"/>
          </w:divBdr>
        </w:div>
        <w:div w:id="883564988">
          <w:marLeft w:val="0"/>
          <w:marRight w:val="0"/>
          <w:marTop w:val="0"/>
          <w:marBottom w:val="0"/>
          <w:divBdr>
            <w:top w:val="none" w:sz="0" w:space="0" w:color="auto"/>
            <w:left w:val="none" w:sz="0" w:space="0" w:color="auto"/>
            <w:bottom w:val="none" w:sz="0" w:space="0" w:color="auto"/>
            <w:right w:val="none" w:sz="0" w:space="0" w:color="auto"/>
          </w:divBdr>
        </w:div>
        <w:div w:id="899751526">
          <w:marLeft w:val="0"/>
          <w:marRight w:val="0"/>
          <w:marTop w:val="0"/>
          <w:marBottom w:val="0"/>
          <w:divBdr>
            <w:top w:val="none" w:sz="0" w:space="0" w:color="auto"/>
            <w:left w:val="none" w:sz="0" w:space="0" w:color="auto"/>
            <w:bottom w:val="none" w:sz="0" w:space="0" w:color="auto"/>
            <w:right w:val="none" w:sz="0" w:space="0" w:color="auto"/>
          </w:divBdr>
        </w:div>
        <w:div w:id="937326222">
          <w:marLeft w:val="0"/>
          <w:marRight w:val="0"/>
          <w:marTop w:val="0"/>
          <w:marBottom w:val="0"/>
          <w:divBdr>
            <w:top w:val="none" w:sz="0" w:space="0" w:color="auto"/>
            <w:left w:val="none" w:sz="0" w:space="0" w:color="auto"/>
            <w:bottom w:val="none" w:sz="0" w:space="0" w:color="auto"/>
            <w:right w:val="none" w:sz="0" w:space="0" w:color="auto"/>
          </w:divBdr>
        </w:div>
        <w:div w:id="943998165">
          <w:marLeft w:val="0"/>
          <w:marRight w:val="0"/>
          <w:marTop w:val="0"/>
          <w:marBottom w:val="0"/>
          <w:divBdr>
            <w:top w:val="none" w:sz="0" w:space="0" w:color="auto"/>
            <w:left w:val="none" w:sz="0" w:space="0" w:color="auto"/>
            <w:bottom w:val="none" w:sz="0" w:space="0" w:color="auto"/>
            <w:right w:val="none" w:sz="0" w:space="0" w:color="auto"/>
          </w:divBdr>
        </w:div>
        <w:div w:id="954094726">
          <w:marLeft w:val="0"/>
          <w:marRight w:val="0"/>
          <w:marTop w:val="0"/>
          <w:marBottom w:val="0"/>
          <w:divBdr>
            <w:top w:val="none" w:sz="0" w:space="0" w:color="auto"/>
            <w:left w:val="none" w:sz="0" w:space="0" w:color="auto"/>
            <w:bottom w:val="none" w:sz="0" w:space="0" w:color="auto"/>
            <w:right w:val="none" w:sz="0" w:space="0" w:color="auto"/>
          </w:divBdr>
        </w:div>
        <w:div w:id="961807546">
          <w:marLeft w:val="0"/>
          <w:marRight w:val="0"/>
          <w:marTop w:val="0"/>
          <w:marBottom w:val="0"/>
          <w:divBdr>
            <w:top w:val="none" w:sz="0" w:space="0" w:color="auto"/>
            <w:left w:val="none" w:sz="0" w:space="0" w:color="auto"/>
            <w:bottom w:val="none" w:sz="0" w:space="0" w:color="auto"/>
            <w:right w:val="none" w:sz="0" w:space="0" w:color="auto"/>
          </w:divBdr>
        </w:div>
        <w:div w:id="992413654">
          <w:marLeft w:val="0"/>
          <w:marRight w:val="0"/>
          <w:marTop w:val="0"/>
          <w:marBottom w:val="0"/>
          <w:divBdr>
            <w:top w:val="none" w:sz="0" w:space="0" w:color="auto"/>
            <w:left w:val="none" w:sz="0" w:space="0" w:color="auto"/>
            <w:bottom w:val="none" w:sz="0" w:space="0" w:color="auto"/>
            <w:right w:val="none" w:sz="0" w:space="0" w:color="auto"/>
          </w:divBdr>
        </w:div>
        <w:div w:id="1023091565">
          <w:marLeft w:val="0"/>
          <w:marRight w:val="0"/>
          <w:marTop w:val="0"/>
          <w:marBottom w:val="0"/>
          <w:divBdr>
            <w:top w:val="none" w:sz="0" w:space="0" w:color="auto"/>
            <w:left w:val="none" w:sz="0" w:space="0" w:color="auto"/>
            <w:bottom w:val="none" w:sz="0" w:space="0" w:color="auto"/>
            <w:right w:val="none" w:sz="0" w:space="0" w:color="auto"/>
          </w:divBdr>
        </w:div>
        <w:div w:id="1024939719">
          <w:marLeft w:val="0"/>
          <w:marRight w:val="0"/>
          <w:marTop w:val="0"/>
          <w:marBottom w:val="0"/>
          <w:divBdr>
            <w:top w:val="none" w:sz="0" w:space="0" w:color="auto"/>
            <w:left w:val="none" w:sz="0" w:space="0" w:color="auto"/>
            <w:bottom w:val="none" w:sz="0" w:space="0" w:color="auto"/>
            <w:right w:val="none" w:sz="0" w:space="0" w:color="auto"/>
          </w:divBdr>
        </w:div>
        <w:div w:id="1034816545">
          <w:marLeft w:val="0"/>
          <w:marRight w:val="0"/>
          <w:marTop w:val="0"/>
          <w:marBottom w:val="0"/>
          <w:divBdr>
            <w:top w:val="none" w:sz="0" w:space="0" w:color="auto"/>
            <w:left w:val="none" w:sz="0" w:space="0" w:color="auto"/>
            <w:bottom w:val="none" w:sz="0" w:space="0" w:color="auto"/>
            <w:right w:val="none" w:sz="0" w:space="0" w:color="auto"/>
          </w:divBdr>
        </w:div>
        <w:div w:id="1043289494">
          <w:marLeft w:val="0"/>
          <w:marRight w:val="0"/>
          <w:marTop w:val="0"/>
          <w:marBottom w:val="0"/>
          <w:divBdr>
            <w:top w:val="none" w:sz="0" w:space="0" w:color="auto"/>
            <w:left w:val="none" w:sz="0" w:space="0" w:color="auto"/>
            <w:bottom w:val="none" w:sz="0" w:space="0" w:color="auto"/>
            <w:right w:val="none" w:sz="0" w:space="0" w:color="auto"/>
          </w:divBdr>
        </w:div>
        <w:div w:id="1047417844">
          <w:marLeft w:val="0"/>
          <w:marRight w:val="0"/>
          <w:marTop w:val="0"/>
          <w:marBottom w:val="0"/>
          <w:divBdr>
            <w:top w:val="none" w:sz="0" w:space="0" w:color="auto"/>
            <w:left w:val="none" w:sz="0" w:space="0" w:color="auto"/>
            <w:bottom w:val="none" w:sz="0" w:space="0" w:color="auto"/>
            <w:right w:val="none" w:sz="0" w:space="0" w:color="auto"/>
          </w:divBdr>
        </w:div>
        <w:div w:id="1110008245">
          <w:marLeft w:val="0"/>
          <w:marRight w:val="0"/>
          <w:marTop w:val="0"/>
          <w:marBottom w:val="0"/>
          <w:divBdr>
            <w:top w:val="none" w:sz="0" w:space="0" w:color="auto"/>
            <w:left w:val="none" w:sz="0" w:space="0" w:color="auto"/>
            <w:bottom w:val="none" w:sz="0" w:space="0" w:color="auto"/>
            <w:right w:val="none" w:sz="0" w:space="0" w:color="auto"/>
          </w:divBdr>
        </w:div>
        <w:div w:id="1110782246">
          <w:marLeft w:val="0"/>
          <w:marRight w:val="0"/>
          <w:marTop w:val="0"/>
          <w:marBottom w:val="0"/>
          <w:divBdr>
            <w:top w:val="none" w:sz="0" w:space="0" w:color="auto"/>
            <w:left w:val="none" w:sz="0" w:space="0" w:color="auto"/>
            <w:bottom w:val="none" w:sz="0" w:space="0" w:color="auto"/>
            <w:right w:val="none" w:sz="0" w:space="0" w:color="auto"/>
          </w:divBdr>
        </w:div>
        <w:div w:id="1111976664">
          <w:marLeft w:val="0"/>
          <w:marRight w:val="0"/>
          <w:marTop w:val="0"/>
          <w:marBottom w:val="0"/>
          <w:divBdr>
            <w:top w:val="none" w:sz="0" w:space="0" w:color="auto"/>
            <w:left w:val="none" w:sz="0" w:space="0" w:color="auto"/>
            <w:bottom w:val="none" w:sz="0" w:space="0" w:color="auto"/>
            <w:right w:val="none" w:sz="0" w:space="0" w:color="auto"/>
          </w:divBdr>
        </w:div>
        <w:div w:id="1117145362">
          <w:marLeft w:val="0"/>
          <w:marRight w:val="0"/>
          <w:marTop w:val="0"/>
          <w:marBottom w:val="0"/>
          <w:divBdr>
            <w:top w:val="none" w:sz="0" w:space="0" w:color="auto"/>
            <w:left w:val="none" w:sz="0" w:space="0" w:color="auto"/>
            <w:bottom w:val="none" w:sz="0" w:space="0" w:color="auto"/>
            <w:right w:val="none" w:sz="0" w:space="0" w:color="auto"/>
          </w:divBdr>
        </w:div>
        <w:div w:id="1127549206">
          <w:marLeft w:val="0"/>
          <w:marRight w:val="0"/>
          <w:marTop w:val="0"/>
          <w:marBottom w:val="0"/>
          <w:divBdr>
            <w:top w:val="none" w:sz="0" w:space="0" w:color="auto"/>
            <w:left w:val="none" w:sz="0" w:space="0" w:color="auto"/>
            <w:bottom w:val="none" w:sz="0" w:space="0" w:color="auto"/>
            <w:right w:val="none" w:sz="0" w:space="0" w:color="auto"/>
          </w:divBdr>
        </w:div>
        <w:div w:id="1136994380">
          <w:marLeft w:val="0"/>
          <w:marRight w:val="0"/>
          <w:marTop w:val="0"/>
          <w:marBottom w:val="0"/>
          <w:divBdr>
            <w:top w:val="none" w:sz="0" w:space="0" w:color="auto"/>
            <w:left w:val="none" w:sz="0" w:space="0" w:color="auto"/>
            <w:bottom w:val="none" w:sz="0" w:space="0" w:color="auto"/>
            <w:right w:val="none" w:sz="0" w:space="0" w:color="auto"/>
          </w:divBdr>
        </w:div>
        <w:div w:id="1138181636">
          <w:marLeft w:val="0"/>
          <w:marRight w:val="0"/>
          <w:marTop w:val="0"/>
          <w:marBottom w:val="0"/>
          <w:divBdr>
            <w:top w:val="none" w:sz="0" w:space="0" w:color="auto"/>
            <w:left w:val="none" w:sz="0" w:space="0" w:color="auto"/>
            <w:bottom w:val="none" w:sz="0" w:space="0" w:color="auto"/>
            <w:right w:val="none" w:sz="0" w:space="0" w:color="auto"/>
          </w:divBdr>
        </w:div>
        <w:div w:id="1144468782">
          <w:marLeft w:val="0"/>
          <w:marRight w:val="0"/>
          <w:marTop w:val="0"/>
          <w:marBottom w:val="0"/>
          <w:divBdr>
            <w:top w:val="none" w:sz="0" w:space="0" w:color="auto"/>
            <w:left w:val="none" w:sz="0" w:space="0" w:color="auto"/>
            <w:bottom w:val="none" w:sz="0" w:space="0" w:color="auto"/>
            <w:right w:val="none" w:sz="0" w:space="0" w:color="auto"/>
          </w:divBdr>
        </w:div>
        <w:div w:id="1157693983">
          <w:marLeft w:val="0"/>
          <w:marRight w:val="0"/>
          <w:marTop w:val="0"/>
          <w:marBottom w:val="0"/>
          <w:divBdr>
            <w:top w:val="none" w:sz="0" w:space="0" w:color="auto"/>
            <w:left w:val="none" w:sz="0" w:space="0" w:color="auto"/>
            <w:bottom w:val="none" w:sz="0" w:space="0" w:color="auto"/>
            <w:right w:val="none" w:sz="0" w:space="0" w:color="auto"/>
          </w:divBdr>
        </w:div>
        <w:div w:id="1165319816">
          <w:marLeft w:val="0"/>
          <w:marRight w:val="0"/>
          <w:marTop w:val="0"/>
          <w:marBottom w:val="0"/>
          <w:divBdr>
            <w:top w:val="none" w:sz="0" w:space="0" w:color="auto"/>
            <w:left w:val="none" w:sz="0" w:space="0" w:color="auto"/>
            <w:bottom w:val="none" w:sz="0" w:space="0" w:color="auto"/>
            <w:right w:val="none" w:sz="0" w:space="0" w:color="auto"/>
          </w:divBdr>
        </w:div>
        <w:div w:id="1185750150">
          <w:marLeft w:val="0"/>
          <w:marRight w:val="0"/>
          <w:marTop w:val="0"/>
          <w:marBottom w:val="0"/>
          <w:divBdr>
            <w:top w:val="none" w:sz="0" w:space="0" w:color="auto"/>
            <w:left w:val="none" w:sz="0" w:space="0" w:color="auto"/>
            <w:bottom w:val="none" w:sz="0" w:space="0" w:color="auto"/>
            <w:right w:val="none" w:sz="0" w:space="0" w:color="auto"/>
          </w:divBdr>
        </w:div>
        <w:div w:id="1227183046">
          <w:marLeft w:val="0"/>
          <w:marRight w:val="0"/>
          <w:marTop w:val="0"/>
          <w:marBottom w:val="0"/>
          <w:divBdr>
            <w:top w:val="none" w:sz="0" w:space="0" w:color="auto"/>
            <w:left w:val="none" w:sz="0" w:space="0" w:color="auto"/>
            <w:bottom w:val="none" w:sz="0" w:space="0" w:color="auto"/>
            <w:right w:val="none" w:sz="0" w:space="0" w:color="auto"/>
          </w:divBdr>
        </w:div>
        <w:div w:id="1230119880">
          <w:marLeft w:val="0"/>
          <w:marRight w:val="0"/>
          <w:marTop w:val="0"/>
          <w:marBottom w:val="0"/>
          <w:divBdr>
            <w:top w:val="none" w:sz="0" w:space="0" w:color="auto"/>
            <w:left w:val="none" w:sz="0" w:space="0" w:color="auto"/>
            <w:bottom w:val="none" w:sz="0" w:space="0" w:color="auto"/>
            <w:right w:val="none" w:sz="0" w:space="0" w:color="auto"/>
          </w:divBdr>
        </w:div>
        <w:div w:id="1237588128">
          <w:marLeft w:val="0"/>
          <w:marRight w:val="0"/>
          <w:marTop w:val="0"/>
          <w:marBottom w:val="0"/>
          <w:divBdr>
            <w:top w:val="none" w:sz="0" w:space="0" w:color="auto"/>
            <w:left w:val="none" w:sz="0" w:space="0" w:color="auto"/>
            <w:bottom w:val="none" w:sz="0" w:space="0" w:color="auto"/>
            <w:right w:val="none" w:sz="0" w:space="0" w:color="auto"/>
          </w:divBdr>
        </w:div>
        <w:div w:id="1248224692">
          <w:marLeft w:val="0"/>
          <w:marRight w:val="0"/>
          <w:marTop w:val="0"/>
          <w:marBottom w:val="0"/>
          <w:divBdr>
            <w:top w:val="none" w:sz="0" w:space="0" w:color="auto"/>
            <w:left w:val="none" w:sz="0" w:space="0" w:color="auto"/>
            <w:bottom w:val="none" w:sz="0" w:space="0" w:color="auto"/>
            <w:right w:val="none" w:sz="0" w:space="0" w:color="auto"/>
          </w:divBdr>
        </w:div>
        <w:div w:id="1256398597">
          <w:marLeft w:val="0"/>
          <w:marRight w:val="0"/>
          <w:marTop w:val="0"/>
          <w:marBottom w:val="0"/>
          <w:divBdr>
            <w:top w:val="none" w:sz="0" w:space="0" w:color="auto"/>
            <w:left w:val="none" w:sz="0" w:space="0" w:color="auto"/>
            <w:bottom w:val="none" w:sz="0" w:space="0" w:color="auto"/>
            <w:right w:val="none" w:sz="0" w:space="0" w:color="auto"/>
          </w:divBdr>
        </w:div>
        <w:div w:id="1269971882">
          <w:marLeft w:val="0"/>
          <w:marRight w:val="0"/>
          <w:marTop w:val="0"/>
          <w:marBottom w:val="0"/>
          <w:divBdr>
            <w:top w:val="none" w:sz="0" w:space="0" w:color="auto"/>
            <w:left w:val="none" w:sz="0" w:space="0" w:color="auto"/>
            <w:bottom w:val="none" w:sz="0" w:space="0" w:color="auto"/>
            <w:right w:val="none" w:sz="0" w:space="0" w:color="auto"/>
          </w:divBdr>
        </w:div>
        <w:div w:id="1313946192">
          <w:marLeft w:val="0"/>
          <w:marRight w:val="0"/>
          <w:marTop w:val="0"/>
          <w:marBottom w:val="0"/>
          <w:divBdr>
            <w:top w:val="none" w:sz="0" w:space="0" w:color="auto"/>
            <w:left w:val="none" w:sz="0" w:space="0" w:color="auto"/>
            <w:bottom w:val="none" w:sz="0" w:space="0" w:color="auto"/>
            <w:right w:val="none" w:sz="0" w:space="0" w:color="auto"/>
          </w:divBdr>
        </w:div>
        <w:div w:id="1316450924">
          <w:marLeft w:val="0"/>
          <w:marRight w:val="0"/>
          <w:marTop w:val="0"/>
          <w:marBottom w:val="0"/>
          <w:divBdr>
            <w:top w:val="none" w:sz="0" w:space="0" w:color="auto"/>
            <w:left w:val="none" w:sz="0" w:space="0" w:color="auto"/>
            <w:bottom w:val="none" w:sz="0" w:space="0" w:color="auto"/>
            <w:right w:val="none" w:sz="0" w:space="0" w:color="auto"/>
          </w:divBdr>
        </w:div>
        <w:div w:id="1323586087">
          <w:marLeft w:val="0"/>
          <w:marRight w:val="0"/>
          <w:marTop w:val="0"/>
          <w:marBottom w:val="0"/>
          <w:divBdr>
            <w:top w:val="none" w:sz="0" w:space="0" w:color="auto"/>
            <w:left w:val="none" w:sz="0" w:space="0" w:color="auto"/>
            <w:bottom w:val="none" w:sz="0" w:space="0" w:color="auto"/>
            <w:right w:val="none" w:sz="0" w:space="0" w:color="auto"/>
          </w:divBdr>
        </w:div>
        <w:div w:id="1355494383">
          <w:marLeft w:val="0"/>
          <w:marRight w:val="0"/>
          <w:marTop w:val="0"/>
          <w:marBottom w:val="0"/>
          <w:divBdr>
            <w:top w:val="none" w:sz="0" w:space="0" w:color="auto"/>
            <w:left w:val="none" w:sz="0" w:space="0" w:color="auto"/>
            <w:bottom w:val="none" w:sz="0" w:space="0" w:color="auto"/>
            <w:right w:val="none" w:sz="0" w:space="0" w:color="auto"/>
          </w:divBdr>
        </w:div>
        <w:div w:id="1369842393">
          <w:marLeft w:val="0"/>
          <w:marRight w:val="0"/>
          <w:marTop w:val="0"/>
          <w:marBottom w:val="0"/>
          <w:divBdr>
            <w:top w:val="none" w:sz="0" w:space="0" w:color="auto"/>
            <w:left w:val="none" w:sz="0" w:space="0" w:color="auto"/>
            <w:bottom w:val="none" w:sz="0" w:space="0" w:color="auto"/>
            <w:right w:val="none" w:sz="0" w:space="0" w:color="auto"/>
          </w:divBdr>
        </w:div>
        <w:div w:id="1381392695">
          <w:marLeft w:val="0"/>
          <w:marRight w:val="0"/>
          <w:marTop w:val="0"/>
          <w:marBottom w:val="0"/>
          <w:divBdr>
            <w:top w:val="none" w:sz="0" w:space="0" w:color="auto"/>
            <w:left w:val="none" w:sz="0" w:space="0" w:color="auto"/>
            <w:bottom w:val="none" w:sz="0" w:space="0" w:color="auto"/>
            <w:right w:val="none" w:sz="0" w:space="0" w:color="auto"/>
          </w:divBdr>
        </w:div>
        <w:div w:id="1381590795">
          <w:marLeft w:val="0"/>
          <w:marRight w:val="0"/>
          <w:marTop w:val="0"/>
          <w:marBottom w:val="0"/>
          <w:divBdr>
            <w:top w:val="none" w:sz="0" w:space="0" w:color="auto"/>
            <w:left w:val="none" w:sz="0" w:space="0" w:color="auto"/>
            <w:bottom w:val="none" w:sz="0" w:space="0" w:color="auto"/>
            <w:right w:val="none" w:sz="0" w:space="0" w:color="auto"/>
          </w:divBdr>
        </w:div>
        <w:div w:id="1451850821">
          <w:marLeft w:val="0"/>
          <w:marRight w:val="0"/>
          <w:marTop w:val="0"/>
          <w:marBottom w:val="0"/>
          <w:divBdr>
            <w:top w:val="none" w:sz="0" w:space="0" w:color="auto"/>
            <w:left w:val="none" w:sz="0" w:space="0" w:color="auto"/>
            <w:bottom w:val="none" w:sz="0" w:space="0" w:color="auto"/>
            <w:right w:val="none" w:sz="0" w:space="0" w:color="auto"/>
          </w:divBdr>
        </w:div>
        <w:div w:id="1465006953">
          <w:marLeft w:val="0"/>
          <w:marRight w:val="0"/>
          <w:marTop w:val="0"/>
          <w:marBottom w:val="0"/>
          <w:divBdr>
            <w:top w:val="none" w:sz="0" w:space="0" w:color="auto"/>
            <w:left w:val="none" w:sz="0" w:space="0" w:color="auto"/>
            <w:bottom w:val="none" w:sz="0" w:space="0" w:color="auto"/>
            <w:right w:val="none" w:sz="0" w:space="0" w:color="auto"/>
          </w:divBdr>
        </w:div>
        <w:div w:id="1493713868">
          <w:marLeft w:val="0"/>
          <w:marRight w:val="0"/>
          <w:marTop w:val="0"/>
          <w:marBottom w:val="0"/>
          <w:divBdr>
            <w:top w:val="none" w:sz="0" w:space="0" w:color="auto"/>
            <w:left w:val="none" w:sz="0" w:space="0" w:color="auto"/>
            <w:bottom w:val="none" w:sz="0" w:space="0" w:color="auto"/>
            <w:right w:val="none" w:sz="0" w:space="0" w:color="auto"/>
          </w:divBdr>
        </w:div>
        <w:div w:id="1501895972">
          <w:marLeft w:val="0"/>
          <w:marRight w:val="0"/>
          <w:marTop w:val="0"/>
          <w:marBottom w:val="0"/>
          <w:divBdr>
            <w:top w:val="none" w:sz="0" w:space="0" w:color="auto"/>
            <w:left w:val="none" w:sz="0" w:space="0" w:color="auto"/>
            <w:bottom w:val="none" w:sz="0" w:space="0" w:color="auto"/>
            <w:right w:val="none" w:sz="0" w:space="0" w:color="auto"/>
          </w:divBdr>
        </w:div>
        <w:div w:id="1507208955">
          <w:marLeft w:val="0"/>
          <w:marRight w:val="0"/>
          <w:marTop w:val="0"/>
          <w:marBottom w:val="0"/>
          <w:divBdr>
            <w:top w:val="none" w:sz="0" w:space="0" w:color="auto"/>
            <w:left w:val="none" w:sz="0" w:space="0" w:color="auto"/>
            <w:bottom w:val="none" w:sz="0" w:space="0" w:color="auto"/>
            <w:right w:val="none" w:sz="0" w:space="0" w:color="auto"/>
          </w:divBdr>
        </w:div>
        <w:div w:id="1507475866">
          <w:marLeft w:val="0"/>
          <w:marRight w:val="0"/>
          <w:marTop w:val="0"/>
          <w:marBottom w:val="0"/>
          <w:divBdr>
            <w:top w:val="none" w:sz="0" w:space="0" w:color="auto"/>
            <w:left w:val="none" w:sz="0" w:space="0" w:color="auto"/>
            <w:bottom w:val="none" w:sz="0" w:space="0" w:color="auto"/>
            <w:right w:val="none" w:sz="0" w:space="0" w:color="auto"/>
          </w:divBdr>
        </w:div>
        <w:div w:id="1520197725">
          <w:marLeft w:val="0"/>
          <w:marRight w:val="0"/>
          <w:marTop w:val="0"/>
          <w:marBottom w:val="0"/>
          <w:divBdr>
            <w:top w:val="none" w:sz="0" w:space="0" w:color="auto"/>
            <w:left w:val="none" w:sz="0" w:space="0" w:color="auto"/>
            <w:bottom w:val="none" w:sz="0" w:space="0" w:color="auto"/>
            <w:right w:val="none" w:sz="0" w:space="0" w:color="auto"/>
          </w:divBdr>
        </w:div>
        <w:div w:id="1522278415">
          <w:marLeft w:val="0"/>
          <w:marRight w:val="0"/>
          <w:marTop w:val="0"/>
          <w:marBottom w:val="0"/>
          <w:divBdr>
            <w:top w:val="none" w:sz="0" w:space="0" w:color="auto"/>
            <w:left w:val="none" w:sz="0" w:space="0" w:color="auto"/>
            <w:bottom w:val="none" w:sz="0" w:space="0" w:color="auto"/>
            <w:right w:val="none" w:sz="0" w:space="0" w:color="auto"/>
          </w:divBdr>
        </w:div>
        <w:div w:id="1525752312">
          <w:marLeft w:val="0"/>
          <w:marRight w:val="0"/>
          <w:marTop w:val="0"/>
          <w:marBottom w:val="0"/>
          <w:divBdr>
            <w:top w:val="none" w:sz="0" w:space="0" w:color="auto"/>
            <w:left w:val="none" w:sz="0" w:space="0" w:color="auto"/>
            <w:bottom w:val="none" w:sz="0" w:space="0" w:color="auto"/>
            <w:right w:val="none" w:sz="0" w:space="0" w:color="auto"/>
          </w:divBdr>
        </w:div>
        <w:div w:id="1530146113">
          <w:marLeft w:val="0"/>
          <w:marRight w:val="0"/>
          <w:marTop w:val="0"/>
          <w:marBottom w:val="0"/>
          <w:divBdr>
            <w:top w:val="none" w:sz="0" w:space="0" w:color="auto"/>
            <w:left w:val="none" w:sz="0" w:space="0" w:color="auto"/>
            <w:bottom w:val="none" w:sz="0" w:space="0" w:color="auto"/>
            <w:right w:val="none" w:sz="0" w:space="0" w:color="auto"/>
          </w:divBdr>
        </w:div>
        <w:div w:id="1539510850">
          <w:marLeft w:val="0"/>
          <w:marRight w:val="0"/>
          <w:marTop w:val="0"/>
          <w:marBottom w:val="0"/>
          <w:divBdr>
            <w:top w:val="none" w:sz="0" w:space="0" w:color="auto"/>
            <w:left w:val="none" w:sz="0" w:space="0" w:color="auto"/>
            <w:bottom w:val="none" w:sz="0" w:space="0" w:color="auto"/>
            <w:right w:val="none" w:sz="0" w:space="0" w:color="auto"/>
          </w:divBdr>
        </w:div>
        <w:div w:id="1606380583">
          <w:marLeft w:val="0"/>
          <w:marRight w:val="0"/>
          <w:marTop w:val="0"/>
          <w:marBottom w:val="0"/>
          <w:divBdr>
            <w:top w:val="none" w:sz="0" w:space="0" w:color="auto"/>
            <w:left w:val="none" w:sz="0" w:space="0" w:color="auto"/>
            <w:bottom w:val="none" w:sz="0" w:space="0" w:color="auto"/>
            <w:right w:val="none" w:sz="0" w:space="0" w:color="auto"/>
          </w:divBdr>
        </w:div>
        <w:div w:id="1610698330">
          <w:marLeft w:val="0"/>
          <w:marRight w:val="0"/>
          <w:marTop w:val="0"/>
          <w:marBottom w:val="0"/>
          <w:divBdr>
            <w:top w:val="none" w:sz="0" w:space="0" w:color="auto"/>
            <w:left w:val="none" w:sz="0" w:space="0" w:color="auto"/>
            <w:bottom w:val="none" w:sz="0" w:space="0" w:color="auto"/>
            <w:right w:val="none" w:sz="0" w:space="0" w:color="auto"/>
          </w:divBdr>
        </w:div>
        <w:div w:id="1700887402">
          <w:marLeft w:val="0"/>
          <w:marRight w:val="0"/>
          <w:marTop w:val="0"/>
          <w:marBottom w:val="0"/>
          <w:divBdr>
            <w:top w:val="none" w:sz="0" w:space="0" w:color="auto"/>
            <w:left w:val="none" w:sz="0" w:space="0" w:color="auto"/>
            <w:bottom w:val="none" w:sz="0" w:space="0" w:color="auto"/>
            <w:right w:val="none" w:sz="0" w:space="0" w:color="auto"/>
          </w:divBdr>
        </w:div>
        <w:div w:id="1716155787">
          <w:marLeft w:val="0"/>
          <w:marRight w:val="0"/>
          <w:marTop w:val="0"/>
          <w:marBottom w:val="0"/>
          <w:divBdr>
            <w:top w:val="none" w:sz="0" w:space="0" w:color="auto"/>
            <w:left w:val="none" w:sz="0" w:space="0" w:color="auto"/>
            <w:bottom w:val="none" w:sz="0" w:space="0" w:color="auto"/>
            <w:right w:val="none" w:sz="0" w:space="0" w:color="auto"/>
          </w:divBdr>
        </w:div>
        <w:div w:id="1760373204">
          <w:marLeft w:val="0"/>
          <w:marRight w:val="0"/>
          <w:marTop w:val="0"/>
          <w:marBottom w:val="0"/>
          <w:divBdr>
            <w:top w:val="none" w:sz="0" w:space="0" w:color="auto"/>
            <w:left w:val="none" w:sz="0" w:space="0" w:color="auto"/>
            <w:bottom w:val="none" w:sz="0" w:space="0" w:color="auto"/>
            <w:right w:val="none" w:sz="0" w:space="0" w:color="auto"/>
          </w:divBdr>
        </w:div>
        <w:div w:id="1769619501">
          <w:marLeft w:val="0"/>
          <w:marRight w:val="0"/>
          <w:marTop w:val="0"/>
          <w:marBottom w:val="0"/>
          <w:divBdr>
            <w:top w:val="none" w:sz="0" w:space="0" w:color="auto"/>
            <w:left w:val="none" w:sz="0" w:space="0" w:color="auto"/>
            <w:bottom w:val="none" w:sz="0" w:space="0" w:color="auto"/>
            <w:right w:val="none" w:sz="0" w:space="0" w:color="auto"/>
          </w:divBdr>
        </w:div>
        <w:div w:id="1778868138">
          <w:marLeft w:val="0"/>
          <w:marRight w:val="0"/>
          <w:marTop w:val="0"/>
          <w:marBottom w:val="0"/>
          <w:divBdr>
            <w:top w:val="none" w:sz="0" w:space="0" w:color="auto"/>
            <w:left w:val="none" w:sz="0" w:space="0" w:color="auto"/>
            <w:bottom w:val="none" w:sz="0" w:space="0" w:color="auto"/>
            <w:right w:val="none" w:sz="0" w:space="0" w:color="auto"/>
          </w:divBdr>
        </w:div>
        <w:div w:id="1799837022">
          <w:marLeft w:val="0"/>
          <w:marRight w:val="0"/>
          <w:marTop w:val="0"/>
          <w:marBottom w:val="0"/>
          <w:divBdr>
            <w:top w:val="none" w:sz="0" w:space="0" w:color="auto"/>
            <w:left w:val="none" w:sz="0" w:space="0" w:color="auto"/>
            <w:bottom w:val="none" w:sz="0" w:space="0" w:color="auto"/>
            <w:right w:val="none" w:sz="0" w:space="0" w:color="auto"/>
          </w:divBdr>
        </w:div>
        <w:div w:id="1805809794">
          <w:marLeft w:val="0"/>
          <w:marRight w:val="0"/>
          <w:marTop w:val="0"/>
          <w:marBottom w:val="0"/>
          <w:divBdr>
            <w:top w:val="none" w:sz="0" w:space="0" w:color="auto"/>
            <w:left w:val="none" w:sz="0" w:space="0" w:color="auto"/>
            <w:bottom w:val="none" w:sz="0" w:space="0" w:color="auto"/>
            <w:right w:val="none" w:sz="0" w:space="0" w:color="auto"/>
          </w:divBdr>
        </w:div>
        <w:div w:id="1808467739">
          <w:marLeft w:val="0"/>
          <w:marRight w:val="0"/>
          <w:marTop w:val="0"/>
          <w:marBottom w:val="0"/>
          <w:divBdr>
            <w:top w:val="none" w:sz="0" w:space="0" w:color="auto"/>
            <w:left w:val="none" w:sz="0" w:space="0" w:color="auto"/>
            <w:bottom w:val="none" w:sz="0" w:space="0" w:color="auto"/>
            <w:right w:val="none" w:sz="0" w:space="0" w:color="auto"/>
          </w:divBdr>
        </w:div>
        <w:div w:id="1813672308">
          <w:marLeft w:val="0"/>
          <w:marRight w:val="0"/>
          <w:marTop w:val="0"/>
          <w:marBottom w:val="0"/>
          <w:divBdr>
            <w:top w:val="none" w:sz="0" w:space="0" w:color="auto"/>
            <w:left w:val="none" w:sz="0" w:space="0" w:color="auto"/>
            <w:bottom w:val="none" w:sz="0" w:space="0" w:color="auto"/>
            <w:right w:val="none" w:sz="0" w:space="0" w:color="auto"/>
          </w:divBdr>
        </w:div>
        <w:div w:id="1817380665">
          <w:marLeft w:val="0"/>
          <w:marRight w:val="0"/>
          <w:marTop w:val="0"/>
          <w:marBottom w:val="0"/>
          <w:divBdr>
            <w:top w:val="none" w:sz="0" w:space="0" w:color="auto"/>
            <w:left w:val="none" w:sz="0" w:space="0" w:color="auto"/>
            <w:bottom w:val="none" w:sz="0" w:space="0" w:color="auto"/>
            <w:right w:val="none" w:sz="0" w:space="0" w:color="auto"/>
          </w:divBdr>
        </w:div>
        <w:div w:id="1861552599">
          <w:marLeft w:val="0"/>
          <w:marRight w:val="0"/>
          <w:marTop w:val="0"/>
          <w:marBottom w:val="0"/>
          <w:divBdr>
            <w:top w:val="none" w:sz="0" w:space="0" w:color="auto"/>
            <w:left w:val="none" w:sz="0" w:space="0" w:color="auto"/>
            <w:bottom w:val="none" w:sz="0" w:space="0" w:color="auto"/>
            <w:right w:val="none" w:sz="0" w:space="0" w:color="auto"/>
          </w:divBdr>
        </w:div>
        <w:div w:id="1873228412">
          <w:marLeft w:val="0"/>
          <w:marRight w:val="0"/>
          <w:marTop w:val="0"/>
          <w:marBottom w:val="0"/>
          <w:divBdr>
            <w:top w:val="none" w:sz="0" w:space="0" w:color="auto"/>
            <w:left w:val="none" w:sz="0" w:space="0" w:color="auto"/>
            <w:bottom w:val="none" w:sz="0" w:space="0" w:color="auto"/>
            <w:right w:val="none" w:sz="0" w:space="0" w:color="auto"/>
          </w:divBdr>
        </w:div>
        <w:div w:id="1873884867">
          <w:marLeft w:val="0"/>
          <w:marRight w:val="0"/>
          <w:marTop w:val="0"/>
          <w:marBottom w:val="0"/>
          <w:divBdr>
            <w:top w:val="none" w:sz="0" w:space="0" w:color="auto"/>
            <w:left w:val="none" w:sz="0" w:space="0" w:color="auto"/>
            <w:bottom w:val="none" w:sz="0" w:space="0" w:color="auto"/>
            <w:right w:val="none" w:sz="0" w:space="0" w:color="auto"/>
          </w:divBdr>
        </w:div>
        <w:div w:id="1876455033">
          <w:marLeft w:val="0"/>
          <w:marRight w:val="0"/>
          <w:marTop w:val="0"/>
          <w:marBottom w:val="0"/>
          <w:divBdr>
            <w:top w:val="none" w:sz="0" w:space="0" w:color="auto"/>
            <w:left w:val="none" w:sz="0" w:space="0" w:color="auto"/>
            <w:bottom w:val="none" w:sz="0" w:space="0" w:color="auto"/>
            <w:right w:val="none" w:sz="0" w:space="0" w:color="auto"/>
          </w:divBdr>
        </w:div>
        <w:div w:id="1923292594">
          <w:marLeft w:val="0"/>
          <w:marRight w:val="0"/>
          <w:marTop w:val="0"/>
          <w:marBottom w:val="0"/>
          <w:divBdr>
            <w:top w:val="none" w:sz="0" w:space="0" w:color="auto"/>
            <w:left w:val="none" w:sz="0" w:space="0" w:color="auto"/>
            <w:bottom w:val="none" w:sz="0" w:space="0" w:color="auto"/>
            <w:right w:val="none" w:sz="0" w:space="0" w:color="auto"/>
          </w:divBdr>
        </w:div>
        <w:div w:id="1938173359">
          <w:marLeft w:val="0"/>
          <w:marRight w:val="0"/>
          <w:marTop w:val="0"/>
          <w:marBottom w:val="0"/>
          <w:divBdr>
            <w:top w:val="none" w:sz="0" w:space="0" w:color="auto"/>
            <w:left w:val="none" w:sz="0" w:space="0" w:color="auto"/>
            <w:bottom w:val="none" w:sz="0" w:space="0" w:color="auto"/>
            <w:right w:val="none" w:sz="0" w:space="0" w:color="auto"/>
          </w:divBdr>
        </w:div>
        <w:div w:id="1962614260">
          <w:marLeft w:val="0"/>
          <w:marRight w:val="0"/>
          <w:marTop w:val="0"/>
          <w:marBottom w:val="0"/>
          <w:divBdr>
            <w:top w:val="none" w:sz="0" w:space="0" w:color="auto"/>
            <w:left w:val="none" w:sz="0" w:space="0" w:color="auto"/>
            <w:bottom w:val="none" w:sz="0" w:space="0" w:color="auto"/>
            <w:right w:val="none" w:sz="0" w:space="0" w:color="auto"/>
          </w:divBdr>
        </w:div>
        <w:div w:id="1972051026">
          <w:marLeft w:val="0"/>
          <w:marRight w:val="0"/>
          <w:marTop w:val="0"/>
          <w:marBottom w:val="0"/>
          <w:divBdr>
            <w:top w:val="none" w:sz="0" w:space="0" w:color="auto"/>
            <w:left w:val="none" w:sz="0" w:space="0" w:color="auto"/>
            <w:bottom w:val="none" w:sz="0" w:space="0" w:color="auto"/>
            <w:right w:val="none" w:sz="0" w:space="0" w:color="auto"/>
          </w:divBdr>
        </w:div>
        <w:div w:id="1987318857">
          <w:marLeft w:val="0"/>
          <w:marRight w:val="0"/>
          <w:marTop w:val="0"/>
          <w:marBottom w:val="0"/>
          <w:divBdr>
            <w:top w:val="none" w:sz="0" w:space="0" w:color="auto"/>
            <w:left w:val="none" w:sz="0" w:space="0" w:color="auto"/>
            <w:bottom w:val="none" w:sz="0" w:space="0" w:color="auto"/>
            <w:right w:val="none" w:sz="0" w:space="0" w:color="auto"/>
          </w:divBdr>
        </w:div>
        <w:div w:id="1993873640">
          <w:marLeft w:val="0"/>
          <w:marRight w:val="0"/>
          <w:marTop w:val="0"/>
          <w:marBottom w:val="0"/>
          <w:divBdr>
            <w:top w:val="none" w:sz="0" w:space="0" w:color="auto"/>
            <w:left w:val="none" w:sz="0" w:space="0" w:color="auto"/>
            <w:bottom w:val="none" w:sz="0" w:space="0" w:color="auto"/>
            <w:right w:val="none" w:sz="0" w:space="0" w:color="auto"/>
          </w:divBdr>
        </w:div>
        <w:div w:id="2025352845">
          <w:marLeft w:val="0"/>
          <w:marRight w:val="0"/>
          <w:marTop w:val="0"/>
          <w:marBottom w:val="0"/>
          <w:divBdr>
            <w:top w:val="none" w:sz="0" w:space="0" w:color="auto"/>
            <w:left w:val="none" w:sz="0" w:space="0" w:color="auto"/>
            <w:bottom w:val="none" w:sz="0" w:space="0" w:color="auto"/>
            <w:right w:val="none" w:sz="0" w:space="0" w:color="auto"/>
          </w:divBdr>
        </w:div>
        <w:div w:id="2030525368">
          <w:marLeft w:val="0"/>
          <w:marRight w:val="0"/>
          <w:marTop w:val="0"/>
          <w:marBottom w:val="0"/>
          <w:divBdr>
            <w:top w:val="none" w:sz="0" w:space="0" w:color="auto"/>
            <w:left w:val="none" w:sz="0" w:space="0" w:color="auto"/>
            <w:bottom w:val="none" w:sz="0" w:space="0" w:color="auto"/>
            <w:right w:val="none" w:sz="0" w:space="0" w:color="auto"/>
          </w:divBdr>
        </w:div>
        <w:div w:id="2069377289">
          <w:marLeft w:val="0"/>
          <w:marRight w:val="0"/>
          <w:marTop w:val="0"/>
          <w:marBottom w:val="0"/>
          <w:divBdr>
            <w:top w:val="none" w:sz="0" w:space="0" w:color="auto"/>
            <w:left w:val="none" w:sz="0" w:space="0" w:color="auto"/>
            <w:bottom w:val="none" w:sz="0" w:space="0" w:color="auto"/>
            <w:right w:val="none" w:sz="0" w:space="0" w:color="auto"/>
          </w:divBdr>
        </w:div>
        <w:div w:id="2098092486">
          <w:marLeft w:val="0"/>
          <w:marRight w:val="0"/>
          <w:marTop w:val="0"/>
          <w:marBottom w:val="0"/>
          <w:divBdr>
            <w:top w:val="none" w:sz="0" w:space="0" w:color="auto"/>
            <w:left w:val="none" w:sz="0" w:space="0" w:color="auto"/>
            <w:bottom w:val="none" w:sz="0" w:space="0" w:color="auto"/>
            <w:right w:val="none" w:sz="0" w:space="0" w:color="auto"/>
          </w:divBdr>
        </w:div>
        <w:div w:id="2121297699">
          <w:marLeft w:val="0"/>
          <w:marRight w:val="0"/>
          <w:marTop w:val="0"/>
          <w:marBottom w:val="0"/>
          <w:divBdr>
            <w:top w:val="none" w:sz="0" w:space="0" w:color="auto"/>
            <w:left w:val="none" w:sz="0" w:space="0" w:color="auto"/>
            <w:bottom w:val="none" w:sz="0" w:space="0" w:color="auto"/>
            <w:right w:val="none" w:sz="0" w:space="0" w:color="auto"/>
          </w:divBdr>
        </w:div>
        <w:div w:id="2123760403">
          <w:marLeft w:val="0"/>
          <w:marRight w:val="0"/>
          <w:marTop w:val="0"/>
          <w:marBottom w:val="0"/>
          <w:divBdr>
            <w:top w:val="none" w:sz="0" w:space="0" w:color="auto"/>
            <w:left w:val="none" w:sz="0" w:space="0" w:color="auto"/>
            <w:bottom w:val="none" w:sz="0" w:space="0" w:color="auto"/>
            <w:right w:val="none" w:sz="0" w:space="0" w:color="auto"/>
          </w:divBdr>
        </w:div>
        <w:div w:id="2132092663">
          <w:marLeft w:val="0"/>
          <w:marRight w:val="0"/>
          <w:marTop w:val="0"/>
          <w:marBottom w:val="0"/>
          <w:divBdr>
            <w:top w:val="none" w:sz="0" w:space="0" w:color="auto"/>
            <w:left w:val="none" w:sz="0" w:space="0" w:color="auto"/>
            <w:bottom w:val="none" w:sz="0" w:space="0" w:color="auto"/>
            <w:right w:val="none" w:sz="0" w:space="0" w:color="auto"/>
          </w:divBdr>
        </w:div>
        <w:div w:id="2137334151">
          <w:marLeft w:val="0"/>
          <w:marRight w:val="0"/>
          <w:marTop w:val="0"/>
          <w:marBottom w:val="0"/>
          <w:divBdr>
            <w:top w:val="none" w:sz="0" w:space="0" w:color="auto"/>
            <w:left w:val="none" w:sz="0" w:space="0" w:color="auto"/>
            <w:bottom w:val="none" w:sz="0" w:space="0" w:color="auto"/>
            <w:right w:val="none" w:sz="0" w:space="0" w:color="auto"/>
          </w:divBdr>
        </w:div>
      </w:divsChild>
    </w:div>
    <w:div w:id="1155682133">
      <w:bodyDiv w:val="1"/>
      <w:marLeft w:val="0"/>
      <w:marRight w:val="0"/>
      <w:marTop w:val="0"/>
      <w:marBottom w:val="0"/>
      <w:divBdr>
        <w:top w:val="none" w:sz="0" w:space="0" w:color="auto"/>
        <w:left w:val="none" w:sz="0" w:space="0" w:color="auto"/>
        <w:bottom w:val="none" w:sz="0" w:space="0" w:color="auto"/>
        <w:right w:val="none" w:sz="0" w:space="0" w:color="auto"/>
      </w:divBdr>
    </w:div>
    <w:div w:id="1156607607">
      <w:bodyDiv w:val="1"/>
      <w:marLeft w:val="0"/>
      <w:marRight w:val="0"/>
      <w:marTop w:val="0"/>
      <w:marBottom w:val="0"/>
      <w:divBdr>
        <w:top w:val="none" w:sz="0" w:space="0" w:color="auto"/>
        <w:left w:val="none" w:sz="0" w:space="0" w:color="auto"/>
        <w:bottom w:val="none" w:sz="0" w:space="0" w:color="auto"/>
        <w:right w:val="none" w:sz="0" w:space="0" w:color="auto"/>
      </w:divBdr>
    </w:div>
    <w:div w:id="1156990646">
      <w:bodyDiv w:val="1"/>
      <w:marLeft w:val="0"/>
      <w:marRight w:val="0"/>
      <w:marTop w:val="0"/>
      <w:marBottom w:val="0"/>
      <w:divBdr>
        <w:top w:val="none" w:sz="0" w:space="0" w:color="auto"/>
        <w:left w:val="none" w:sz="0" w:space="0" w:color="auto"/>
        <w:bottom w:val="none" w:sz="0" w:space="0" w:color="auto"/>
        <w:right w:val="none" w:sz="0" w:space="0" w:color="auto"/>
      </w:divBdr>
    </w:div>
    <w:div w:id="1158813931">
      <w:bodyDiv w:val="1"/>
      <w:marLeft w:val="0"/>
      <w:marRight w:val="0"/>
      <w:marTop w:val="0"/>
      <w:marBottom w:val="0"/>
      <w:divBdr>
        <w:top w:val="none" w:sz="0" w:space="0" w:color="auto"/>
        <w:left w:val="none" w:sz="0" w:space="0" w:color="auto"/>
        <w:bottom w:val="none" w:sz="0" w:space="0" w:color="auto"/>
        <w:right w:val="none" w:sz="0" w:space="0" w:color="auto"/>
      </w:divBdr>
    </w:div>
    <w:div w:id="1159224684">
      <w:bodyDiv w:val="1"/>
      <w:marLeft w:val="0"/>
      <w:marRight w:val="0"/>
      <w:marTop w:val="0"/>
      <w:marBottom w:val="0"/>
      <w:divBdr>
        <w:top w:val="none" w:sz="0" w:space="0" w:color="auto"/>
        <w:left w:val="none" w:sz="0" w:space="0" w:color="auto"/>
        <w:bottom w:val="none" w:sz="0" w:space="0" w:color="auto"/>
        <w:right w:val="none" w:sz="0" w:space="0" w:color="auto"/>
      </w:divBdr>
    </w:div>
    <w:div w:id="1164590524">
      <w:bodyDiv w:val="1"/>
      <w:marLeft w:val="0"/>
      <w:marRight w:val="0"/>
      <w:marTop w:val="0"/>
      <w:marBottom w:val="0"/>
      <w:divBdr>
        <w:top w:val="none" w:sz="0" w:space="0" w:color="auto"/>
        <w:left w:val="none" w:sz="0" w:space="0" w:color="auto"/>
        <w:bottom w:val="none" w:sz="0" w:space="0" w:color="auto"/>
        <w:right w:val="none" w:sz="0" w:space="0" w:color="auto"/>
      </w:divBdr>
    </w:div>
    <w:div w:id="1165054514">
      <w:bodyDiv w:val="1"/>
      <w:marLeft w:val="0"/>
      <w:marRight w:val="0"/>
      <w:marTop w:val="0"/>
      <w:marBottom w:val="0"/>
      <w:divBdr>
        <w:top w:val="none" w:sz="0" w:space="0" w:color="auto"/>
        <w:left w:val="none" w:sz="0" w:space="0" w:color="auto"/>
        <w:bottom w:val="none" w:sz="0" w:space="0" w:color="auto"/>
        <w:right w:val="none" w:sz="0" w:space="0" w:color="auto"/>
      </w:divBdr>
    </w:div>
    <w:div w:id="1168442331">
      <w:bodyDiv w:val="1"/>
      <w:marLeft w:val="0"/>
      <w:marRight w:val="0"/>
      <w:marTop w:val="0"/>
      <w:marBottom w:val="0"/>
      <w:divBdr>
        <w:top w:val="none" w:sz="0" w:space="0" w:color="auto"/>
        <w:left w:val="none" w:sz="0" w:space="0" w:color="auto"/>
        <w:bottom w:val="none" w:sz="0" w:space="0" w:color="auto"/>
        <w:right w:val="none" w:sz="0" w:space="0" w:color="auto"/>
      </w:divBdr>
    </w:div>
    <w:div w:id="1170563825">
      <w:bodyDiv w:val="1"/>
      <w:marLeft w:val="0"/>
      <w:marRight w:val="0"/>
      <w:marTop w:val="0"/>
      <w:marBottom w:val="0"/>
      <w:divBdr>
        <w:top w:val="none" w:sz="0" w:space="0" w:color="auto"/>
        <w:left w:val="none" w:sz="0" w:space="0" w:color="auto"/>
        <w:bottom w:val="none" w:sz="0" w:space="0" w:color="auto"/>
        <w:right w:val="none" w:sz="0" w:space="0" w:color="auto"/>
      </w:divBdr>
    </w:div>
    <w:div w:id="1172841866">
      <w:bodyDiv w:val="1"/>
      <w:marLeft w:val="0"/>
      <w:marRight w:val="0"/>
      <w:marTop w:val="0"/>
      <w:marBottom w:val="0"/>
      <w:divBdr>
        <w:top w:val="none" w:sz="0" w:space="0" w:color="auto"/>
        <w:left w:val="none" w:sz="0" w:space="0" w:color="auto"/>
        <w:bottom w:val="none" w:sz="0" w:space="0" w:color="auto"/>
        <w:right w:val="none" w:sz="0" w:space="0" w:color="auto"/>
      </w:divBdr>
    </w:div>
    <w:div w:id="1174609209">
      <w:bodyDiv w:val="1"/>
      <w:marLeft w:val="0"/>
      <w:marRight w:val="0"/>
      <w:marTop w:val="0"/>
      <w:marBottom w:val="0"/>
      <w:divBdr>
        <w:top w:val="none" w:sz="0" w:space="0" w:color="auto"/>
        <w:left w:val="none" w:sz="0" w:space="0" w:color="auto"/>
        <w:bottom w:val="none" w:sz="0" w:space="0" w:color="auto"/>
        <w:right w:val="none" w:sz="0" w:space="0" w:color="auto"/>
      </w:divBdr>
    </w:div>
    <w:div w:id="1175346154">
      <w:bodyDiv w:val="1"/>
      <w:marLeft w:val="0"/>
      <w:marRight w:val="0"/>
      <w:marTop w:val="0"/>
      <w:marBottom w:val="0"/>
      <w:divBdr>
        <w:top w:val="none" w:sz="0" w:space="0" w:color="auto"/>
        <w:left w:val="none" w:sz="0" w:space="0" w:color="auto"/>
        <w:bottom w:val="none" w:sz="0" w:space="0" w:color="auto"/>
        <w:right w:val="none" w:sz="0" w:space="0" w:color="auto"/>
      </w:divBdr>
    </w:div>
    <w:div w:id="1182163720">
      <w:bodyDiv w:val="1"/>
      <w:marLeft w:val="0"/>
      <w:marRight w:val="0"/>
      <w:marTop w:val="0"/>
      <w:marBottom w:val="0"/>
      <w:divBdr>
        <w:top w:val="none" w:sz="0" w:space="0" w:color="auto"/>
        <w:left w:val="none" w:sz="0" w:space="0" w:color="auto"/>
        <w:bottom w:val="none" w:sz="0" w:space="0" w:color="auto"/>
        <w:right w:val="none" w:sz="0" w:space="0" w:color="auto"/>
      </w:divBdr>
    </w:div>
    <w:div w:id="1182474760">
      <w:bodyDiv w:val="1"/>
      <w:marLeft w:val="0"/>
      <w:marRight w:val="0"/>
      <w:marTop w:val="0"/>
      <w:marBottom w:val="0"/>
      <w:divBdr>
        <w:top w:val="none" w:sz="0" w:space="0" w:color="auto"/>
        <w:left w:val="none" w:sz="0" w:space="0" w:color="auto"/>
        <w:bottom w:val="none" w:sz="0" w:space="0" w:color="auto"/>
        <w:right w:val="none" w:sz="0" w:space="0" w:color="auto"/>
      </w:divBdr>
    </w:div>
    <w:div w:id="1183012052">
      <w:bodyDiv w:val="1"/>
      <w:marLeft w:val="0"/>
      <w:marRight w:val="0"/>
      <w:marTop w:val="0"/>
      <w:marBottom w:val="0"/>
      <w:divBdr>
        <w:top w:val="none" w:sz="0" w:space="0" w:color="auto"/>
        <w:left w:val="none" w:sz="0" w:space="0" w:color="auto"/>
        <w:bottom w:val="none" w:sz="0" w:space="0" w:color="auto"/>
        <w:right w:val="none" w:sz="0" w:space="0" w:color="auto"/>
      </w:divBdr>
    </w:div>
    <w:div w:id="1184369577">
      <w:bodyDiv w:val="1"/>
      <w:marLeft w:val="0"/>
      <w:marRight w:val="0"/>
      <w:marTop w:val="0"/>
      <w:marBottom w:val="0"/>
      <w:divBdr>
        <w:top w:val="none" w:sz="0" w:space="0" w:color="auto"/>
        <w:left w:val="none" w:sz="0" w:space="0" w:color="auto"/>
        <w:bottom w:val="none" w:sz="0" w:space="0" w:color="auto"/>
        <w:right w:val="none" w:sz="0" w:space="0" w:color="auto"/>
      </w:divBdr>
    </w:div>
    <w:div w:id="1186823194">
      <w:bodyDiv w:val="1"/>
      <w:marLeft w:val="0"/>
      <w:marRight w:val="0"/>
      <w:marTop w:val="0"/>
      <w:marBottom w:val="0"/>
      <w:divBdr>
        <w:top w:val="none" w:sz="0" w:space="0" w:color="auto"/>
        <w:left w:val="none" w:sz="0" w:space="0" w:color="auto"/>
        <w:bottom w:val="none" w:sz="0" w:space="0" w:color="auto"/>
        <w:right w:val="none" w:sz="0" w:space="0" w:color="auto"/>
      </w:divBdr>
    </w:div>
    <w:div w:id="1188375215">
      <w:bodyDiv w:val="1"/>
      <w:marLeft w:val="0"/>
      <w:marRight w:val="0"/>
      <w:marTop w:val="0"/>
      <w:marBottom w:val="0"/>
      <w:divBdr>
        <w:top w:val="none" w:sz="0" w:space="0" w:color="auto"/>
        <w:left w:val="none" w:sz="0" w:space="0" w:color="auto"/>
        <w:bottom w:val="none" w:sz="0" w:space="0" w:color="auto"/>
        <w:right w:val="none" w:sz="0" w:space="0" w:color="auto"/>
      </w:divBdr>
    </w:div>
    <w:div w:id="1189948251">
      <w:bodyDiv w:val="1"/>
      <w:marLeft w:val="0"/>
      <w:marRight w:val="0"/>
      <w:marTop w:val="0"/>
      <w:marBottom w:val="0"/>
      <w:divBdr>
        <w:top w:val="none" w:sz="0" w:space="0" w:color="auto"/>
        <w:left w:val="none" w:sz="0" w:space="0" w:color="auto"/>
        <w:bottom w:val="none" w:sz="0" w:space="0" w:color="auto"/>
        <w:right w:val="none" w:sz="0" w:space="0" w:color="auto"/>
      </w:divBdr>
    </w:div>
    <w:div w:id="1191531241">
      <w:bodyDiv w:val="1"/>
      <w:marLeft w:val="0"/>
      <w:marRight w:val="0"/>
      <w:marTop w:val="0"/>
      <w:marBottom w:val="0"/>
      <w:divBdr>
        <w:top w:val="none" w:sz="0" w:space="0" w:color="auto"/>
        <w:left w:val="none" w:sz="0" w:space="0" w:color="auto"/>
        <w:bottom w:val="none" w:sz="0" w:space="0" w:color="auto"/>
        <w:right w:val="none" w:sz="0" w:space="0" w:color="auto"/>
      </w:divBdr>
    </w:div>
    <w:div w:id="1192571851">
      <w:bodyDiv w:val="1"/>
      <w:marLeft w:val="0"/>
      <w:marRight w:val="0"/>
      <w:marTop w:val="0"/>
      <w:marBottom w:val="0"/>
      <w:divBdr>
        <w:top w:val="none" w:sz="0" w:space="0" w:color="auto"/>
        <w:left w:val="none" w:sz="0" w:space="0" w:color="auto"/>
        <w:bottom w:val="none" w:sz="0" w:space="0" w:color="auto"/>
        <w:right w:val="none" w:sz="0" w:space="0" w:color="auto"/>
      </w:divBdr>
      <w:divsChild>
        <w:div w:id="418252976">
          <w:marLeft w:val="0"/>
          <w:marRight w:val="0"/>
          <w:marTop w:val="0"/>
          <w:marBottom w:val="0"/>
          <w:divBdr>
            <w:top w:val="none" w:sz="0" w:space="0" w:color="auto"/>
            <w:left w:val="none" w:sz="0" w:space="0" w:color="auto"/>
            <w:bottom w:val="none" w:sz="0" w:space="0" w:color="auto"/>
            <w:right w:val="none" w:sz="0" w:space="0" w:color="auto"/>
          </w:divBdr>
        </w:div>
      </w:divsChild>
    </w:div>
    <w:div w:id="1193300954">
      <w:bodyDiv w:val="1"/>
      <w:marLeft w:val="0"/>
      <w:marRight w:val="0"/>
      <w:marTop w:val="0"/>
      <w:marBottom w:val="0"/>
      <w:divBdr>
        <w:top w:val="none" w:sz="0" w:space="0" w:color="auto"/>
        <w:left w:val="none" w:sz="0" w:space="0" w:color="auto"/>
        <w:bottom w:val="none" w:sz="0" w:space="0" w:color="auto"/>
        <w:right w:val="none" w:sz="0" w:space="0" w:color="auto"/>
      </w:divBdr>
    </w:div>
    <w:div w:id="1194150853">
      <w:bodyDiv w:val="1"/>
      <w:marLeft w:val="0"/>
      <w:marRight w:val="0"/>
      <w:marTop w:val="0"/>
      <w:marBottom w:val="0"/>
      <w:divBdr>
        <w:top w:val="none" w:sz="0" w:space="0" w:color="auto"/>
        <w:left w:val="none" w:sz="0" w:space="0" w:color="auto"/>
        <w:bottom w:val="none" w:sz="0" w:space="0" w:color="auto"/>
        <w:right w:val="none" w:sz="0" w:space="0" w:color="auto"/>
      </w:divBdr>
    </w:div>
    <w:div w:id="1194270356">
      <w:bodyDiv w:val="1"/>
      <w:marLeft w:val="0"/>
      <w:marRight w:val="0"/>
      <w:marTop w:val="0"/>
      <w:marBottom w:val="0"/>
      <w:divBdr>
        <w:top w:val="none" w:sz="0" w:space="0" w:color="auto"/>
        <w:left w:val="none" w:sz="0" w:space="0" w:color="auto"/>
        <w:bottom w:val="none" w:sz="0" w:space="0" w:color="auto"/>
        <w:right w:val="none" w:sz="0" w:space="0" w:color="auto"/>
      </w:divBdr>
    </w:div>
    <w:div w:id="1194348225">
      <w:bodyDiv w:val="1"/>
      <w:marLeft w:val="0"/>
      <w:marRight w:val="0"/>
      <w:marTop w:val="0"/>
      <w:marBottom w:val="0"/>
      <w:divBdr>
        <w:top w:val="none" w:sz="0" w:space="0" w:color="auto"/>
        <w:left w:val="none" w:sz="0" w:space="0" w:color="auto"/>
        <w:bottom w:val="none" w:sz="0" w:space="0" w:color="auto"/>
        <w:right w:val="none" w:sz="0" w:space="0" w:color="auto"/>
      </w:divBdr>
    </w:div>
    <w:div w:id="1194533073">
      <w:bodyDiv w:val="1"/>
      <w:marLeft w:val="0"/>
      <w:marRight w:val="0"/>
      <w:marTop w:val="0"/>
      <w:marBottom w:val="0"/>
      <w:divBdr>
        <w:top w:val="none" w:sz="0" w:space="0" w:color="auto"/>
        <w:left w:val="none" w:sz="0" w:space="0" w:color="auto"/>
        <w:bottom w:val="none" w:sz="0" w:space="0" w:color="auto"/>
        <w:right w:val="none" w:sz="0" w:space="0" w:color="auto"/>
      </w:divBdr>
    </w:div>
    <w:div w:id="1199197586">
      <w:bodyDiv w:val="1"/>
      <w:marLeft w:val="0"/>
      <w:marRight w:val="0"/>
      <w:marTop w:val="0"/>
      <w:marBottom w:val="0"/>
      <w:divBdr>
        <w:top w:val="none" w:sz="0" w:space="0" w:color="auto"/>
        <w:left w:val="none" w:sz="0" w:space="0" w:color="auto"/>
        <w:bottom w:val="none" w:sz="0" w:space="0" w:color="auto"/>
        <w:right w:val="none" w:sz="0" w:space="0" w:color="auto"/>
      </w:divBdr>
    </w:div>
    <w:div w:id="1204563013">
      <w:bodyDiv w:val="1"/>
      <w:marLeft w:val="0"/>
      <w:marRight w:val="0"/>
      <w:marTop w:val="0"/>
      <w:marBottom w:val="0"/>
      <w:divBdr>
        <w:top w:val="none" w:sz="0" w:space="0" w:color="auto"/>
        <w:left w:val="none" w:sz="0" w:space="0" w:color="auto"/>
        <w:bottom w:val="none" w:sz="0" w:space="0" w:color="auto"/>
        <w:right w:val="none" w:sz="0" w:space="0" w:color="auto"/>
      </w:divBdr>
    </w:div>
    <w:div w:id="1212301692">
      <w:bodyDiv w:val="1"/>
      <w:marLeft w:val="0"/>
      <w:marRight w:val="0"/>
      <w:marTop w:val="0"/>
      <w:marBottom w:val="0"/>
      <w:divBdr>
        <w:top w:val="none" w:sz="0" w:space="0" w:color="auto"/>
        <w:left w:val="none" w:sz="0" w:space="0" w:color="auto"/>
        <w:bottom w:val="none" w:sz="0" w:space="0" w:color="auto"/>
        <w:right w:val="none" w:sz="0" w:space="0" w:color="auto"/>
      </w:divBdr>
    </w:div>
    <w:div w:id="1214347845">
      <w:bodyDiv w:val="1"/>
      <w:marLeft w:val="0"/>
      <w:marRight w:val="0"/>
      <w:marTop w:val="0"/>
      <w:marBottom w:val="0"/>
      <w:divBdr>
        <w:top w:val="none" w:sz="0" w:space="0" w:color="auto"/>
        <w:left w:val="none" w:sz="0" w:space="0" w:color="auto"/>
        <w:bottom w:val="none" w:sz="0" w:space="0" w:color="auto"/>
        <w:right w:val="none" w:sz="0" w:space="0" w:color="auto"/>
      </w:divBdr>
    </w:div>
    <w:div w:id="1217548027">
      <w:bodyDiv w:val="1"/>
      <w:marLeft w:val="0"/>
      <w:marRight w:val="0"/>
      <w:marTop w:val="0"/>
      <w:marBottom w:val="0"/>
      <w:divBdr>
        <w:top w:val="none" w:sz="0" w:space="0" w:color="auto"/>
        <w:left w:val="none" w:sz="0" w:space="0" w:color="auto"/>
        <w:bottom w:val="none" w:sz="0" w:space="0" w:color="auto"/>
        <w:right w:val="none" w:sz="0" w:space="0" w:color="auto"/>
      </w:divBdr>
    </w:div>
    <w:div w:id="1217744024">
      <w:bodyDiv w:val="1"/>
      <w:marLeft w:val="0"/>
      <w:marRight w:val="0"/>
      <w:marTop w:val="0"/>
      <w:marBottom w:val="0"/>
      <w:divBdr>
        <w:top w:val="none" w:sz="0" w:space="0" w:color="auto"/>
        <w:left w:val="none" w:sz="0" w:space="0" w:color="auto"/>
        <w:bottom w:val="none" w:sz="0" w:space="0" w:color="auto"/>
        <w:right w:val="none" w:sz="0" w:space="0" w:color="auto"/>
      </w:divBdr>
    </w:div>
    <w:div w:id="1218005625">
      <w:bodyDiv w:val="1"/>
      <w:marLeft w:val="0"/>
      <w:marRight w:val="0"/>
      <w:marTop w:val="0"/>
      <w:marBottom w:val="0"/>
      <w:divBdr>
        <w:top w:val="none" w:sz="0" w:space="0" w:color="auto"/>
        <w:left w:val="none" w:sz="0" w:space="0" w:color="auto"/>
        <w:bottom w:val="none" w:sz="0" w:space="0" w:color="auto"/>
        <w:right w:val="none" w:sz="0" w:space="0" w:color="auto"/>
      </w:divBdr>
    </w:div>
    <w:div w:id="1218468714">
      <w:bodyDiv w:val="1"/>
      <w:marLeft w:val="0"/>
      <w:marRight w:val="0"/>
      <w:marTop w:val="0"/>
      <w:marBottom w:val="0"/>
      <w:divBdr>
        <w:top w:val="none" w:sz="0" w:space="0" w:color="auto"/>
        <w:left w:val="none" w:sz="0" w:space="0" w:color="auto"/>
        <w:bottom w:val="none" w:sz="0" w:space="0" w:color="auto"/>
        <w:right w:val="none" w:sz="0" w:space="0" w:color="auto"/>
      </w:divBdr>
    </w:div>
    <w:div w:id="1220287147">
      <w:bodyDiv w:val="1"/>
      <w:marLeft w:val="0"/>
      <w:marRight w:val="0"/>
      <w:marTop w:val="0"/>
      <w:marBottom w:val="0"/>
      <w:divBdr>
        <w:top w:val="none" w:sz="0" w:space="0" w:color="auto"/>
        <w:left w:val="none" w:sz="0" w:space="0" w:color="auto"/>
        <w:bottom w:val="none" w:sz="0" w:space="0" w:color="auto"/>
        <w:right w:val="none" w:sz="0" w:space="0" w:color="auto"/>
      </w:divBdr>
    </w:div>
    <w:div w:id="1220635160">
      <w:bodyDiv w:val="1"/>
      <w:marLeft w:val="0"/>
      <w:marRight w:val="0"/>
      <w:marTop w:val="0"/>
      <w:marBottom w:val="0"/>
      <w:divBdr>
        <w:top w:val="none" w:sz="0" w:space="0" w:color="auto"/>
        <w:left w:val="none" w:sz="0" w:space="0" w:color="auto"/>
        <w:bottom w:val="none" w:sz="0" w:space="0" w:color="auto"/>
        <w:right w:val="none" w:sz="0" w:space="0" w:color="auto"/>
      </w:divBdr>
    </w:div>
    <w:div w:id="1222444340">
      <w:bodyDiv w:val="1"/>
      <w:marLeft w:val="0"/>
      <w:marRight w:val="0"/>
      <w:marTop w:val="0"/>
      <w:marBottom w:val="0"/>
      <w:divBdr>
        <w:top w:val="none" w:sz="0" w:space="0" w:color="auto"/>
        <w:left w:val="none" w:sz="0" w:space="0" w:color="auto"/>
        <w:bottom w:val="none" w:sz="0" w:space="0" w:color="auto"/>
        <w:right w:val="none" w:sz="0" w:space="0" w:color="auto"/>
      </w:divBdr>
    </w:div>
    <w:div w:id="1226145263">
      <w:bodyDiv w:val="1"/>
      <w:marLeft w:val="0"/>
      <w:marRight w:val="0"/>
      <w:marTop w:val="0"/>
      <w:marBottom w:val="0"/>
      <w:divBdr>
        <w:top w:val="none" w:sz="0" w:space="0" w:color="auto"/>
        <w:left w:val="none" w:sz="0" w:space="0" w:color="auto"/>
        <w:bottom w:val="none" w:sz="0" w:space="0" w:color="auto"/>
        <w:right w:val="none" w:sz="0" w:space="0" w:color="auto"/>
      </w:divBdr>
    </w:div>
    <w:div w:id="1227833732">
      <w:bodyDiv w:val="1"/>
      <w:marLeft w:val="0"/>
      <w:marRight w:val="0"/>
      <w:marTop w:val="0"/>
      <w:marBottom w:val="0"/>
      <w:divBdr>
        <w:top w:val="none" w:sz="0" w:space="0" w:color="auto"/>
        <w:left w:val="none" w:sz="0" w:space="0" w:color="auto"/>
        <w:bottom w:val="none" w:sz="0" w:space="0" w:color="auto"/>
        <w:right w:val="none" w:sz="0" w:space="0" w:color="auto"/>
      </w:divBdr>
    </w:div>
    <w:div w:id="1228958570">
      <w:bodyDiv w:val="1"/>
      <w:marLeft w:val="0"/>
      <w:marRight w:val="0"/>
      <w:marTop w:val="0"/>
      <w:marBottom w:val="0"/>
      <w:divBdr>
        <w:top w:val="none" w:sz="0" w:space="0" w:color="auto"/>
        <w:left w:val="none" w:sz="0" w:space="0" w:color="auto"/>
        <w:bottom w:val="none" w:sz="0" w:space="0" w:color="auto"/>
        <w:right w:val="none" w:sz="0" w:space="0" w:color="auto"/>
      </w:divBdr>
    </w:div>
    <w:div w:id="1234895574">
      <w:bodyDiv w:val="1"/>
      <w:marLeft w:val="0"/>
      <w:marRight w:val="0"/>
      <w:marTop w:val="0"/>
      <w:marBottom w:val="0"/>
      <w:divBdr>
        <w:top w:val="none" w:sz="0" w:space="0" w:color="auto"/>
        <w:left w:val="none" w:sz="0" w:space="0" w:color="auto"/>
        <w:bottom w:val="none" w:sz="0" w:space="0" w:color="auto"/>
        <w:right w:val="none" w:sz="0" w:space="0" w:color="auto"/>
      </w:divBdr>
    </w:div>
    <w:div w:id="1235892408">
      <w:bodyDiv w:val="1"/>
      <w:marLeft w:val="0"/>
      <w:marRight w:val="0"/>
      <w:marTop w:val="0"/>
      <w:marBottom w:val="0"/>
      <w:divBdr>
        <w:top w:val="none" w:sz="0" w:space="0" w:color="auto"/>
        <w:left w:val="none" w:sz="0" w:space="0" w:color="auto"/>
        <w:bottom w:val="none" w:sz="0" w:space="0" w:color="auto"/>
        <w:right w:val="none" w:sz="0" w:space="0" w:color="auto"/>
      </w:divBdr>
    </w:div>
    <w:div w:id="1240020420">
      <w:bodyDiv w:val="1"/>
      <w:marLeft w:val="0"/>
      <w:marRight w:val="0"/>
      <w:marTop w:val="0"/>
      <w:marBottom w:val="0"/>
      <w:divBdr>
        <w:top w:val="none" w:sz="0" w:space="0" w:color="auto"/>
        <w:left w:val="none" w:sz="0" w:space="0" w:color="auto"/>
        <w:bottom w:val="none" w:sz="0" w:space="0" w:color="auto"/>
        <w:right w:val="none" w:sz="0" w:space="0" w:color="auto"/>
      </w:divBdr>
    </w:div>
    <w:div w:id="1243878386">
      <w:bodyDiv w:val="1"/>
      <w:marLeft w:val="0"/>
      <w:marRight w:val="0"/>
      <w:marTop w:val="0"/>
      <w:marBottom w:val="0"/>
      <w:divBdr>
        <w:top w:val="none" w:sz="0" w:space="0" w:color="auto"/>
        <w:left w:val="none" w:sz="0" w:space="0" w:color="auto"/>
        <w:bottom w:val="none" w:sz="0" w:space="0" w:color="auto"/>
        <w:right w:val="none" w:sz="0" w:space="0" w:color="auto"/>
      </w:divBdr>
    </w:div>
    <w:div w:id="1246691337">
      <w:bodyDiv w:val="1"/>
      <w:marLeft w:val="0"/>
      <w:marRight w:val="0"/>
      <w:marTop w:val="0"/>
      <w:marBottom w:val="0"/>
      <w:divBdr>
        <w:top w:val="none" w:sz="0" w:space="0" w:color="auto"/>
        <w:left w:val="none" w:sz="0" w:space="0" w:color="auto"/>
        <w:bottom w:val="none" w:sz="0" w:space="0" w:color="auto"/>
        <w:right w:val="none" w:sz="0" w:space="0" w:color="auto"/>
      </w:divBdr>
    </w:div>
    <w:div w:id="1248467098">
      <w:bodyDiv w:val="1"/>
      <w:marLeft w:val="0"/>
      <w:marRight w:val="0"/>
      <w:marTop w:val="0"/>
      <w:marBottom w:val="0"/>
      <w:divBdr>
        <w:top w:val="none" w:sz="0" w:space="0" w:color="auto"/>
        <w:left w:val="none" w:sz="0" w:space="0" w:color="auto"/>
        <w:bottom w:val="none" w:sz="0" w:space="0" w:color="auto"/>
        <w:right w:val="none" w:sz="0" w:space="0" w:color="auto"/>
      </w:divBdr>
    </w:div>
    <w:div w:id="1252471348">
      <w:bodyDiv w:val="1"/>
      <w:marLeft w:val="0"/>
      <w:marRight w:val="0"/>
      <w:marTop w:val="0"/>
      <w:marBottom w:val="0"/>
      <w:divBdr>
        <w:top w:val="none" w:sz="0" w:space="0" w:color="auto"/>
        <w:left w:val="none" w:sz="0" w:space="0" w:color="auto"/>
        <w:bottom w:val="none" w:sz="0" w:space="0" w:color="auto"/>
        <w:right w:val="none" w:sz="0" w:space="0" w:color="auto"/>
      </w:divBdr>
    </w:div>
    <w:div w:id="1257711609">
      <w:bodyDiv w:val="1"/>
      <w:marLeft w:val="0"/>
      <w:marRight w:val="0"/>
      <w:marTop w:val="0"/>
      <w:marBottom w:val="0"/>
      <w:divBdr>
        <w:top w:val="none" w:sz="0" w:space="0" w:color="auto"/>
        <w:left w:val="none" w:sz="0" w:space="0" w:color="auto"/>
        <w:bottom w:val="none" w:sz="0" w:space="0" w:color="auto"/>
        <w:right w:val="none" w:sz="0" w:space="0" w:color="auto"/>
      </w:divBdr>
    </w:div>
    <w:div w:id="1259947874">
      <w:bodyDiv w:val="1"/>
      <w:marLeft w:val="0"/>
      <w:marRight w:val="0"/>
      <w:marTop w:val="0"/>
      <w:marBottom w:val="0"/>
      <w:divBdr>
        <w:top w:val="none" w:sz="0" w:space="0" w:color="auto"/>
        <w:left w:val="none" w:sz="0" w:space="0" w:color="auto"/>
        <w:bottom w:val="none" w:sz="0" w:space="0" w:color="auto"/>
        <w:right w:val="none" w:sz="0" w:space="0" w:color="auto"/>
      </w:divBdr>
    </w:div>
    <w:div w:id="1260262235">
      <w:bodyDiv w:val="1"/>
      <w:marLeft w:val="0"/>
      <w:marRight w:val="0"/>
      <w:marTop w:val="0"/>
      <w:marBottom w:val="0"/>
      <w:divBdr>
        <w:top w:val="none" w:sz="0" w:space="0" w:color="auto"/>
        <w:left w:val="none" w:sz="0" w:space="0" w:color="auto"/>
        <w:bottom w:val="none" w:sz="0" w:space="0" w:color="auto"/>
        <w:right w:val="none" w:sz="0" w:space="0" w:color="auto"/>
      </w:divBdr>
    </w:div>
    <w:div w:id="1261912074">
      <w:bodyDiv w:val="1"/>
      <w:marLeft w:val="0"/>
      <w:marRight w:val="0"/>
      <w:marTop w:val="0"/>
      <w:marBottom w:val="0"/>
      <w:divBdr>
        <w:top w:val="none" w:sz="0" w:space="0" w:color="auto"/>
        <w:left w:val="none" w:sz="0" w:space="0" w:color="auto"/>
        <w:bottom w:val="none" w:sz="0" w:space="0" w:color="auto"/>
        <w:right w:val="none" w:sz="0" w:space="0" w:color="auto"/>
      </w:divBdr>
    </w:div>
    <w:div w:id="1263028404">
      <w:bodyDiv w:val="1"/>
      <w:marLeft w:val="0"/>
      <w:marRight w:val="0"/>
      <w:marTop w:val="0"/>
      <w:marBottom w:val="0"/>
      <w:divBdr>
        <w:top w:val="none" w:sz="0" w:space="0" w:color="auto"/>
        <w:left w:val="none" w:sz="0" w:space="0" w:color="auto"/>
        <w:bottom w:val="none" w:sz="0" w:space="0" w:color="auto"/>
        <w:right w:val="none" w:sz="0" w:space="0" w:color="auto"/>
      </w:divBdr>
    </w:div>
    <w:div w:id="1265571181">
      <w:bodyDiv w:val="1"/>
      <w:marLeft w:val="0"/>
      <w:marRight w:val="0"/>
      <w:marTop w:val="0"/>
      <w:marBottom w:val="0"/>
      <w:divBdr>
        <w:top w:val="none" w:sz="0" w:space="0" w:color="auto"/>
        <w:left w:val="none" w:sz="0" w:space="0" w:color="auto"/>
        <w:bottom w:val="none" w:sz="0" w:space="0" w:color="auto"/>
        <w:right w:val="none" w:sz="0" w:space="0" w:color="auto"/>
      </w:divBdr>
    </w:div>
    <w:div w:id="1275283786">
      <w:bodyDiv w:val="1"/>
      <w:marLeft w:val="0"/>
      <w:marRight w:val="0"/>
      <w:marTop w:val="0"/>
      <w:marBottom w:val="0"/>
      <w:divBdr>
        <w:top w:val="none" w:sz="0" w:space="0" w:color="auto"/>
        <w:left w:val="none" w:sz="0" w:space="0" w:color="auto"/>
        <w:bottom w:val="none" w:sz="0" w:space="0" w:color="auto"/>
        <w:right w:val="none" w:sz="0" w:space="0" w:color="auto"/>
      </w:divBdr>
    </w:div>
    <w:div w:id="1276519255">
      <w:bodyDiv w:val="1"/>
      <w:marLeft w:val="0"/>
      <w:marRight w:val="0"/>
      <w:marTop w:val="0"/>
      <w:marBottom w:val="0"/>
      <w:divBdr>
        <w:top w:val="none" w:sz="0" w:space="0" w:color="auto"/>
        <w:left w:val="none" w:sz="0" w:space="0" w:color="auto"/>
        <w:bottom w:val="none" w:sz="0" w:space="0" w:color="auto"/>
        <w:right w:val="none" w:sz="0" w:space="0" w:color="auto"/>
      </w:divBdr>
    </w:div>
    <w:div w:id="1278296562">
      <w:bodyDiv w:val="1"/>
      <w:marLeft w:val="0"/>
      <w:marRight w:val="0"/>
      <w:marTop w:val="0"/>
      <w:marBottom w:val="0"/>
      <w:divBdr>
        <w:top w:val="none" w:sz="0" w:space="0" w:color="auto"/>
        <w:left w:val="none" w:sz="0" w:space="0" w:color="auto"/>
        <w:bottom w:val="none" w:sz="0" w:space="0" w:color="auto"/>
        <w:right w:val="none" w:sz="0" w:space="0" w:color="auto"/>
      </w:divBdr>
    </w:div>
    <w:div w:id="1278487167">
      <w:bodyDiv w:val="1"/>
      <w:marLeft w:val="0"/>
      <w:marRight w:val="0"/>
      <w:marTop w:val="0"/>
      <w:marBottom w:val="0"/>
      <w:divBdr>
        <w:top w:val="none" w:sz="0" w:space="0" w:color="auto"/>
        <w:left w:val="none" w:sz="0" w:space="0" w:color="auto"/>
        <w:bottom w:val="none" w:sz="0" w:space="0" w:color="auto"/>
        <w:right w:val="none" w:sz="0" w:space="0" w:color="auto"/>
      </w:divBdr>
    </w:div>
    <w:div w:id="1278636390">
      <w:bodyDiv w:val="1"/>
      <w:marLeft w:val="0"/>
      <w:marRight w:val="0"/>
      <w:marTop w:val="0"/>
      <w:marBottom w:val="0"/>
      <w:divBdr>
        <w:top w:val="none" w:sz="0" w:space="0" w:color="auto"/>
        <w:left w:val="none" w:sz="0" w:space="0" w:color="auto"/>
        <w:bottom w:val="none" w:sz="0" w:space="0" w:color="auto"/>
        <w:right w:val="none" w:sz="0" w:space="0" w:color="auto"/>
      </w:divBdr>
    </w:div>
    <w:div w:id="1280574942">
      <w:bodyDiv w:val="1"/>
      <w:marLeft w:val="0"/>
      <w:marRight w:val="0"/>
      <w:marTop w:val="0"/>
      <w:marBottom w:val="0"/>
      <w:divBdr>
        <w:top w:val="none" w:sz="0" w:space="0" w:color="auto"/>
        <w:left w:val="none" w:sz="0" w:space="0" w:color="auto"/>
        <w:bottom w:val="none" w:sz="0" w:space="0" w:color="auto"/>
        <w:right w:val="none" w:sz="0" w:space="0" w:color="auto"/>
      </w:divBdr>
    </w:div>
    <w:div w:id="1282305037">
      <w:bodyDiv w:val="1"/>
      <w:marLeft w:val="0"/>
      <w:marRight w:val="0"/>
      <w:marTop w:val="0"/>
      <w:marBottom w:val="0"/>
      <w:divBdr>
        <w:top w:val="none" w:sz="0" w:space="0" w:color="auto"/>
        <w:left w:val="none" w:sz="0" w:space="0" w:color="auto"/>
        <w:bottom w:val="none" w:sz="0" w:space="0" w:color="auto"/>
        <w:right w:val="none" w:sz="0" w:space="0" w:color="auto"/>
      </w:divBdr>
    </w:div>
    <w:div w:id="1283147388">
      <w:bodyDiv w:val="1"/>
      <w:marLeft w:val="0"/>
      <w:marRight w:val="0"/>
      <w:marTop w:val="0"/>
      <w:marBottom w:val="0"/>
      <w:divBdr>
        <w:top w:val="none" w:sz="0" w:space="0" w:color="auto"/>
        <w:left w:val="none" w:sz="0" w:space="0" w:color="auto"/>
        <w:bottom w:val="none" w:sz="0" w:space="0" w:color="auto"/>
        <w:right w:val="none" w:sz="0" w:space="0" w:color="auto"/>
      </w:divBdr>
    </w:div>
    <w:div w:id="1283267117">
      <w:bodyDiv w:val="1"/>
      <w:marLeft w:val="0"/>
      <w:marRight w:val="0"/>
      <w:marTop w:val="0"/>
      <w:marBottom w:val="0"/>
      <w:divBdr>
        <w:top w:val="none" w:sz="0" w:space="0" w:color="auto"/>
        <w:left w:val="none" w:sz="0" w:space="0" w:color="auto"/>
        <w:bottom w:val="none" w:sz="0" w:space="0" w:color="auto"/>
        <w:right w:val="none" w:sz="0" w:space="0" w:color="auto"/>
      </w:divBdr>
    </w:div>
    <w:div w:id="1284463824">
      <w:bodyDiv w:val="1"/>
      <w:marLeft w:val="0"/>
      <w:marRight w:val="0"/>
      <w:marTop w:val="0"/>
      <w:marBottom w:val="0"/>
      <w:divBdr>
        <w:top w:val="none" w:sz="0" w:space="0" w:color="auto"/>
        <w:left w:val="none" w:sz="0" w:space="0" w:color="auto"/>
        <w:bottom w:val="none" w:sz="0" w:space="0" w:color="auto"/>
        <w:right w:val="none" w:sz="0" w:space="0" w:color="auto"/>
      </w:divBdr>
    </w:div>
    <w:div w:id="1289509090">
      <w:bodyDiv w:val="1"/>
      <w:marLeft w:val="0"/>
      <w:marRight w:val="0"/>
      <w:marTop w:val="0"/>
      <w:marBottom w:val="0"/>
      <w:divBdr>
        <w:top w:val="none" w:sz="0" w:space="0" w:color="auto"/>
        <w:left w:val="none" w:sz="0" w:space="0" w:color="auto"/>
        <w:bottom w:val="none" w:sz="0" w:space="0" w:color="auto"/>
        <w:right w:val="none" w:sz="0" w:space="0" w:color="auto"/>
      </w:divBdr>
    </w:div>
    <w:div w:id="1291396815">
      <w:bodyDiv w:val="1"/>
      <w:marLeft w:val="0"/>
      <w:marRight w:val="0"/>
      <w:marTop w:val="0"/>
      <w:marBottom w:val="0"/>
      <w:divBdr>
        <w:top w:val="none" w:sz="0" w:space="0" w:color="auto"/>
        <w:left w:val="none" w:sz="0" w:space="0" w:color="auto"/>
        <w:bottom w:val="none" w:sz="0" w:space="0" w:color="auto"/>
        <w:right w:val="none" w:sz="0" w:space="0" w:color="auto"/>
      </w:divBdr>
    </w:div>
    <w:div w:id="1292908066">
      <w:bodyDiv w:val="1"/>
      <w:marLeft w:val="0"/>
      <w:marRight w:val="0"/>
      <w:marTop w:val="0"/>
      <w:marBottom w:val="0"/>
      <w:divBdr>
        <w:top w:val="none" w:sz="0" w:space="0" w:color="auto"/>
        <w:left w:val="none" w:sz="0" w:space="0" w:color="auto"/>
        <w:bottom w:val="none" w:sz="0" w:space="0" w:color="auto"/>
        <w:right w:val="none" w:sz="0" w:space="0" w:color="auto"/>
      </w:divBdr>
    </w:div>
    <w:div w:id="1293173490">
      <w:bodyDiv w:val="1"/>
      <w:marLeft w:val="0"/>
      <w:marRight w:val="0"/>
      <w:marTop w:val="0"/>
      <w:marBottom w:val="0"/>
      <w:divBdr>
        <w:top w:val="none" w:sz="0" w:space="0" w:color="auto"/>
        <w:left w:val="none" w:sz="0" w:space="0" w:color="auto"/>
        <w:bottom w:val="none" w:sz="0" w:space="0" w:color="auto"/>
        <w:right w:val="none" w:sz="0" w:space="0" w:color="auto"/>
      </w:divBdr>
    </w:div>
    <w:div w:id="1293562968">
      <w:bodyDiv w:val="1"/>
      <w:marLeft w:val="0"/>
      <w:marRight w:val="0"/>
      <w:marTop w:val="0"/>
      <w:marBottom w:val="0"/>
      <w:divBdr>
        <w:top w:val="none" w:sz="0" w:space="0" w:color="auto"/>
        <w:left w:val="none" w:sz="0" w:space="0" w:color="auto"/>
        <w:bottom w:val="none" w:sz="0" w:space="0" w:color="auto"/>
        <w:right w:val="none" w:sz="0" w:space="0" w:color="auto"/>
      </w:divBdr>
    </w:div>
    <w:div w:id="1295408154">
      <w:bodyDiv w:val="1"/>
      <w:marLeft w:val="0"/>
      <w:marRight w:val="0"/>
      <w:marTop w:val="0"/>
      <w:marBottom w:val="0"/>
      <w:divBdr>
        <w:top w:val="none" w:sz="0" w:space="0" w:color="auto"/>
        <w:left w:val="none" w:sz="0" w:space="0" w:color="auto"/>
        <w:bottom w:val="none" w:sz="0" w:space="0" w:color="auto"/>
        <w:right w:val="none" w:sz="0" w:space="0" w:color="auto"/>
      </w:divBdr>
    </w:div>
    <w:div w:id="1298685249">
      <w:bodyDiv w:val="1"/>
      <w:marLeft w:val="0"/>
      <w:marRight w:val="0"/>
      <w:marTop w:val="0"/>
      <w:marBottom w:val="0"/>
      <w:divBdr>
        <w:top w:val="none" w:sz="0" w:space="0" w:color="auto"/>
        <w:left w:val="none" w:sz="0" w:space="0" w:color="auto"/>
        <w:bottom w:val="none" w:sz="0" w:space="0" w:color="auto"/>
        <w:right w:val="none" w:sz="0" w:space="0" w:color="auto"/>
      </w:divBdr>
    </w:div>
    <w:div w:id="1299187523">
      <w:bodyDiv w:val="1"/>
      <w:marLeft w:val="0"/>
      <w:marRight w:val="0"/>
      <w:marTop w:val="0"/>
      <w:marBottom w:val="0"/>
      <w:divBdr>
        <w:top w:val="none" w:sz="0" w:space="0" w:color="auto"/>
        <w:left w:val="none" w:sz="0" w:space="0" w:color="auto"/>
        <w:bottom w:val="none" w:sz="0" w:space="0" w:color="auto"/>
        <w:right w:val="none" w:sz="0" w:space="0" w:color="auto"/>
      </w:divBdr>
    </w:div>
    <w:div w:id="1301301470">
      <w:bodyDiv w:val="1"/>
      <w:marLeft w:val="0"/>
      <w:marRight w:val="0"/>
      <w:marTop w:val="0"/>
      <w:marBottom w:val="0"/>
      <w:divBdr>
        <w:top w:val="none" w:sz="0" w:space="0" w:color="auto"/>
        <w:left w:val="none" w:sz="0" w:space="0" w:color="auto"/>
        <w:bottom w:val="none" w:sz="0" w:space="0" w:color="auto"/>
        <w:right w:val="none" w:sz="0" w:space="0" w:color="auto"/>
      </w:divBdr>
    </w:div>
    <w:div w:id="1302348120">
      <w:bodyDiv w:val="1"/>
      <w:marLeft w:val="0"/>
      <w:marRight w:val="0"/>
      <w:marTop w:val="0"/>
      <w:marBottom w:val="0"/>
      <w:divBdr>
        <w:top w:val="none" w:sz="0" w:space="0" w:color="auto"/>
        <w:left w:val="none" w:sz="0" w:space="0" w:color="auto"/>
        <w:bottom w:val="none" w:sz="0" w:space="0" w:color="auto"/>
        <w:right w:val="none" w:sz="0" w:space="0" w:color="auto"/>
      </w:divBdr>
    </w:div>
    <w:div w:id="1304890219">
      <w:bodyDiv w:val="1"/>
      <w:marLeft w:val="0"/>
      <w:marRight w:val="0"/>
      <w:marTop w:val="0"/>
      <w:marBottom w:val="0"/>
      <w:divBdr>
        <w:top w:val="none" w:sz="0" w:space="0" w:color="auto"/>
        <w:left w:val="none" w:sz="0" w:space="0" w:color="auto"/>
        <w:bottom w:val="none" w:sz="0" w:space="0" w:color="auto"/>
        <w:right w:val="none" w:sz="0" w:space="0" w:color="auto"/>
      </w:divBdr>
    </w:div>
    <w:div w:id="1308630886">
      <w:bodyDiv w:val="1"/>
      <w:marLeft w:val="0"/>
      <w:marRight w:val="0"/>
      <w:marTop w:val="0"/>
      <w:marBottom w:val="0"/>
      <w:divBdr>
        <w:top w:val="none" w:sz="0" w:space="0" w:color="auto"/>
        <w:left w:val="none" w:sz="0" w:space="0" w:color="auto"/>
        <w:bottom w:val="none" w:sz="0" w:space="0" w:color="auto"/>
        <w:right w:val="none" w:sz="0" w:space="0" w:color="auto"/>
      </w:divBdr>
    </w:div>
    <w:div w:id="1310208076">
      <w:bodyDiv w:val="1"/>
      <w:marLeft w:val="0"/>
      <w:marRight w:val="0"/>
      <w:marTop w:val="0"/>
      <w:marBottom w:val="0"/>
      <w:divBdr>
        <w:top w:val="none" w:sz="0" w:space="0" w:color="auto"/>
        <w:left w:val="none" w:sz="0" w:space="0" w:color="auto"/>
        <w:bottom w:val="none" w:sz="0" w:space="0" w:color="auto"/>
        <w:right w:val="none" w:sz="0" w:space="0" w:color="auto"/>
      </w:divBdr>
    </w:div>
    <w:div w:id="1311204433">
      <w:bodyDiv w:val="1"/>
      <w:marLeft w:val="0"/>
      <w:marRight w:val="0"/>
      <w:marTop w:val="0"/>
      <w:marBottom w:val="0"/>
      <w:divBdr>
        <w:top w:val="none" w:sz="0" w:space="0" w:color="auto"/>
        <w:left w:val="none" w:sz="0" w:space="0" w:color="auto"/>
        <w:bottom w:val="none" w:sz="0" w:space="0" w:color="auto"/>
        <w:right w:val="none" w:sz="0" w:space="0" w:color="auto"/>
      </w:divBdr>
    </w:div>
    <w:div w:id="1312708501">
      <w:bodyDiv w:val="1"/>
      <w:marLeft w:val="0"/>
      <w:marRight w:val="0"/>
      <w:marTop w:val="0"/>
      <w:marBottom w:val="0"/>
      <w:divBdr>
        <w:top w:val="none" w:sz="0" w:space="0" w:color="auto"/>
        <w:left w:val="none" w:sz="0" w:space="0" w:color="auto"/>
        <w:bottom w:val="none" w:sz="0" w:space="0" w:color="auto"/>
        <w:right w:val="none" w:sz="0" w:space="0" w:color="auto"/>
      </w:divBdr>
    </w:div>
    <w:div w:id="1315648119">
      <w:bodyDiv w:val="1"/>
      <w:marLeft w:val="0"/>
      <w:marRight w:val="0"/>
      <w:marTop w:val="0"/>
      <w:marBottom w:val="0"/>
      <w:divBdr>
        <w:top w:val="none" w:sz="0" w:space="0" w:color="auto"/>
        <w:left w:val="none" w:sz="0" w:space="0" w:color="auto"/>
        <w:bottom w:val="none" w:sz="0" w:space="0" w:color="auto"/>
        <w:right w:val="none" w:sz="0" w:space="0" w:color="auto"/>
      </w:divBdr>
    </w:div>
    <w:div w:id="1315836325">
      <w:bodyDiv w:val="1"/>
      <w:marLeft w:val="0"/>
      <w:marRight w:val="0"/>
      <w:marTop w:val="0"/>
      <w:marBottom w:val="0"/>
      <w:divBdr>
        <w:top w:val="none" w:sz="0" w:space="0" w:color="auto"/>
        <w:left w:val="none" w:sz="0" w:space="0" w:color="auto"/>
        <w:bottom w:val="none" w:sz="0" w:space="0" w:color="auto"/>
        <w:right w:val="none" w:sz="0" w:space="0" w:color="auto"/>
      </w:divBdr>
    </w:div>
    <w:div w:id="1318805814">
      <w:bodyDiv w:val="1"/>
      <w:marLeft w:val="0"/>
      <w:marRight w:val="0"/>
      <w:marTop w:val="0"/>
      <w:marBottom w:val="0"/>
      <w:divBdr>
        <w:top w:val="none" w:sz="0" w:space="0" w:color="auto"/>
        <w:left w:val="none" w:sz="0" w:space="0" w:color="auto"/>
        <w:bottom w:val="none" w:sz="0" w:space="0" w:color="auto"/>
        <w:right w:val="none" w:sz="0" w:space="0" w:color="auto"/>
      </w:divBdr>
    </w:div>
    <w:div w:id="1321542377">
      <w:bodyDiv w:val="1"/>
      <w:marLeft w:val="0"/>
      <w:marRight w:val="0"/>
      <w:marTop w:val="0"/>
      <w:marBottom w:val="0"/>
      <w:divBdr>
        <w:top w:val="none" w:sz="0" w:space="0" w:color="auto"/>
        <w:left w:val="none" w:sz="0" w:space="0" w:color="auto"/>
        <w:bottom w:val="none" w:sz="0" w:space="0" w:color="auto"/>
        <w:right w:val="none" w:sz="0" w:space="0" w:color="auto"/>
      </w:divBdr>
    </w:div>
    <w:div w:id="1321805828">
      <w:bodyDiv w:val="1"/>
      <w:marLeft w:val="0"/>
      <w:marRight w:val="0"/>
      <w:marTop w:val="0"/>
      <w:marBottom w:val="0"/>
      <w:divBdr>
        <w:top w:val="none" w:sz="0" w:space="0" w:color="auto"/>
        <w:left w:val="none" w:sz="0" w:space="0" w:color="auto"/>
        <w:bottom w:val="none" w:sz="0" w:space="0" w:color="auto"/>
        <w:right w:val="none" w:sz="0" w:space="0" w:color="auto"/>
      </w:divBdr>
    </w:div>
    <w:div w:id="1323853949">
      <w:bodyDiv w:val="1"/>
      <w:marLeft w:val="0"/>
      <w:marRight w:val="0"/>
      <w:marTop w:val="0"/>
      <w:marBottom w:val="0"/>
      <w:divBdr>
        <w:top w:val="none" w:sz="0" w:space="0" w:color="auto"/>
        <w:left w:val="none" w:sz="0" w:space="0" w:color="auto"/>
        <w:bottom w:val="none" w:sz="0" w:space="0" w:color="auto"/>
        <w:right w:val="none" w:sz="0" w:space="0" w:color="auto"/>
      </w:divBdr>
    </w:div>
    <w:div w:id="1325011202">
      <w:bodyDiv w:val="1"/>
      <w:marLeft w:val="0"/>
      <w:marRight w:val="0"/>
      <w:marTop w:val="0"/>
      <w:marBottom w:val="0"/>
      <w:divBdr>
        <w:top w:val="none" w:sz="0" w:space="0" w:color="auto"/>
        <w:left w:val="none" w:sz="0" w:space="0" w:color="auto"/>
        <w:bottom w:val="none" w:sz="0" w:space="0" w:color="auto"/>
        <w:right w:val="none" w:sz="0" w:space="0" w:color="auto"/>
      </w:divBdr>
    </w:div>
    <w:div w:id="1326402269">
      <w:bodyDiv w:val="1"/>
      <w:marLeft w:val="0"/>
      <w:marRight w:val="0"/>
      <w:marTop w:val="0"/>
      <w:marBottom w:val="0"/>
      <w:divBdr>
        <w:top w:val="none" w:sz="0" w:space="0" w:color="auto"/>
        <w:left w:val="none" w:sz="0" w:space="0" w:color="auto"/>
        <w:bottom w:val="none" w:sz="0" w:space="0" w:color="auto"/>
        <w:right w:val="none" w:sz="0" w:space="0" w:color="auto"/>
      </w:divBdr>
    </w:div>
    <w:div w:id="1327972620">
      <w:bodyDiv w:val="1"/>
      <w:marLeft w:val="0"/>
      <w:marRight w:val="0"/>
      <w:marTop w:val="0"/>
      <w:marBottom w:val="0"/>
      <w:divBdr>
        <w:top w:val="none" w:sz="0" w:space="0" w:color="auto"/>
        <w:left w:val="none" w:sz="0" w:space="0" w:color="auto"/>
        <w:bottom w:val="none" w:sz="0" w:space="0" w:color="auto"/>
        <w:right w:val="none" w:sz="0" w:space="0" w:color="auto"/>
      </w:divBdr>
    </w:div>
    <w:div w:id="1331760012">
      <w:bodyDiv w:val="1"/>
      <w:marLeft w:val="0"/>
      <w:marRight w:val="0"/>
      <w:marTop w:val="0"/>
      <w:marBottom w:val="0"/>
      <w:divBdr>
        <w:top w:val="none" w:sz="0" w:space="0" w:color="auto"/>
        <w:left w:val="none" w:sz="0" w:space="0" w:color="auto"/>
        <w:bottom w:val="none" w:sz="0" w:space="0" w:color="auto"/>
        <w:right w:val="none" w:sz="0" w:space="0" w:color="auto"/>
      </w:divBdr>
    </w:div>
    <w:div w:id="1333994980">
      <w:bodyDiv w:val="1"/>
      <w:marLeft w:val="0"/>
      <w:marRight w:val="0"/>
      <w:marTop w:val="0"/>
      <w:marBottom w:val="0"/>
      <w:divBdr>
        <w:top w:val="none" w:sz="0" w:space="0" w:color="auto"/>
        <w:left w:val="none" w:sz="0" w:space="0" w:color="auto"/>
        <w:bottom w:val="none" w:sz="0" w:space="0" w:color="auto"/>
        <w:right w:val="none" w:sz="0" w:space="0" w:color="auto"/>
      </w:divBdr>
    </w:div>
    <w:div w:id="1337147943">
      <w:bodyDiv w:val="1"/>
      <w:marLeft w:val="0"/>
      <w:marRight w:val="0"/>
      <w:marTop w:val="0"/>
      <w:marBottom w:val="0"/>
      <w:divBdr>
        <w:top w:val="none" w:sz="0" w:space="0" w:color="auto"/>
        <w:left w:val="none" w:sz="0" w:space="0" w:color="auto"/>
        <w:bottom w:val="none" w:sz="0" w:space="0" w:color="auto"/>
        <w:right w:val="none" w:sz="0" w:space="0" w:color="auto"/>
      </w:divBdr>
    </w:div>
    <w:div w:id="1341199824">
      <w:bodyDiv w:val="1"/>
      <w:marLeft w:val="0"/>
      <w:marRight w:val="0"/>
      <w:marTop w:val="0"/>
      <w:marBottom w:val="0"/>
      <w:divBdr>
        <w:top w:val="none" w:sz="0" w:space="0" w:color="auto"/>
        <w:left w:val="none" w:sz="0" w:space="0" w:color="auto"/>
        <w:bottom w:val="none" w:sz="0" w:space="0" w:color="auto"/>
        <w:right w:val="none" w:sz="0" w:space="0" w:color="auto"/>
      </w:divBdr>
    </w:div>
    <w:div w:id="1341547623">
      <w:bodyDiv w:val="1"/>
      <w:marLeft w:val="0"/>
      <w:marRight w:val="0"/>
      <w:marTop w:val="0"/>
      <w:marBottom w:val="0"/>
      <w:divBdr>
        <w:top w:val="none" w:sz="0" w:space="0" w:color="auto"/>
        <w:left w:val="none" w:sz="0" w:space="0" w:color="auto"/>
        <w:bottom w:val="none" w:sz="0" w:space="0" w:color="auto"/>
        <w:right w:val="none" w:sz="0" w:space="0" w:color="auto"/>
      </w:divBdr>
    </w:div>
    <w:div w:id="1348364631">
      <w:bodyDiv w:val="1"/>
      <w:marLeft w:val="0"/>
      <w:marRight w:val="0"/>
      <w:marTop w:val="0"/>
      <w:marBottom w:val="0"/>
      <w:divBdr>
        <w:top w:val="none" w:sz="0" w:space="0" w:color="auto"/>
        <w:left w:val="none" w:sz="0" w:space="0" w:color="auto"/>
        <w:bottom w:val="none" w:sz="0" w:space="0" w:color="auto"/>
        <w:right w:val="none" w:sz="0" w:space="0" w:color="auto"/>
      </w:divBdr>
    </w:div>
    <w:div w:id="1348480185">
      <w:bodyDiv w:val="1"/>
      <w:marLeft w:val="0"/>
      <w:marRight w:val="0"/>
      <w:marTop w:val="0"/>
      <w:marBottom w:val="0"/>
      <w:divBdr>
        <w:top w:val="none" w:sz="0" w:space="0" w:color="auto"/>
        <w:left w:val="none" w:sz="0" w:space="0" w:color="auto"/>
        <w:bottom w:val="none" w:sz="0" w:space="0" w:color="auto"/>
        <w:right w:val="none" w:sz="0" w:space="0" w:color="auto"/>
      </w:divBdr>
    </w:div>
    <w:div w:id="1353455591">
      <w:bodyDiv w:val="1"/>
      <w:marLeft w:val="0"/>
      <w:marRight w:val="0"/>
      <w:marTop w:val="0"/>
      <w:marBottom w:val="0"/>
      <w:divBdr>
        <w:top w:val="none" w:sz="0" w:space="0" w:color="auto"/>
        <w:left w:val="none" w:sz="0" w:space="0" w:color="auto"/>
        <w:bottom w:val="none" w:sz="0" w:space="0" w:color="auto"/>
        <w:right w:val="none" w:sz="0" w:space="0" w:color="auto"/>
      </w:divBdr>
    </w:div>
    <w:div w:id="1353998661">
      <w:bodyDiv w:val="1"/>
      <w:marLeft w:val="0"/>
      <w:marRight w:val="0"/>
      <w:marTop w:val="0"/>
      <w:marBottom w:val="0"/>
      <w:divBdr>
        <w:top w:val="none" w:sz="0" w:space="0" w:color="auto"/>
        <w:left w:val="none" w:sz="0" w:space="0" w:color="auto"/>
        <w:bottom w:val="none" w:sz="0" w:space="0" w:color="auto"/>
        <w:right w:val="none" w:sz="0" w:space="0" w:color="auto"/>
      </w:divBdr>
    </w:div>
    <w:div w:id="1356806228">
      <w:bodyDiv w:val="1"/>
      <w:marLeft w:val="0"/>
      <w:marRight w:val="0"/>
      <w:marTop w:val="0"/>
      <w:marBottom w:val="0"/>
      <w:divBdr>
        <w:top w:val="none" w:sz="0" w:space="0" w:color="auto"/>
        <w:left w:val="none" w:sz="0" w:space="0" w:color="auto"/>
        <w:bottom w:val="none" w:sz="0" w:space="0" w:color="auto"/>
        <w:right w:val="none" w:sz="0" w:space="0" w:color="auto"/>
      </w:divBdr>
    </w:div>
    <w:div w:id="1359043258">
      <w:bodyDiv w:val="1"/>
      <w:marLeft w:val="0"/>
      <w:marRight w:val="0"/>
      <w:marTop w:val="0"/>
      <w:marBottom w:val="0"/>
      <w:divBdr>
        <w:top w:val="none" w:sz="0" w:space="0" w:color="auto"/>
        <w:left w:val="none" w:sz="0" w:space="0" w:color="auto"/>
        <w:bottom w:val="none" w:sz="0" w:space="0" w:color="auto"/>
        <w:right w:val="none" w:sz="0" w:space="0" w:color="auto"/>
      </w:divBdr>
    </w:div>
    <w:div w:id="1359969159">
      <w:bodyDiv w:val="1"/>
      <w:marLeft w:val="0"/>
      <w:marRight w:val="0"/>
      <w:marTop w:val="0"/>
      <w:marBottom w:val="0"/>
      <w:divBdr>
        <w:top w:val="none" w:sz="0" w:space="0" w:color="auto"/>
        <w:left w:val="none" w:sz="0" w:space="0" w:color="auto"/>
        <w:bottom w:val="none" w:sz="0" w:space="0" w:color="auto"/>
        <w:right w:val="none" w:sz="0" w:space="0" w:color="auto"/>
      </w:divBdr>
    </w:div>
    <w:div w:id="1364094628">
      <w:bodyDiv w:val="1"/>
      <w:marLeft w:val="0"/>
      <w:marRight w:val="0"/>
      <w:marTop w:val="0"/>
      <w:marBottom w:val="0"/>
      <w:divBdr>
        <w:top w:val="none" w:sz="0" w:space="0" w:color="auto"/>
        <w:left w:val="none" w:sz="0" w:space="0" w:color="auto"/>
        <w:bottom w:val="none" w:sz="0" w:space="0" w:color="auto"/>
        <w:right w:val="none" w:sz="0" w:space="0" w:color="auto"/>
      </w:divBdr>
    </w:div>
    <w:div w:id="1366561692">
      <w:bodyDiv w:val="1"/>
      <w:marLeft w:val="0"/>
      <w:marRight w:val="0"/>
      <w:marTop w:val="0"/>
      <w:marBottom w:val="0"/>
      <w:divBdr>
        <w:top w:val="none" w:sz="0" w:space="0" w:color="auto"/>
        <w:left w:val="none" w:sz="0" w:space="0" w:color="auto"/>
        <w:bottom w:val="none" w:sz="0" w:space="0" w:color="auto"/>
        <w:right w:val="none" w:sz="0" w:space="0" w:color="auto"/>
      </w:divBdr>
    </w:div>
    <w:div w:id="1367636315">
      <w:bodyDiv w:val="1"/>
      <w:marLeft w:val="0"/>
      <w:marRight w:val="0"/>
      <w:marTop w:val="0"/>
      <w:marBottom w:val="0"/>
      <w:divBdr>
        <w:top w:val="none" w:sz="0" w:space="0" w:color="auto"/>
        <w:left w:val="none" w:sz="0" w:space="0" w:color="auto"/>
        <w:bottom w:val="none" w:sz="0" w:space="0" w:color="auto"/>
        <w:right w:val="none" w:sz="0" w:space="0" w:color="auto"/>
      </w:divBdr>
    </w:div>
    <w:div w:id="1368677126">
      <w:bodyDiv w:val="1"/>
      <w:marLeft w:val="0"/>
      <w:marRight w:val="0"/>
      <w:marTop w:val="0"/>
      <w:marBottom w:val="0"/>
      <w:divBdr>
        <w:top w:val="none" w:sz="0" w:space="0" w:color="auto"/>
        <w:left w:val="none" w:sz="0" w:space="0" w:color="auto"/>
        <w:bottom w:val="none" w:sz="0" w:space="0" w:color="auto"/>
        <w:right w:val="none" w:sz="0" w:space="0" w:color="auto"/>
      </w:divBdr>
    </w:div>
    <w:div w:id="1370299893">
      <w:bodyDiv w:val="1"/>
      <w:marLeft w:val="0"/>
      <w:marRight w:val="0"/>
      <w:marTop w:val="0"/>
      <w:marBottom w:val="0"/>
      <w:divBdr>
        <w:top w:val="none" w:sz="0" w:space="0" w:color="auto"/>
        <w:left w:val="none" w:sz="0" w:space="0" w:color="auto"/>
        <w:bottom w:val="none" w:sz="0" w:space="0" w:color="auto"/>
        <w:right w:val="none" w:sz="0" w:space="0" w:color="auto"/>
      </w:divBdr>
    </w:div>
    <w:div w:id="1372222780">
      <w:bodyDiv w:val="1"/>
      <w:marLeft w:val="0"/>
      <w:marRight w:val="0"/>
      <w:marTop w:val="0"/>
      <w:marBottom w:val="0"/>
      <w:divBdr>
        <w:top w:val="none" w:sz="0" w:space="0" w:color="auto"/>
        <w:left w:val="none" w:sz="0" w:space="0" w:color="auto"/>
        <w:bottom w:val="none" w:sz="0" w:space="0" w:color="auto"/>
        <w:right w:val="none" w:sz="0" w:space="0" w:color="auto"/>
      </w:divBdr>
    </w:div>
    <w:div w:id="1373117566">
      <w:bodyDiv w:val="1"/>
      <w:marLeft w:val="0"/>
      <w:marRight w:val="0"/>
      <w:marTop w:val="0"/>
      <w:marBottom w:val="0"/>
      <w:divBdr>
        <w:top w:val="none" w:sz="0" w:space="0" w:color="auto"/>
        <w:left w:val="none" w:sz="0" w:space="0" w:color="auto"/>
        <w:bottom w:val="none" w:sz="0" w:space="0" w:color="auto"/>
        <w:right w:val="none" w:sz="0" w:space="0" w:color="auto"/>
      </w:divBdr>
    </w:div>
    <w:div w:id="1374034137">
      <w:bodyDiv w:val="1"/>
      <w:marLeft w:val="0"/>
      <w:marRight w:val="0"/>
      <w:marTop w:val="0"/>
      <w:marBottom w:val="0"/>
      <w:divBdr>
        <w:top w:val="none" w:sz="0" w:space="0" w:color="auto"/>
        <w:left w:val="none" w:sz="0" w:space="0" w:color="auto"/>
        <w:bottom w:val="none" w:sz="0" w:space="0" w:color="auto"/>
        <w:right w:val="none" w:sz="0" w:space="0" w:color="auto"/>
      </w:divBdr>
    </w:div>
    <w:div w:id="1375737071">
      <w:bodyDiv w:val="1"/>
      <w:marLeft w:val="0"/>
      <w:marRight w:val="0"/>
      <w:marTop w:val="0"/>
      <w:marBottom w:val="0"/>
      <w:divBdr>
        <w:top w:val="none" w:sz="0" w:space="0" w:color="auto"/>
        <w:left w:val="none" w:sz="0" w:space="0" w:color="auto"/>
        <w:bottom w:val="none" w:sz="0" w:space="0" w:color="auto"/>
        <w:right w:val="none" w:sz="0" w:space="0" w:color="auto"/>
      </w:divBdr>
    </w:div>
    <w:div w:id="1375809713">
      <w:bodyDiv w:val="1"/>
      <w:marLeft w:val="0"/>
      <w:marRight w:val="0"/>
      <w:marTop w:val="0"/>
      <w:marBottom w:val="0"/>
      <w:divBdr>
        <w:top w:val="none" w:sz="0" w:space="0" w:color="auto"/>
        <w:left w:val="none" w:sz="0" w:space="0" w:color="auto"/>
        <w:bottom w:val="none" w:sz="0" w:space="0" w:color="auto"/>
        <w:right w:val="none" w:sz="0" w:space="0" w:color="auto"/>
      </w:divBdr>
    </w:div>
    <w:div w:id="1375931981">
      <w:bodyDiv w:val="1"/>
      <w:marLeft w:val="0"/>
      <w:marRight w:val="0"/>
      <w:marTop w:val="0"/>
      <w:marBottom w:val="0"/>
      <w:divBdr>
        <w:top w:val="none" w:sz="0" w:space="0" w:color="auto"/>
        <w:left w:val="none" w:sz="0" w:space="0" w:color="auto"/>
        <w:bottom w:val="none" w:sz="0" w:space="0" w:color="auto"/>
        <w:right w:val="none" w:sz="0" w:space="0" w:color="auto"/>
      </w:divBdr>
    </w:div>
    <w:div w:id="1377774293">
      <w:bodyDiv w:val="1"/>
      <w:marLeft w:val="0"/>
      <w:marRight w:val="0"/>
      <w:marTop w:val="0"/>
      <w:marBottom w:val="0"/>
      <w:divBdr>
        <w:top w:val="none" w:sz="0" w:space="0" w:color="auto"/>
        <w:left w:val="none" w:sz="0" w:space="0" w:color="auto"/>
        <w:bottom w:val="none" w:sz="0" w:space="0" w:color="auto"/>
        <w:right w:val="none" w:sz="0" w:space="0" w:color="auto"/>
      </w:divBdr>
    </w:div>
    <w:div w:id="1380784318">
      <w:bodyDiv w:val="1"/>
      <w:marLeft w:val="0"/>
      <w:marRight w:val="0"/>
      <w:marTop w:val="0"/>
      <w:marBottom w:val="0"/>
      <w:divBdr>
        <w:top w:val="none" w:sz="0" w:space="0" w:color="auto"/>
        <w:left w:val="none" w:sz="0" w:space="0" w:color="auto"/>
        <w:bottom w:val="none" w:sz="0" w:space="0" w:color="auto"/>
        <w:right w:val="none" w:sz="0" w:space="0" w:color="auto"/>
      </w:divBdr>
    </w:div>
    <w:div w:id="1383939140">
      <w:bodyDiv w:val="1"/>
      <w:marLeft w:val="0"/>
      <w:marRight w:val="0"/>
      <w:marTop w:val="0"/>
      <w:marBottom w:val="0"/>
      <w:divBdr>
        <w:top w:val="none" w:sz="0" w:space="0" w:color="auto"/>
        <w:left w:val="none" w:sz="0" w:space="0" w:color="auto"/>
        <w:bottom w:val="none" w:sz="0" w:space="0" w:color="auto"/>
        <w:right w:val="none" w:sz="0" w:space="0" w:color="auto"/>
      </w:divBdr>
    </w:div>
    <w:div w:id="1385332594">
      <w:bodyDiv w:val="1"/>
      <w:marLeft w:val="0"/>
      <w:marRight w:val="0"/>
      <w:marTop w:val="0"/>
      <w:marBottom w:val="0"/>
      <w:divBdr>
        <w:top w:val="none" w:sz="0" w:space="0" w:color="auto"/>
        <w:left w:val="none" w:sz="0" w:space="0" w:color="auto"/>
        <w:bottom w:val="none" w:sz="0" w:space="0" w:color="auto"/>
        <w:right w:val="none" w:sz="0" w:space="0" w:color="auto"/>
      </w:divBdr>
    </w:div>
    <w:div w:id="1385644281">
      <w:bodyDiv w:val="1"/>
      <w:marLeft w:val="0"/>
      <w:marRight w:val="0"/>
      <w:marTop w:val="0"/>
      <w:marBottom w:val="0"/>
      <w:divBdr>
        <w:top w:val="none" w:sz="0" w:space="0" w:color="auto"/>
        <w:left w:val="none" w:sz="0" w:space="0" w:color="auto"/>
        <w:bottom w:val="none" w:sz="0" w:space="0" w:color="auto"/>
        <w:right w:val="none" w:sz="0" w:space="0" w:color="auto"/>
      </w:divBdr>
    </w:div>
    <w:div w:id="1387338096">
      <w:bodyDiv w:val="1"/>
      <w:marLeft w:val="0"/>
      <w:marRight w:val="0"/>
      <w:marTop w:val="0"/>
      <w:marBottom w:val="0"/>
      <w:divBdr>
        <w:top w:val="none" w:sz="0" w:space="0" w:color="auto"/>
        <w:left w:val="none" w:sz="0" w:space="0" w:color="auto"/>
        <w:bottom w:val="none" w:sz="0" w:space="0" w:color="auto"/>
        <w:right w:val="none" w:sz="0" w:space="0" w:color="auto"/>
      </w:divBdr>
    </w:div>
    <w:div w:id="1389526002">
      <w:bodyDiv w:val="1"/>
      <w:marLeft w:val="0"/>
      <w:marRight w:val="0"/>
      <w:marTop w:val="0"/>
      <w:marBottom w:val="0"/>
      <w:divBdr>
        <w:top w:val="none" w:sz="0" w:space="0" w:color="auto"/>
        <w:left w:val="none" w:sz="0" w:space="0" w:color="auto"/>
        <w:bottom w:val="none" w:sz="0" w:space="0" w:color="auto"/>
        <w:right w:val="none" w:sz="0" w:space="0" w:color="auto"/>
      </w:divBdr>
    </w:div>
    <w:div w:id="1394432408">
      <w:bodyDiv w:val="1"/>
      <w:marLeft w:val="0"/>
      <w:marRight w:val="0"/>
      <w:marTop w:val="0"/>
      <w:marBottom w:val="0"/>
      <w:divBdr>
        <w:top w:val="none" w:sz="0" w:space="0" w:color="auto"/>
        <w:left w:val="none" w:sz="0" w:space="0" w:color="auto"/>
        <w:bottom w:val="none" w:sz="0" w:space="0" w:color="auto"/>
        <w:right w:val="none" w:sz="0" w:space="0" w:color="auto"/>
      </w:divBdr>
    </w:div>
    <w:div w:id="1396784545">
      <w:bodyDiv w:val="1"/>
      <w:marLeft w:val="0"/>
      <w:marRight w:val="0"/>
      <w:marTop w:val="0"/>
      <w:marBottom w:val="0"/>
      <w:divBdr>
        <w:top w:val="none" w:sz="0" w:space="0" w:color="auto"/>
        <w:left w:val="none" w:sz="0" w:space="0" w:color="auto"/>
        <w:bottom w:val="none" w:sz="0" w:space="0" w:color="auto"/>
        <w:right w:val="none" w:sz="0" w:space="0" w:color="auto"/>
      </w:divBdr>
    </w:div>
    <w:div w:id="1398749032">
      <w:bodyDiv w:val="1"/>
      <w:marLeft w:val="0"/>
      <w:marRight w:val="0"/>
      <w:marTop w:val="0"/>
      <w:marBottom w:val="0"/>
      <w:divBdr>
        <w:top w:val="none" w:sz="0" w:space="0" w:color="auto"/>
        <w:left w:val="none" w:sz="0" w:space="0" w:color="auto"/>
        <w:bottom w:val="none" w:sz="0" w:space="0" w:color="auto"/>
        <w:right w:val="none" w:sz="0" w:space="0" w:color="auto"/>
      </w:divBdr>
    </w:div>
    <w:div w:id="1400135965">
      <w:bodyDiv w:val="1"/>
      <w:marLeft w:val="0"/>
      <w:marRight w:val="0"/>
      <w:marTop w:val="0"/>
      <w:marBottom w:val="0"/>
      <w:divBdr>
        <w:top w:val="none" w:sz="0" w:space="0" w:color="auto"/>
        <w:left w:val="none" w:sz="0" w:space="0" w:color="auto"/>
        <w:bottom w:val="none" w:sz="0" w:space="0" w:color="auto"/>
        <w:right w:val="none" w:sz="0" w:space="0" w:color="auto"/>
      </w:divBdr>
    </w:div>
    <w:div w:id="1401633020">
      <w:bodyDiv w:val="1"/>
      <w:marLeft w:val="0"/>
      <w:marRight w:val="0"/>
      <w:marTop w:val="0"/>
      <w:marBottom w:val="0"/>
      <w:divBdr>
        <w:top w:val="none" w:sz="0" w:space="0" w:color="auto"/>
        <w:left w:val="none" w:sz="0" w:space="0" w:color="auto"/>
        <w:bottom w:val="none" w:sz="0" w:space="0" w:color="auto"/>
        <w:right w:val="none" w:sz="0" w:space="0" w:color="auto"/>
      </w:divBdr>
    </w:div>
    <w:div w:id="1403404713">
      <w:bodyDiv w:val="1"/>
      <w:marLeft w:val="0"/>
      <w:marRight w:val="0"/>
      <w:marTop w:val="0"/>
      <w:marBottom w:val="0"/>
      <w:divBdr>
        <w:top w:val="none" w:sz="0" w:space="0" w:color="auto"/>
        <w:left w:val="none" w:sz="0" w:space="0" w:color="auto"/>
        <w:bottom w:val="none" w:sz="0" w:space="0" w:color="auto"/>
        <w:right w:val="none" w:sz="0" w:space="0" w:color="auto"/>
      </w:divBdr>
      <w:divsChild>
        <w:div w:id="3174887">
          <w:marLeft w:val="0"/>
          <w:marRight w:val="0"/>
          <w:marTop w:val="0"/>
          <w:marBottom w:val="0"/>
          <w:divBdr>
            <w:top w:val="none" w:sz="0" w:space="0" w:color="auto"/>
            <w:left w:val="none" w:sz="0" w:space="0" w:color="auto"/>
            <w:bottom w:val="none" w:sz="0" w:space="0" w:color="auto"/>
            <w:right w:val="none" w:sz="0" w:space="0" w:color="auto"/>
          </w:divBdr>
        </w:div>
        <w:div w:id="348727737">
          <w:marLeft w:val="0"/>
          <w:marRight w:val="0"/>
          <w:marTop w:val="0"/>
          <w:marBottom w:val="0"/>
          <w:divBdr>
            <w:top w:val="none" w:sz="0" w:space="0" w:color="auto"/>
            <w:left w:val="none" w:sz="0" w:space="0" w:color="auto"/>
            <w:bottom w:val="none" w:sz="0" w:space="0" w:color="auto"/>
            <w:right w:val="none" w:sz="0" w:space="0" w:color="auto"/>
          </w:divBdr>
        </w:div>
        <w:div w:id="573516118">
          <w:marLeft w:val="0"/>
          <w:marRight w:val="0"/>
          <w:marTop w:val="0"/>
          <w:marBottom w:val="0"/>
          <w:divBdr>
            <w:top w:val="none" w:sz="0" w:space="0" w:color="auto"/>
            <w:left w:val="none" w:sz="0" w:space="0" w:color="auto"/>
            <w:bottom w:val="none" w:sz="0" w:space="0" w:color="auto"/>
            <w:right w:val="none" w:sz="0" w:space="0" w:color="auto"/>
          </w:divBdr>
        </w:div>
        <w:div w:id="633875133">
          <w:marLeft w:val="0"/>
          <w:marRight w:val="0"/>
          <w:marTop w:val="0"/>
          <w:marBottom w:val="0"/>
          <w:divBdr>
            <w:top w:val="none" w:sz="0" w:space="0" w:color="auto"/>
            <w:left w:val="none" w:sz="0" w:space="0" w:color="auto"/>
            <w:bottom w:val="none" w:sz="0" w:space="0" w:color="auto"/>
            <w:right w:val="none" w:sz="0" w:space="0" w:color="auto"/>
          </w:divBdr>
        </w:div>
        <w:div w:id="697123293">
          <w:marLeft w:val="0"/>
          <w:marRight w:val="0"/>
          <w:marTop w:val="0"/>
          <w:marBottom w:val="0"/>
          <w:divBdr>
            <w:top w:val="none" w:sz="0" w:space="0" w:color="auto"/>
            <w:left w:val="none" w:sz="0" w:space="0" w:color="auto"/>
            <w:bottom w:val="none" w:sz="0" w:space="0" w:color="auto"/>
            <w:right w:val="none" w:sz="0" w:space="0" w:color="auto"/>
          </w:divBdr>
        </w:div>
        <w:div w:id="961299774">
          <w:marLeft w:val="0"/>
          <w:marRight w:val="0"/>
          <w:marTop w:val="0"/>
          <w:marBottom w:val="0"/>
          <w:divBdr>
            <w:top w:val="none" w:sz="0" w:space="0" w:color="auto"/>
            <w:left w:val="none" w:sz="0" w:space="0" w:color="auto"/>
            <w:bottom w:val="none" w:sz="0" w:space="0" w:color="auto"/>
            <w:right w:val="none" w:sz="0" w:space="0" w:color="auto"/>
          </w:divBdr>
        </w:div>
        <w:div w:id="1394541870">
          <w:marLeft w:val="0"/>
          <w:marRight w:val="0"/>
          <w:marTop w:val="0"/>
          <w:marBottom w:val="0"/>
          <w:divBdr>
            <w:top w:val="none" w:sz="0" w:space="0" w:color="auto"/>
            <w:left w:val="none" w:sz="0" w:space="0" w:color="auto"/>
            <w:bottom w:val="none" w:sz="0" w:space="0" w:color="auto"/>
            <w:right w:val="none" w:sz="0" w:space="0" w:color="auto"/>
          </w:divBdr>
        </w:div>
        <w:div w:id="1418408407">
          <w:marLeft w:val="0"/>
          <w:marRight w:val="0"/>
          <w:marTop w:val="0"/>
          <w:marBottom w:val="0"/>
          <w:divBdr>
            <w:top w:val="none" w:sz="0" w:space="0" w:color="auto"/>
            <w:left w:val="none" w:sz="0" w:space="0" w:color="auto"/>
            <w:bottom w:val="none" w:sz="0" w:space="0" w:color="auto"/>
            <w:right w:val="none" w:sz="0" w:space="0" w:color="auto"/>
          </w:divBdr>
        </w:div>
      </w:divsChild>
    </w:div>
    <w:div w:id="1403791805">
      <w:bodyDiv w:val="1"/>
      <w:marLeft w:val="0"/>
      <w:marRight w:val="0"/>
      <w:marTop w:val="0"/>
      <w:marBottom w:val="0"/>
      <w:divBdr>
        <w:top w:val="none" w:sz="0" w:space="0" w:color="auto"/>
        <w:left w:val="none" w:sz="0" w:space="0" w:color="auto"/>
        <w:bottom w:val="none" w:sz="0" w:space="0" w:color="auto"/>
        <w:right w:val="none" w:sz="0" w:space="0" w:color="auto"/>
      </w:divBdr>
      <w:divsChild>
        <w:div w:id="67657308">
          <w:marLeft w:val="0"/>
          <w:marRight w:val="0"/>
          <w:marTop w:val="0"/>
          <w:marBottom w:val="0"/>
          <w:divBdr>
            <w:top w:val="none" w:sz="0" w:space="0" w:color="auto"/>
            <w:left w:val="none" w:sz="0" w:space="0" w:color="auto"/>
            <w:bottom w:val="none" w:sz="0" w:space="0" w:color="auto"/>
            <w:right w:val="none" w:sz="0" w:space="0" w:color="auto"/>
          </w:divBdr>
        </w:div>
        <w:div w:id="102192416">
          <w:marLeft w:val="0"/>
          <w:marRight w:val="0"/>
          <w:marTop w:val="0"/>
          <w:marBottom w:val="0"/>
          <w:divBdr>
            <w:top w:val="none" w:sz="0" w:space="0" w:color="auto"/>
            <w:left w:val="none" w:sz="0" w:space="0" w:color="auto"/>
            <w:bottom w:val="none" w:sz="0" w:space="0" w:color="auto"/>
            <w:right w:val="none" w:sz="0" w:space="0" w:color="auto"/>
          </w:divBdr>
        </w:div>
        <w:div w:id="168447625">
          <w:marLeft w:val="0"/>
          <w:marRight w:val="0"/>
          <w:marTop w:val="0"/>
          <w:marBottom w:val="0"/>
          <w:divBdr>
            <w:top w:val="none" w:sz="0" w:space="0" w:color="auto"/>
            <w:left w:val="none" w:sz="0" w:space="0" w:color="auto"/>
            <w:bottom w:val="none" w:sz="0" w:space="0" w:color="auto"/>
            <w:right w:val="none" w:sz="0" w:space="0" w:color="auto"/>
          </w:divBdr>
        </w:div>
        <w:div w:id="210533059">
          <w:marLeft w:val="0"/>
          <w:marRight w:val="0"/>
          <w:marTop w:val="0"/>
          <w:marBottom w:val="0"/>
          <w:divBdr>
            <w:top w:val="none" w:sz="0" w:space="0" w:color="auto"/>
            <w:left w:val="none" w:sz="0" w:space="0" w:color="auto"/>
            <w:bottom w:val="none" w:sz="0" w:space="0" w:color="auto"/>
            <w:right w:val="none" w:sz="0" w:space="0" w:color="auto"/>
          </w:divBdr>
        </w:div>
        <w:div w:id="235089146">
          <w:marLeft w:val="0"/>
          <w:marRight w:val="0"/>
          <w:marTop w:val="0"/>
          <w:marBottom w:val="0"/>
          <w:divBdr>
            <w:top w:val="none" w:sz="0" w:space="0" w:color="auto"/>
            <w:left w:val="none" w:sz="0" w:space="0" w:color="auto"/>
            <w:bottom w:val="none" w:sz="0" w:space="0" w:color="auto"/>
            <w:right w:val="none" w:sz="0" w:space="0" w:color="auto"/>
          </w:divBdr>
        </w:div>
        <w:div w:id="250625210">
          <w:marLeft w:val="0"/>
          <w:marRight w:val="0"/>
          <w:marTop w:val="0"/>
          <w:marBottom w:val="0"/>
          <w:divBdr>
            <w:top w:val="none" w:sz="0" w:space="0" w:color="auto"/>
            <w:left w:val="none" w:sz="0" w:space="0" w:color="auto"/>
            <w:bottom w:val="none" w:sz="0" w:space="0" w:color="auto"/>
            <w:right w:val="none" w:sz="0" w:space="0" w:color="auto"/>
          </w:divBdr>
        </w:div>
        <w:div w:id="288515171">
          <w:marLeft w:val="0"/>
          <w:marRight w:val="0"/>
          <w:marTop w:val="0"/>
          <w:marBottom w:val="0"/>
          <w:divBdr>
            <w:top w:val="none" w:sz="0" w:space="0" w:color="auto"/>
            <w:left w:val="none" w:sz="0" w:space="0" w:color="auto"/>
            <w:bottom w:val="none" w:sz="0" w:space="0" w:color="auto"/>
            <w:right w:val="none" w:sz="0" w:space="0" w:color="auto"/>
          </w:divBdr>
        </w:div>
        <w:div w:id="372006309">
          <w:marLeft w:val="0"/>
          <w:marRight w:val="0"/>
          <w:marTop w:val="0"/>
          <w:marBottom w:val="0"/>
          <w:divBdr>
            <w:top w:val="none" w:sz="0" w:space="0" w:color="auto"/>
            <w:left w:val="none" w:sz="0" w:space="0" w:color="auto"/>
            <w:bottom w:val="none" w:sz="0" w:space="0" w:color="auto"/>
            <w:right w:val="none" w:sz="0" w:space="0" w:color="auto"/>
          </w:divBdr>
        </w:div>
        <w:div w:id="425807548">
          <w:marLeft w:val="0"/>
          <w:marRight w:val="0"/>
          <w:marTop w:val="0"/>
          <w:marBottom w:val="0"/>
          <w:divBdr>
            <w:top w:val="none" w:sz="0" w:space="0" w:color="auto"/>
            <w:left w:val="none" w:sz="0" w:space="0" w:color="auto"/>
            <w:bottom w:val="none" w:sz="0" w:space="0" w:color="auto"/>
            <w:right w:val="none" w:sz="0" w:space="0" w:color="auto"/>
          </w:divBdr>
        </w:div>
        <w:div w:id="577709964">
          <w:marLeft w:val="0"/>
          <w:marRight w:val="0"/>
          <w:marTop w:val="0"/>
          <w:marBottom w:val="0"/>
          <w:divBdr>
            <w:top w:val="none" w:sz="0" w:space="0" w:color="auto"/>
            <w:left w:val="none" w:sz="0" w:space="0" w:color="auto"/>
            <w:bottom w:val="none" w:sz="0" w:space="0" w:color="auto"/>
            <w:right w:val="none" w:sz="0" w:space="0" w:color="auto"/>
          </w:divBdr>
        </w:div>
        <w:div w:id="721290360">
          <w:marLeft w:val="0"/>
          <w:marRight w:val="0"/>
          <w:marTop w:val="0"/>
          <w:marBottom w:val="0"/>
          <w:divBdr>
            <w:top w:val="none" w:sz="0" w:space="0" w:color="auto"/>
            <w:left w:val="none" w:sz="0" w:space="0" w:color="auto"/>
            <w:bottom w:val="none" w:sz="0" w:space="0" w:color="auto"/>
            <w:right w:val="none" w:sz="0" w:space="0" w:color="auto"/>
          </w:divBdr>
        </w:div>
        <w:div w:id="740760309">
          <w:marLeft w:val="0"/>
          <w:marRight w:val="0"/>
          <w:marTop w:val="0"/>
          <w:marBottom w:val="0"/>
          <w:divBdr>
            <w:top w:val="none" w:sz="0" w:space="0" w:color="auto"/>
            <w:left w:val="none" w:sz="0" w:space="0" w:color="auto"/>
            <w:bottom w:val="none" w:sz="0" w:space="0" w:color="auto"/>
            <w:right w:val="none" w:sz="0" w:space="0" w:color="auto"/>
          </w:divBdr>
        </w:div>
        <w:div w:id="782192596">
          <w:marLeft w:val="0"/>
          <w:marRight w:val="0"/>
          <w:marTop w:val="0"/>
          <w:marBottom w:val="0"/>
          <w:divBdr>
            <w:top w:val="none" w:sz="0" w:space="0" w:color="auto"/>
            <w:left w:val="none" w:sz="0" w:space="0" w:color="auto"/>
            <w:bottom w:val="none" w:sz="0" w:space="0" w:color="auto"/>
            <w:right w:val="none" w:sz="0" w:space="0" w:color="auto"/>
          </w:divBdr>
        </w:div>
        <w:div w:id="885290124">
          <w:marLeft w:val="0"/>
          <w:marRight w:val="0"/>
          <w:marTop w:val="0"/>
          <w:marBottom w:val="0"/>
          <w:divBdr>
            <w:top w:val="none" w:sz="0" w:space="0" w:color="auto"/>
            <w:left w:val="none" w:sz="0" w:space="0" w:color="auto"/>
            <w:bottom w:val="none" w:sz="0" w:space="0" w:color="auto"/>
            <w:right w:val="none" w:sz="0" w:space="0" w:color="auto"/>
          </w:divBdr>
        </w:div>
        <w:div w:id="924191720">
          <w:marLeft w:val="0"/>
          <w:marRight w:val="0"/>
          <w:marTop w:val="0"/>
          <w:marBottom w:val="0"/>
          <w:divBdr>
            <w:top w:val="none" w:sz="0" w:space="0" w:color="auto"/>
            <w:left w:val="none" w:sz="0" w:space="0" w:color="auto"/>
            <w:bottom w:val="none" w:sz="0" w:space="0" w:color="auto"/>
            <w:right w:val="none" w:sz="0" w:space="0" w:color="auto"/>
          </w:divBdr>
        </w:div>
        <w:div w:id="991181664">
          <w:marLeft w:val="0"/>
          <w:marRight w:val="0"/>
          <w:marTop w:val="0"/>
          <w:marBottom w:val="0"/>
          <w:divBdr>
            <w:top w:val="none" w:sz="0" w:space="0" w:color="auto"/>
            <w:left w:val="none" w:sz="0" w:space="0" w:color="auto"/>
            <w:bottom w:val="none" w:sz="0" w:space="0" w:color="auto"/>
            <w:right w:val="none" w:sz="0" w:space="0" w:color="auto"/>
          </w:divBdr>
        </w:div>
        <w:div w:id="1004744900">
          <w:marLeft w:val="0"/>
          <w:marRight w:val="0"/>
          <w:marTop w:val="0"/>
          <w:marBottom w:val="0"/>
          <w:divBdr>
            <w:top w:val="none" w:sz="0" w:space="0" w:color="auto"/>
            <w:left w:val="none" w:sz="0" w:space="0" w:color="auto"/>
            <w:bottom w:val="none" w:sz="0" w:space="0" w:color="auto"/>
            <w:right w:val="none" w:sz="0" w:space="0" w:color="auto"/>
          </w:divBdr>
        </w:div>
        <w:div w:id="1045105259">
          <w:marLeft w:val="0"/>
          <w:marRight w:val="0"/>
          <w:marTop w:val="0"/>
          <w:marBottom w:val="0"/>
          <w:divBdr>
            <w:top w:val="none" w:sz="0" w:space="0" w:color="auto"/>
            <w:left w:val="none" w:sz="0" w:space="0" w:color="auto"/>
            <w:bottom w:val="none" w:sz="0" w:space="0" w:color="auto"/>
            <w:right w:val="none" w:sz="0" w:space="0" w:color="auto"/>
          </w:divBdr>
        </w:div>
        <w:div w:id="1140927475">
          <w:marLeft w:val="0"/>
          <w:marRight w:val="0"/>
          <w:marTop w:val="0"/>
          <w:marBottom w:val="0"/>
          <w:divBdr>
            <w:top w:val="none" w:sz="0" w:space="0" w:color="auto"/>
            <w:left w:val="none" w:sz="0" w:space="0" w:color="auto"/>
            <w:bottom w:val="none" w:sz="0" w:space="0" w:color="auto"/>
            <w:right w:val="none" w:sz="0" w:space="0" w:color="auto"/>
          </w:divBdr>
        </w:div>
        <w:div w:id="1192765373">
          <w:marLeft w:val="0"/>
          <w:marRight w:val="0"/>
          <w:marTop w:val="0"/>
          <w:marBottom w:val="0"/>
          <w:divBdr>
            <w:top w:val="none" w:sz="0" w:space="0" w:color="auto"/>
            <w:left w:val="none" w:sz="0" w:space="0" w:color="auto"/>
            <w:bottom w:val="none" w:sz="0" w:space="0" w:color="auto"/>
            <w:right w:val="none" w:sz="0" w:space="0" w:color="auto"/>
          </w:divBdr>
        </w:div>
        <w:div w:id="1429960248">
          <w:marLeft w:val="0"/>
          <w:marRight w:val="0"/>
          <w:marTop w:val="0"/>
          <w:marBottom w:val="0"/>
          <w:divBdr>
            <w:top w:val="none" w:sz="0" w:space="0" w:color="auto"/>
            <w:left w:val="none" w:sz="0" w:space="0" w:color="auto"/>
            <w:bottom w:val="none" w:sz="0" w:space="0" w:color="auto"/>
            <w:right w:val="none" w:sz="0" w:space="0" w:color="auto"/>
          </w:divBdr>
        </w:div>
        <w:div w:id="1456096082">
          <w:marLeft w:val="0"/>
          <w:marRight w:val="0"/>
          <w:marTop w:val="0"/>
          <w:marBottom w:val="0"/>
          <w:divBdr>
            <w:top w:val="none" w:sz="0" w:space="0" w:color="auto"/>
            <w:left w:val="none" w:sz="0" w:space="0" w:color="auto"/>
            <w:bottom w:val="none" w:sz="0" w:space="0" w:color="auto"/>
            <w:right w:val="none" w:sz="0" w:space="0" w:color="auto"/>
          </w:divBdr>
        </w:div>
        <w:div w:id="1471898409">
          <w:marLeft w:val="0"/>
          <w:marRight w:val="0"/>
          <w:marTop w:val="0"/>
          <w:marBottom w:val="0"/>
          <w:divBdr>
            <w:top w:val="none" w:sz="0" w:space="0" w:color="auto"/>
            <w:left w:val="none" w:sz="0" w:space="0" w:color="auto"/>
            <w:bottom w:val="none" w:sz="0" w:space="0" w:color="auto"/>
            <w:right w:val="none" w:sz="0" w:space="0" w:color="auto"/>
          </w:divBdr>
        </w:div>
        <w:div w:id="1502544793">
          <w:marLeft w:val="0"/>
          <w:marRight w:val="0"/>
          <w:marTop w:val="0"/>
          <w:marBottom w:val="0"/>
          <w:divBdr>
            <w:top w:val="none" w:sz="0" w:space="0" w:color="auto"/>
            <w:left w:val="none" w:sz="0" w:space="0" w:color="auto"/>
            <w:bottom w:val="none" w:sz="0" w:space="0" w:color="auto"/>
            <w:right w:val="none" w:sz="0" w:space="0" w:color="auto"/>
          </w:divBdr>
        </w:div>
        <w:div w:id="1643577714">
          <w:marLeft w:val="0"/>
          <w:marRight w:val="0"/>
          <w:marTop w:val="0"/>
          <w:marBottom w:val="0"/>
          <w:divBdr>
            <w:top w:val="none" w:sz="0" w:space="0" w:color="auto"/>
            <w:left w:val="none" w:sz="0" w:space="0" w:color="auto"/>
            <w:bottom w:val="none" w:sz="0" w:space="0" w:color="auto"/>
            <w:right w:val="none" w:sz="0" w:space="0" w:color="auto"/>
          </w:divBdr>
        </w:div>
        <w:div w:id="1771855699">
          <w:marLeft w:val="0"/>
          <w:marRight w:val="0"/>
          <w:marTop w:val="0"/>
          <w:marBottom w:val="0"/>
          <w:divBdr>
            <w:top w:val="none" w:sz="0" w:space="0" w:color="auto"/>
            <w:left w:val="none" w:sz="0" w:space="0" w:color="auto"/>
            <w:bottom w:val="none" w:sz="0" w:space="0" w:color="auto"/>
            <w:right w:val="none" w:sz="0" w:space="0" w:color="auto"/>
          </w:divBdr>
        </w:div>
        <w:div w:id="1803763370">
          <w:marLeft w:val="0"/>
          <w:marRight w:val="0"/>
          <w:marTop w:val="0"/>
          <w:marBottom w:val="0"/>
          <w:divBdr>
            <w:top w:val="none" w:sz="0" w:space="0" w:color="auto"/>
            <w:left w:val="none" w:sz="0" w:space="0" w:color="auto"/>
            <w:bottom w:val="none" w:sz="0" w:space="0" w:color="auto"/>
            <w:right w:val="none" w:sz="0" w:space="0" w:color="auto"/>
          </w:divBdr>
        </w:div>
      </w:divsChild>
    </w:div>
    <w:div w:id="1404328211">
      <w:bodyDiv w:val="1"/>
      <w:marLeft w:val="0"/>
      <w:marRight w:val="0"/>
      <w:marTop w:val="0"/>
      <w:marBottom w:val="0"/>
      <w:divBdr>
        <w:top w:val="none" w:sz="0" w:space="0" w:color="auto"/>
        <w:left w:val="none" w:sz="0" w:space="0" w:color="auto"/>
        <w:bottom w:val="none" w:sz="0" w:space="0" w:color="auto"/>
        <w:right w:val="none" w:sz="0" w:space="0" w:color="auto"/>
      </w:divBdr>
    </w:div>
    <w:div w:id="1405180954">
      <w:bodyDiv w:val="1"/>
      <w:marLeft w:val="0"/>
      <w:marRight w:val="0"/>
      <w:marTop w:val="0"/>
      <w:marBottom w:val="0"/>
      <w:divBdr>
        <w:top w:val="none" w:sz="0" w:space="0" w:color="auto"/>
        <w:left w:val="none" w:sz="0" w:space="0" w:color="auto"/>
        <w:bottom w:val="none" w:sz="0" w:space="0" w:color="auto"/>
        <w:right w:val="none" w:sz="0" w:space="0" w:color="auto"/>
      </w:divBdr>
    </w:div>
    <w:div w:id="1410153417">
      <w:bodyDiv w:val="1"/>
      <w:marLeft w:val="0"/>
      <w:marRight w:val="0"/>
      <w:marTop w:val="0"/>
      <w:marBottom w:val="0"/>
      <w:divBdr>
        <w:top w:val="none" w:sz="0" w:space="0" w:color="auto"/>
        <w:left w:val="none" w:sz="0" w:space="0" w:color="auto"/>
        <w:bottom w:val="none" w:sz="0" w:space="0" w:color="auto"/>
        <w:right w:val="none" w:sz="0" w:space="0" w:color="auto"/>
      </w:divBdr>
    </w:div>
    <w:div w:id="1419520665">
      <w:bodyDiv w:val="1"/>
      <w:marLeft w:val="0"/>
      <w:marRight w:val="0"/>
      <w:marTop w:val="0"/>
      <w:marBottom w:val="0"/>
      <w:divBdr>
        <w:top w:val="none" w:sz="0" w:space="0" w:color="auto"/>
        <w:left w:val="none" w:sz="0" w:space="0" w:color="auto"/>
        <w:bottom w:val="none" w:sz="0" w:space="0" w:color="auto"/>
        <w:right w:val="none" w:sz="0" w:space="0" w:color="auto"/>
      </w:divBdr>
    </w:div>
    <w:div w:id="1426802518">
      <w:bodyDiv w:val="1"/>
      <w:marLeft w:val="0"/>
      <w:marRight w:val="0"/>
      <w:marTop w:val="0"/>
      <w:marBottom w:val="0"/>
      <w:divBdr>
        <w:top w:val="none" w:sz="0" w:space="0" w:color="auto"/>
        <w:left w:val="none" w:sz="0" w:space="0" w:color="auto"/>
        <w:bottom w:val="none" w:sz="0" w:space="0" w:color="auto"/>
        <w:right w:val="none" w:sz="0" w:space="0" w:color="auto"/>
      </w:divBdr>
    </w:div>
    <w:div w:id="1426875865">
      <w:bodyDiv w:val="1"/>
      <w:marLeft w:val="0"/>
      <w:marRight w:val="0"/>
      <w:marTop w:val="0"/>
      <w:marBottom w:val="0"/>
      <w:divBdr>
        <w:top w:val="none" w:sz="0" w:space="0" w:color="auto"/>
        <w:left w:val="none" w:sz="0" w:space="0" w:color="auto"/>
        <w:bottom w:val="none" w:sz="0" w:space="0" w:color="auto"/>
        <w:right w:val="none" w:sz="0" w:space="0" w:color="auto"/>
      </w:divBdr>
    </w:div>
    <w:div w:id="1428767636">
      <w:bodyDiv w:val="1"/>
      <w:marLeft w:val="0"/>
      <w:marRight w:val="0"/>
      <w:marTop w:val="0"/>
      <w:marBottom w:val="0"/>
      <w:divBdr>
        <w:top w:val="none" w:sz="0" w:space="0" w:color="auto"/>
        <w:left w:val="none" w:sz="0" w:space="0" w:color="auto"/>
        <w:bottom w:val="none" w:sz="0" w:space="0" w:color="auto"/>
        <w:right w:val="none" w:sz="0" w:space="0" w:color="auto"/>
      </w:divBdr>
      <w:divsChild>
        <w:div w:id="197861606">
          <w:marLeft w:val="0"/>
          <w:marRight w:val="0"/>
          <w:marTop w:val="0"/>
          <w:marBottom w:val="0"/>
          <w:divBdr>
            <w:top w:val="none" w:sz="0" w:space="0" w:color="auto"/>
            <w:left w:val="none" w:sz="0" w:space="0" w:color="auto"/>
            <w:bottom w:val="none" w:sz="0" w:space="0" w:color="auto"/>
            <w:right w:val="none" w:sz="0" w:space="0" w:color="auto"/>
          </w:divBdr>
        </w:div>
        <w:div w:id="601954894">
          <w:marLeft w:val="0"/>
          <w:marRight w:val="0"/>
          <w:marTop w:val="0"/>
          <w:marBottom w:val="0"/>
          <w:divBdr>
            <w:top w:val="none" w:sz="0" w:space="0" w:color="auto"/>
            <w:left w:val="none" w:sz="0" w:space="0" w:color="auto"/>
            <w:bottom w:val="none" w:sz="0" w:space="0" w:color="auto"/>
            <w:right w:val="none" w:sz="0" w:space="0" w:color="auto"/>
          </w:divBdr>
        </w:div>
        <w:div w:id="685014777">
          <w:marLeft w:val="0"/>
          <w:marRight w:val="0"/>
          <w:marTop w:val="0"/>
          <w:marBottom w:val="0"/>
          <w:divBdr>
            <w:top w:val="none" w:sz="0" w:space="0" w:color="auto"/>
            <w:left w:val="none" w:sz="0" w:space="0" w:color="auto"/>
            <w:bottom w:val="none" w:sz="0" w:space="0" w:color="auto"/>
            <w:right w:val="none" w:sz="0" w:space="0" w:color="auto"/>
          </w:divBdr>
        </w:div>
        <w:div w:id="815758759">
          <w:marLeft w:val="0"/>
          <w:marRight w:val="0"/>
          <w:marTop w:val="0"/>
          <w:marBottom w:val="0"/>
          <w:divBdr>
            <w:top w:val="none" w:sz="0" w:space="0" w:color="auto"/>
            <w:left w:val="none" w:sz="0" w:space="0" w:color="auto"/>
            <w:bottom w:val="none" w:sz="0" w:space="0" w:color="auto"/>
            <w:right w:val="none" w:sz="0" w:space="0" w:color="auto"/>
          </w:divBdr>
        </w:div>
        <w:div w:id="842663257">
          <w:marLeft w:val="0"/>
          <w:marRight w:val="0"/>
          <w:marTop w:val="0"/>
          <w:marBottom w:val="0"/>
          <w:divBdr>
            <w:top w:val="none" w:sz="0" w:space="0" w:color="auto"/>
            <w:left w:val="none" w:sz="0" w:space="0" w:color="auto"/>
            <w:bottom w:val="none" w:sz="0" w:space="0" w:color="auto"/>
            <w:right w:val="none" w:sz="0" w:space="0" w:color="auto"/>
          </w:divBdr>
        </w:div>
        <w:div w:id="1028071170">
          <w:marLeft w:val="0"/>
          <w:marRight w:val="0"/>
          <w:marTop w:val="0"/>
          <w:marBottom w:val="0"/>
          <w:divBdr>
            <w:top w:val="none" w:sz="0" w:space="0" w:color="auto"/>
            <w:left w:val="none" w:sz="0" w:space="0" w:color="auto"/>
            <w:bottom w:val="none" w:sz="0" w:space="0" w:color="auto"/>
            <w:right w:val="none" w:sz="0" w:space="0" w:color="auto"/>
          </w:divBdr>
        </w:div>
        <w:div w:id="1392730127">
          <w:marLeft w:val="0"/>
          <w:marRight w:val="0"/>
          <w:marTop w:val="0"/>
          <w:marBottom w:val="0"/>
          <w:divBdr>
            <w:top w:val="none" w:sz="0" w:space="0" w:color="auto"/>
            <w:left w:val="none" w:sz="0" w:space="0" w:color="auto"/>
            <w:bottom w:val="none" w:sz="0" w:space="0" w:color="auto"/>
            <w:right w:val="none" w:sz="0" w:space="0" w:color="auto"/>
          </w:divBdr>
        </w:div>
        <w:div w:id="1653368994">
          <w:marLeft w:val="0"/>
          <w:marRight w:val="0"/>
          <w:marTop w:val="0"/>
          <w:marBottom w:val="0"/>
          <w:divBdr>
            <w:top w:val="none" w:sz="0" w:space="0" w:color="auto"/>
            <w:left w:val="none" w:sz="0" w:space="0" w:color="auto"/>
            <w:bottom w:val="none" w:sz="0" w:space="0" w:color="auto"/>
            <w:right w:val="none" w:sz="0" w:space="0" w:color="auto"/>
          </w:divBdr>
        </w:div>
      </w:divsChild>
    </w:div>
    <w:div w:id="1431269739">
      <w:bodyDiv w:val="1"/>
      <w:marLeft w:val="0"/>
      <w:marRight w:val="0"/>
      <w:marTop w:val="0"/>
      <w:marBottom w:val="0"/>
      <w:divBdr>
        <w:top w:val="none" w:sz="0" w:space="0" w:color="auto"/>
        <w:left w:val="none" w:sz="0" w:space="0" w:color="auto"/>
        <w:bottom w:val="none" w:sz="0" w:space="0" w:color="auto"/>
        <w:right w:val="none" w:sz="0" w:space="0" w:color="auto"/>
      </w:divBdr>
    </w:div>
    <w:div w:id="1435204414">
      <w:bodyDiv w:val="1"/>
      <w:marLeft w:val="0"/>
      <w:marRight w:val="0"/>
      <w:marTop w:val="0"/>
      <w:marBottom w:val="0"/>
      <w:divBdr>
        <w:top w:val="none" w:sz="0" w:space="0" w:color="auto"/>
        <w:left w:val="none" w:sz="0" w:space="0" w:color="auto"/>
        <w:bottom w:val="none" w:sz="0" w:space="0" w:color="auto"/>
        <w:right w:val="none" w:sz="0" w:space="0" w:color="auto"/>
      </w:divBdr>
    </w:div>
    <w:div w:id="1439906079">
      <w:bodyDiv w:val="1"/>
      <w:marLeft w:val="0"/>
      <w:marRight w:val="0"/>
      <w:marTop w:val="0"/>
      <w:marBottom w:val="0"/>
      <w:divBdr>
        <w:top w:val="none" w:sz="0" w:space="0" w:color="auto"/>
        <w:left w:val="none" w:sz="0" w:space="0" w:color="auto"/>
        <w:bottom w:val="none" w:sz="0" w:space="0" w:color="auto"/>
        <w:right w:val="none" w:sz="0" w:space="0" w:color="auto"/>
      </w:divBdr>
    </w:div>
    <w:div w:id="1441415378">
      <w:bodyDiv w:val="1"/>
      <w:marLeft w:val="0"/>
      <w:marRight w:val="0"/>
      <w:marTop w:val="0"/>
      <w:marBottom w:val="0"/>
      <w:divBdr>
        <w:top w:val="none" w:sz="0" w:space="0" w:color="auto"/>
        <w:left w:val="none" w:sz="0" w:space="0" w:color="auto"/>
        <w:bottom w:val="none" w:sz="0" w:space="0" w:color="auto"/>
        <w:right w:val="none" w:sz="0" w:space="0" w:color="auto"/>
      </w:divBdr>
    </w:div>
    <w:div w:id="1443766417">
      <w:bodyDiv w:val="1"/>
      <w:marLeft w:val="0"/>
      <w:marRight w:val="0"/>
      <w:marTop w:val="0"/>
      <w:marBottom w:val="0"/>
      <w:divBdr>
        <w:top w:val="none" w:sz="0" w:space="0" w:color="auto"/>
        <w:left w:val="none" w:sz="0" w:space="0" w:color="auto"/>
        <w:bottom w:val="none" w:sz="0" w:space="0" w:color="auto"/>
        <w:right w:val="none" w:sz="0" w:space="0" w:color="auto"/>
      </w:divBdr>
    </w:div>
    <w:div w:id="1446846428">
      <w:bodyDiv w:val="1"/>
      <w:marLeft w:val="0"/>
      <w:marRight w:val="0"/>
      <w:marTop w:val="0"/>
      <w:marBottom w:val="0"/>
      <w:divBdr>
        <w:top w:val="none" w:sz="0" w:space="0" w:color="auto"/>
        <w:left w:val="none" w:sz="0" w:space="0" w:color="auto"/>
        <w:bottom w:val="none" w:sz="0" w:space="0" w:color="auto"/>
        <w:right w:val="none" w:sz="0" w:space="0" w:color="auto"/>
      </w:divBdr>
    </w:div>
    <w:div w:id="1448114041">
      <w:bodyDiv w:val="1"/>
      <w:marLeft w:val="0"/>
      <w:marRight w:val="0"/>
      <w:marTop w:val="0"/>
      <w:marBottom w:val="0"/>
      <w:divBdr>
        <w:top w:val="none" w:sz="0" w:space="0" w:color="auto"/>
        <w:left w:val="none" w:sz="0" w:space="0" w:color="auto"/>
        <w:bottom w:val="none" w:sz="0" w:space="0" w:color="auto"/>
        <w:right w:val="none" w:sz="0" w:space="0" w:color="auto"/>
      </w:divBdr>
    </w:div>
    <w:div w:id="1450082127">
      <w:bodyDiv w:val="1"/>
      <w:marLeft w:val="0"/>
      <w:marRight w:val="0"/>
      <w:marTop w:val="0"/>
      <w:marBottom w:val="0"/>
      <w:divBdr>
        <w:top w:val="none" w:sz="0" w:space="0" w:color="auto"/>
        <w:left w:val="none" w:sz="0" w:space="0" w:color="auto"/>
        <w:bottom w:val="none" w:sz="0" w:space="0" w:color="auto"/>
        <w:right w:val="none" w:sz="0" w:space="0" w:color="auto"/>
      </w:divBdr>
    </w:div>
    <w:div w:id="1451972041">
      <w:bodyDiv w:val="1"/>
      <w:marLeft w:val="0"/>
      <w:marRight w:val="0"/>
      <w:marTop w:val="0"/>
      <w:marBottom w:val="0"/>
      <w:divBdr>
        <w:top w:val="none" w:sz="0" w:space="0" w:color="auto"/>
        <w:left w:val="none" w:sz="0" w:space="0" w:color="auto"/>
        <w:bottom w:val="none" w:sz="0" w:space="0" w:color="auto"/>
        <w:right w:val="none" w:sz="0" w:space="0" w:color="auto"/>
      </w:divBdr>
    </w:div>
    <w:div w:id="1453013995">
      <w:bodyDiv w:val="1"/>
      <w:marLeft w:val="0"/>
      <w:marRight w:val="0"/>
      <w:marTop w:val="0"/>
      <w:marBottom w:val="0"/>
      <w:divBdr>
        <w:top w:val="none" w:sz="0" w:space="0" w:color="auto"/>
        <w:left w:val="none" w:sz="0" w:space="0" w:color="auto"/>
        <w:bottom w:val="none" w:sz="0" w:space="0" w:color="auto"/>
        <w:right w:val="none" w:sz="0" w:space="0" w:color="auto"/>
      </w:divBdr>
    </w:div>
    <w:div w:id="1453594521">
      <w:bodyDiv w:val="1"/>
      <w:marLeft w:val="0"/>
      <w:marRight w:val="0"/>
      <w:marTop w:val="0"/>
      <w:marBottom w:val="0"/>
      <w:divBdr>
        <w:top w:val="none" w:sz="0" w:space="0" w:color="auto"/>
        <w:left w:val="none" w:sz="0" w:space="0" w:color="auto"/>
        <w:bottom w:val="none" w:sz="0" w:space="0" w:color="auto"/>
        <w:right w:val="none" w:sz="0" w:space="0" w:color="auto"/>
      </w:divBdr>
    </w:div>
    <w:div w:id="1456828591">
      <w:bodyDiv w:val="1"/>
      <w:marLeft w:val="0"/>
      <w:marRight w:val="0"/>
      <w:marTop w:val="0"/>
      <w:marBottom w:val="0"/>
      <w:divBdr>
        <w:top w:val="none" w:sz="0" w:space="0" w:color="auto"/>
        <w:left w:val="none" w:sz="0" w:space="0" w:color="auto"/>
        <w:bottom w:val="none" w:sz="0" w:space="0" w:color="auto"/>
        <w:right w:val="none" w:sz="0" w:space="0" w:color="auto"/>
      </w:divBdr>
    </w:div>
    <w:div w:id="1459643962">
      <w:bodyDiv w:val="1"/>
      <w:marLeft w:val="0"/>
      <w:marRight w:val="0"/>
      <w:marTop w:val="0"/>
      <w:marBottom w:val="0"/>
      <w:divBdr>
        <w:top w:val="none" w:sz="0" w:space="0" w:color="auto"/>
        <w:left w:val="none" w:sz="0" w:space="0" w:color="auto"/>
        <w:bottom w:val="none" w:sz="0" w:space="0" w:color="auto"/>
        <w:right w:val="none" w:sz="0" w:space="0" w:color="auto"/>
      </w:divBdr>
    </w:div>
    <w:div w:id="1463496825">
      <w:bodyDiv w:val="1"/>
      <w:marLeft w:val="0"/>
      <w:marRight w:val="0"/>
      <w:marTop w:val="0"/>
      <w:marBottom w:val="0"/>
      <w:divBdr>
        <w:top w:val="none" w:sz="0" w:space="0" w:color="auto"/>
        <w:left w:val="none" w:sz="0" w:space="0" w:color="auto"/>
        <w:bottom w:val="none" w:sz="0" w:space="0" w:color="auto"/>
        <w:right w:val="none" w:sz="0" w:space="0" w:color="auto"/>
      </w:divBdr>
    </w:div>
    <w:div w:id="1474299281">
      <w:bodyDiv w:val="1"/>
      <w:marLeft w:val="0"/>
      <w:marRight w:val="0"/>
      <w:marTop w:val="0"/>
      <w:marBottom w:val="0"/>
      <w:divBdr>
        <w:top w:val="none" w:sz="0" w:space="0" w:color="auto"/>
        <w:left w:val="none" w:sz="0" w:space="0" w:color="auto"/>
        <w:bottom w:val="none" w:sz="0" w:space="0" w:color="auto"/>
        <w:right w:val="none" w:sz="0" w:space="0" w:color="auto"/>
      </w:divBdr>
    </w:div>
    <w:div w:id="1481121118">
      <w:bodyDiv w:val="1"/>
      <w:marLeft w:val="0"/>
      <w:marRight w:val="0"/>
      <w:marTop w:val="0"/>
      <w:marBottom w:val="0"/>
      <w:divBdr>
        <w:top w:val="none" w:sz="0" w:space="0" w:color="auto"/>
        <w:left w:val="none" w:sz="0" w:space="0" w:color="auto"/>
        <w:bottom w:val="none" w:sz="0" w:space="0" w:color="auto"/>
        <w:right w:val="none" w:sz="0" w:space="0" w:color="auto"/>
      </w:divBdr>
    </w:div>
    <w:div w:id="1481534507">
      <w:bodyDiv w:val="1"/>
      <w:marLeft w:val="0"/>
      <w:marRight w:val="0"/>
      <w:marTop w:val="0"/>
      <w:marBottom w:val="0"/>
      <w:divBdr>
        <w:top w:val="none" w:sz="0" w:space="0" w:color="auto"/>
        <w:left w:val="none" w:sz="0" w:space="0" w:color="auto"/>
        <w:bottom w:val="none" w:sz="0" w:space="0" w:color="auto"/>
        <w:right w:val="none" w:sz="0" w:space="0" w:color="auto"/>
      </w:divBdr>
    </w:div>
    <w:div w:id="1481573850">
      <w:bodyDiv w:val="1"/>
      <w:marLeft w:val="0"/>
      <w:marRight w:val="0"/>
      <w:marTop w:val="0"/>
      <w:marBottom w:val="0"/>
      <w:divBdr>
        <w:top w:val="none" w:sz="0" w:space="0" w:color="auto"/>
        <w:left w:val="none" w:sz="0" w:space="0" w:color="auto"/>
        <w:bottom w:val="none" w:sz="0" w:space="0" w:color="auto"/>
        <w:right w:val="none" w:sz="0" w:space="0" w:color="auto"/>
      </w:divBdr>
    </w:div>
    <w:div w:id="1482113172">
      <w:bodyDiv w:val="1"/>
      <w:marLeft w:val="0"/>
      <w:marRight w:val="0"/>
      <w:marTop w:val="0"/>
      <w:marBottom w:val="0"/>
      <w:divBdr>
        <w:top w:val="none" w:sz="0" w:space="0" w:color="auto"/>
        <w:left w:val="none" w:sz="0" w:space="0" w:color="auto"/>
        <w:bottom w:val="none" w:sz="0" w:space="0" w:color="auto"/>
        <w:right w:val="none" w:sz="0" w:space="0" w:color="auto"/>
      </w:divBdr>
    </w:div>
    <w:div w:id="1490898204">
      <w:bodyDiv w:val="1"/>
      <w:marLeft w:val="0"/>
      <w:marRight w:val="0"/>
      <w:marTop w:val="0"/>
      <w:marBottom w:val="0"/>
      <w:divBdr>
        <w:top w:val="none" w:sz="0" w:space="0" w:color="auto"/>
        <w:left w:val="none" w:sz="0" w:space="0" w:color="auto"/>
        <w:bottom w:val="none" w:sz="0" w:space="0" w:color="auto"/>
        <w:right w:val="none" w:sz="0" w:space="0" w:color="auto"/>
      </w:divBdr>
    </w:div>
    <w:div w:id="1495876945">
      <w:bodyDiv w:val="1"/>
      <w:marLeft w:val="0"/>
      <w:marRight w:val="0"/>
      <w:marTop w:val="0"/>
      <w:marBottom w:val="0"/>
      <w:divBdr>
        <w:top w:val="none" w:sz="0" w:space="0" w:color="auto"/>
        <w:left w:val="none" w:sz="0" w:space="0" w:color="auto"/>
        <w:bottom w:val="none" w:sz="0" w:space="0" w:color="auto"/>
        <w:right w:val="none" w:sz="0" w:space="0" w:color="auto"/>
      </w:divBdr>
    </w:div>
    <w:div w:id="1498302175">
      <w:bodyDiv w:val="1"/>
      <w:marLeft w:val="0"/>
      <w:marRight w:val="0"/>
      <w:marTop w:val="0"/>
      <w:marBottom w:val="0"/>
      <w:divBdr>
        <w:top w:val="none" w:sz="0" w:space="0" w:color="auto"/>
        <w:left w:val="none" w:sz="0" w:space="0" w:color="auto"/>
        <w:bottom w:val="none" w:sz="0" w:space="0" w:color="auto"/>
        <w:right w:val="none" w:sz="0" w:space="0" w:color="auto"/>
      </w:divBdr>
    </w:div>
    <w:div w:id="1503012501">
      <w:bodyDiv w:val="1"/>
      <w:marLeft w:val="0"/>
      <w:marRight w:val="0"/>
      <w:marTop w:val="0"/>
      <w:marBottom w:val="0"/>
      <w:divBdr>
        <w:top w:val="none" w:sz="0" w:space="0" w:color="auto"/>
        <w:left w:val="none" w:sz="0" w:space="0" w:color="auto"/>
        <w:bottom w:val="none" w:sz="0" w:space="0" w:color="auto"/>
        <w:right w:val="none" w:sz="0" w:space="0" w:color="auto"/>
      </w:divBdr>
    </w:div>
    <w:div w:id="1503931150">
      <w:bodyDiv w:val="1"/>
      <w:marLeft w:val="0"/>
      <w:marRight w:val="0"/>
      <w:marTop w:val="0"/>
      <w:marBottom w:val="0"/>
      <w:divBdr>
        <w:top w:val="none" w:sz="0" w:space="0" w:color="auto"/>
        <w:left w:val="none" w:sz="0" w:space="0" w:color="auto"/>
        <w:bottom w:val="none" w:sz="0" w:space="0" w:color="auto"/>
        <w:right w:val="none" w:sz="0" w:space="0" w:color="auto"/>
      </w:divBdr>
    </w:div>
    <w:div w:id="1508056217">
      <w:bodyDiv w:val="1"/>
      <w:marLeft w:val="0"/>
      <w:marRight w:val="0"/>
      <w:marTop w:val="0"/>
      <w:marBottom w:val="0"/>
      <w:divBdr>
        <w:top w:val="none" w:sz="0" w:space="0" w:color="auto"/>
        <w:left w:val="none" w:sz="0" w:space="0" w:color="auto"/>
        <w:bottom w:val="none" w:sz="0" w:space="0" w:color="auto"/>
        <w:right w:val="none" w:sz="0" w:space="0" w:color="auto"/>
      </w:divBdr>
    </w:div>
    <w:div w:id="1508984476">
      <w:bodyDiv w:val="1"/>
      <w:marLeft w:val="0"/>
      <w:marRight w:val="0"/>
      <w:marTop w:val="0"/>
      <w:marBottom w:val="0"/>
      <w:divBdr>
        <w:top w:val="none" w:sz="0" w:space="0" w:color="auto"/>
        <w:left w:val="none" w:sz="0" w:space="0" w:color="auto"/>
        <w:bottom w:val="none" w:sz="0" w:space="0" w:color="auto"/>
        <w:right w:val="none" w:sz="0" w:space="0" w:color="auto"/>
      </w:divBdr>
    </w:div>
    <w:div w:id="1512718984">
      <w:bodyDiv w:val="1"/>
      <w:marLeft w:val="0"/>
      <w:marRight w:val="0"/>
      <w:marTop w:val="0"/>
      <w:marBottom w:val="0"/>
      <w:divBdr>
        <w:top w:val="none" w:sz="0" w:space="0" w:color="auto"/>
        <w:left w:val="none" w:sz="0" w:space="0" w:color="auto"/>
        <w:bottom w:val="none" w:sz="0" w:space="0" w:color="auto"/>
        <w:right w:val="none" w:sz="0" w:space="0" w:color="auto"/>
      </w:divBdr>
    </w:div>
    <w:div w:id="1514488634">
      <w:bodyDiv w:val="1"/>
      <w:marLeft w:val="0"/>
      <w:marRight w:val="0"/>
      <w:marTop w:val="0"/>
      <w:marBottom w:val="0"/>
      <w:divBdr>
        <w:top w:val="none" w:sz="0" w:space="0" w:color="auto"/>
        <w:left w:val="none" w:sz="0" w:space="0" w:color="auto"/>
        <w:bottom w:val="none" w:sz="0" w:space="0" w:color="auto"/>
        <w:right w:val="none" w:sz="0" w:space="0" w:color="auto"/>
      </w:divBdr>
      <w:divsChild>
        <w:div w:id="506988560">
          <w:marLeft w:val="0"/>
          <w:marRight w:val="0"/>
          <w:marTop w:val="0"/>
          <w:marBottom w:val="0"/>
          <w:divBdr>
            <w:top w:val="none" w:sz="0" w:space="0" w:color="auto"/>
            <w:left w:val="none" w:sz="0" w:space="0" w:color="auto"/>
            <w:bottom w:val="none" w:sz="0" w:space="0" w:color="auto"/>
            <w:right w:val="none" w:sz="0" w:space="0" w:color="auto"/>
          </w:divBdr>
        </w:div>
        <w:div w:id="1536314172">
          <w:marLeft w:val="0"/>
          <w:marRight w:val="0"/>
          <w:marTop w:val="0"/>
          <w:marBottom w:val="0"/>
          <w:divBdr>
            <w:top w:val="none" w:sz="0" w:space="0" w:color="auto"/>
            <w:left w:val="none" w:sz="0" w:space="0" w:color="auto"/>
            <w:bottom w:val="none" w:sz="0" w:space="0" w:color="auto"/>
            <w:right w:val="none" w:sz="0" w:space="0" w:color="auto"/>
          </w:divBdr>
        </w:div>
        <w:div w:id="1540163874">
          <w:marLeft w:val="0"/>
          <w:marRight w:val="0"/>
          <w:marTop w:val="0"/>
          <w:marBottom w:val="0"/>
          <w:divBdr>
            <w:top w:val="none" w:sz="0" w:space="0" w:color="auto"/>
            <w:left w:val="none" w:sz="0" w:space="0" w:color="auto"/>
            <w:bottom w:val="none" w:sz="0" w:space="0" w:color="auto"/>
            <w:right w:val="none" w:sz="0" w:space="0" w:color="auto"/>
          </w:divBdr>
        </w:div>
        <w:div w:id="1746224294">
          <w:marLeft w:val="0"/>
          <w:marRight w:val="0"/>
          <w:marTop w:val="0"/>
          <w:marBottom w:val="0"/>
          <w:divBdr>
            <w:top w:val="none" w:sz="0" w:space="0" w:color="auto"/>
            <w:left w:val="none" w:sz="0" w:space="0" w:color="auto"/>
            <w:bottom w:val="none" w:sz="0" w:space="0" w:color="auto"/>
            <w:right w:val="none" w:sz="0" w:space="0" w:color="auto"/>
          </w:divBdr>
        </w:div>
      </w:divsChild>
    </w:div>
    <w:div w:id="1516187785">
      <w:bodyDiv w:val="1"/>
      <w:marLeft w:val="0"/>
      <w:marRight w:val="0"/>
      <w:marTop w:val="0"/>
      <w:marBottom w:val="0"/>
      <w:divBdr>
        <w:top w:val="none" w:sz="0" w:space="0" w:color="auto"/>
        <w:left w:val="none" w:sz="0" w:space="0" w:color="auto"/>
        <w:bottom w:val="none" w:sz="0" w:space="0" w:color="auto"/>
        <w:right w:val="none" w:sz="0" w:space="0" w:color="auto"/>
      </w:divBdr>
    </w:div>
    <w:div w:id="1520925518">
      <w:bodyDiv w:val="1"/>
      <w:marLeft w:val="0"/>
      <w:marRight w:val="0"/>
      <w:marTop w:val="0"/>
      <w:marBottom w:val="0"/>
      <w:divBdr>
        <w:top w:val="none" w:sz="0" w:space="0" w:color="auto"/>
        <w:left w:val="none" w:sz="0" w:space="0" w:color="auto"/>
        <w:bottom w:val="none" w:sz="0" w:space="0" w:color="auto"/>
        <w:right w:val="none" w:sz="0" w:space="0" w:color="auto"/>
      </w:divBdr>
    </w:div>
    <w:div w:id="1522669843">
      <w:bodyDiv w:val="1"/>
      <w:marLeft w:val="0"/>
      <w:marRight w:val="0"/>
      <w:marTop w:val="0"/>
      <w:marBottom w:val="0"/>
      <w:divBdr>
        <w:top w:val="none" w:sz="0" w:space="0" w:color="auto"/>
        <w:left w:val="none" w:sz="0" w:space="0" w:color="auto"/>
        <w:bottom w:val="none" w:sz="0" w:space="0" w:color="auto"/>
        <w:right w:val="none" w:sz="0" w:space="0" w:color="auto"/>
      </w:divBdr>
    </w:div>
    <w:div w:id="1525095151">
      <w:bodyDiv w:val="1"/>
      <w:marLeft w:val="0"/>
      <w:marRight w:val="0"/>
      <w:marTop w:val="0"/>
      <w:marBottom w:val="0"/>
      <w:divBdr>
        <w:top w:val="none" w:sz="0" w:space="0" w:color="auto"/>
        <w:left w:val="none" w:sz="0" w:space="0" w:color="auto"/>
        <w:bottom w:val="none" w:sz="0" w:space="0" w:color="auto"/>
        <w:right w:val="none" w:sz="0" w:space="0" w:color="auto"/>
      </w:divBdr>
    </w:div>
    <w:div w:id="1526554706">
      <w:bodyDiv w:val="1"/>
      <w:marLeft w:val="0"/>
      <w:marRight w:val="0"/>
      <w:marTop w:val="0"/>
      <w:marBottom w:val="0"/>
      <w:divBdr>
        <w:top w:val="none" w:sz="0" w:space="0" w:color="auto"/>
        <w:left w:val="none" w:sz="0" w:space="0" w:color="auto"/>
        <w:bottom w:val="none" w:sz="0" w:space="0" w:color="auto"/>
        <w:right w:val="none" w:sz="0" w:space="0" w:color="auto"/>
      </w:divBdr>
    </w:div>
    <w:div w:id="1531652241">
      <w:bodyDiv w:val="1"/>
      <w:marLeft w:val="0"/>
      <w:marRight w:val="0"/>
      <w:marTop w:val="0"/>
      <w:marBottom w:val="0"/>
      <w:divBdr>
        <w:top w:val="none" w:sz="0" w:space="0" w:color="auto"/>
        <w:left w:val="none" w:sz="0" w:space="0" w:color="auto"/>
        <w:bottom w:val="none" w:sz="0" w:space="0" w:color="auto"/>
        <w:right w:val="none" w:sz="0" w:space="0" w:color="auto"/>
      </w:divBdr>
    </w:div>
    <w:div w:id="1533492102">
      <w:bodyDiv w:val="1"/>
      <w:marLeft w:val="0"/>
      <w:marRight w:val="0"/>
      <w:marTop w:val="0"/>
      <w:marBottom w:val="0"/>
      <w:divBdr>
        <w:top w:val="none" w:sz="0" w:space="0" w:color="auto"/>
        <w:left w:val="none" w:sz="0" w:space="0" w:color="auto"/>
        <w:bottom w:val="none" w:sz="0" w:space="0" w:color="auto"/>
        <w:right w:val="none" w:sz="0" w:space="0" w:color="auto"/>
      </w:divBdr>
    </w:div>
    <w:div w:id="1534342966">
      <w:bodyDiv w:val="1"/>
      <w:marLeft w:val="0"/>
      <w:marRight w:val="0"/>
      <w:marTop w:val="0"/>
      <w:marBottom w:val="0"/>
      <w:divBdr>
        <w:top w:val="none" w:sz="0" w:space="0" w:color="auto"/>
        <w:left w:val="none" w:sz="0" w:space="0" w:color="auto"/>
        <w:bottom w:val="none" w:sz="0" w:space="0" w:color="auto"/>
        <w:right w:val="none" w:sz="0" w:space="0" w:color="auto"/>
      </w:divBdr>
    </w:div>
    <w:div w:id="1534688473">
      <w:bodyDiv w:val="1"/>
      <w:marLeft w:val="0"/>
      <w:marRight w:val="0"/>
      <w:marTop w:val="0"/>
      <w:marBottom w:val="0"/>
      <w:divBdr>
        <w:top w:val="none" w:sz="0" w:space="0" w:color="auto"/>
        <w:left w:val="none" w:sz="0" w:space="0" w:color="auto"/>
        <w:bottom w:val="none" w:sz="0" w:space="0" w:color="auto"/>
        <w:right w:val="none" w:sz="0" w:space="0" w:color="auto"/>
      </w:divBdr>
    </w:div>
    <w:div w:id="1535465556">
      <w:bodyDiv w:val="1"/>
      <w:marLeft w:val="0"/>
      <w:marRight w:val="0"/>
      <w:marTop w:val="0"/>
      <w:marBottom w:val="0"/>
      <w:divBdr>
        <w:top w:val="none" w:sz="0" w:space="0" w:color="auto"/>
        <w:left w:val="none" w:sz="0" w:space="0" w:color="auto"/>
        <w:bottom w:val="none" w:sz="0" w:space="0" w:color="auto"/>
        <w:right w:val="none" w:sz="0" w:space="0" w:color="auto"/>
      </w:divBdr>
    </w:div>
    <w:div w:id="1539048623">
      <w:bodyDiv w:val="1"/>
      <w:marLeft w:val="0"/>
      <w:marRight w:val="0"/>
      <w:marTop w:val="0"/>
      <w:marBottom w:val="0"/>
      <w:divBdr>
        <w:top w:val="none" w:sz="0" w:space="0" w:color="auto"/>
        <w:left w:val="none" w:sz="0" w:space="0" w:color="auto"/>
        <w:bottom w:val="none" w:sz="0" w:space="0" w:color="auto"/>
        <w:right w:val="none" w:sz="0" w:space="0" w:color="auto"/>
      </w:divBdr>
    </w:div>
    <w:div w:id="1542010558">
      <w:bodyDiv w:val="1"/>
      <w:marLeft w:val="0"/>
      <w:marRight w:val="0"/>
      <w:marTop w:val="0"/>
      <w:marBottom w:val="0"/>
      <w:divBdr>
        <w:top w:val="none" w:sz="0" w:space="0" w:color="auto"/>
        <w:left w:val="none" w:sz="0" w:space="0" w:color="auto"/>
        <w:bottom w:val="none" w:sz="0" w:space="0" w:color="auto"/>
        <w:right w:val="none" w:sz="0" w:space="0" w:color="auto"/>
      </w:divBdr>
      <w:divsChild>
        <w:div w:id="828594131">
          <w:marLeft w:val="0"/>
          <w:marRight w:val="0"/>
          <w:marTop w:val="0"/>
          <w:marBottom w:val="0"/>
          <w:divBdr>
            <w:top w:val="none" w:sz="0" w:space="0" w:color="auto"/>
            <w:left w:val="none" w:sz="0" w:space="0" w:color="auto"/>
            <w:bottom w:val="none" w:sz="0" w:space="0" w:color="auto"/>
            <w:right w:val="none" w:sz="0" w:space="0" w:color="auto"/>
          </w:divBdr>
        </w:div>
      </w:divsChild>
    </w:div>
    <w:div w:id="1542087050">
      <w:bodyDiv w:val="1"/>
      <w:marLeft w:val="0"/>
      <w:marRight w:val="0"/>
      <w:marTop w:val="0"/>
      <w:marBottom w:val="0"/>
      <w:divBdr>
        <w:top w:val="none" w:sz="0" w:space="0" w:color="auto"/>
        <w:left w:val="none" w:sz="0" w:space="0" w:color="auto"/>
        <w:bottom w:val="none" w:sz="0" w:space="0" w:color="auto"/>
        <w:right w:val="none" w:sz="0" w:space="0" w:color="auto"/>
      </w:divBdr>
    </w:div>
    <w:div w:id="1551720507">
      <w:bodyDiv w:val="1"/>
      <w:marLeft w:val="0"/>
      <w:marRight w:val="0"/>
      <w:marTop w:val="0"/>
      <w:marBottom w:val="0"/>
      <w:divBdr>
        <w:top w:val="none" w:sz="0" w:space="0" w:color="auto"/>
        <w:left w:val="none" w:sz="0" w:space="0" w:color="auto"/>
        <w:bottom w:val="none" w:sz="0" w:space="0" w:color="auto"/>
        <w:right w:val="none" w:sz="0" w:space="0" w:color="auto"/>
      </w:divBdr>
    </w:div>
    <w:div w:id="1551845969">
      <w:bodyDiv w:val="1"/>
      <w:marLeft w:val="0"/>
      <w:marRight w:val="0"/>
      <w:marTop w:val="0"/>
      <w:marBottom w:val="0"/>
      <w:divBdr>
        <w:top w:val="none" w:sz="0" w:space="0" w:color="auto"/>
        <w:left w:val="none" w:sz="0" w:space="0" w:color="auto"/>
        <w:bottom w:val="none" w:sz="0" w:space="0" w:color="auto"/>
        <w:right w:val="none" w:sz="0" w:space="0" w:color="auto"/>
      </w:divBdr>
    </w:div>
    <w:div w:id="1553301254">
      <w:bodyDiv w:val="1"/>
      <w:marLeft w:val="0"/>
      <w:marRight w:val="0"/>
      <w:marTop w:val="0"/>
      <w:marBottom w:val="0"/>
      <w:divBdr>
        <w:top w:val="none" w:sz="0" w:space="0" w:color="auto"/>
        <w:left w:val="none" w:sz="0" w:space="0" w:color="auto"/>
        <w:bottom w:val="none" w:sz="0" w:space="0" w:color="auto"/>
        <w:right w:val="none" w:sz="0" w:space="0" w:color="auto"/>
      </w:divBdr>
    </w:div>
    <w:div w:id="1557887880">
      <w:bodyDiv w:val="1"/>
      <w:marLeft w:val="0"/>
      <w:marRight w:val="0"/>
      <w:marTop w:val="0"/>
      <w:marBottom w:val="0"/>
      <w:divBdr>
        <w:top w:val="none" w:sz="0" w:space="0" w:color="auto"/>
        <w:left w:val="none" w:sz="0" w:space="0" w:color="auto"/>
        <w:bottom w:val="none" w:sz="0" w:space="0" w:color="auto"/>
        <w:right w:val="none" w:sz="0" w:space="0" w:color="auto"/>
      </w:divBdr>
    </w:div>
    <w:div w:id="1559979205">
      <w:bodyDiv w:val="1"/>
      <w:marLeft w:val="0"/>
      <w:marRight w:val="0"/>
      <w:marTop w:val="0"/>
      <w:marBottom w:val="0"/>
      <w:divBdr>
        <w:top w:val="none" w:sz="0" w:space="0" w:color="auto"/>
        <w:left w:val="none" w:sz="0" w:space="0" w:color="auto"/>
        <w:bottom w:val="none" w:sz="0" w:space="0" w:color="auto"/>
        <w:right w:val="none" w:sz="0" w:space="0" w:color="auto"/>
      </w:divBdr>
    </w:div>
    <w:div w:id="1560362458">
      <w:bodyDiv w:val="1"/>
      <w:marLeft w:val="0"/>
      <w:marRight w:val="0"/>
      <w:marTop w:val="0"/>
      <w:marBottom w:val="0"/>
      <w:divBdr>
        <w:top w:val="none" w:sz="0" w:space="0" w:color="auto"/>
        <w:left w:val="none" w:sz="0" w:space="0" w:color="auto"/>
        <w:bottom w:val="none" w:sz="0" w:space="0" w:color="auto"/>
        <w:right w:val="none" w:sz="0" w:space="0" w:color="auto"/>
      </w:divBdr>
    </w:div>
    <w:div w:id="1561213355">
      <w:bodyDiv w:val="1"/>
      <w:marLeft w:val="0"/>
      <w:marRight w:val="0"/>
      <w:marTop w:val="0"/>
      <w:marBottom w:val="0"/>
      <w:divBdr>
        <w:top w:val="none" w:sz="0" w:space="0" w:color="auto"/>
        <w:left w:val="none" w:sz="0" w:space="0" w:color="auto"/>
        <w:bottom w:val="none" w:sz="0" w:space="0" w:color="auto"/>
        <w:right w:val="none" w:sz="0" w:space="0" w:color="auto"/>
      </w:divBdr>
    </w:div>
    <w:div w:id="1562252631">
      <w:bodyDiv w:val="1"/>
      <w:marLeft w:val="0"/>
      <w:marRight w:val="0"/>
      <w:marTop w:val="0"/>
      <w:marBottom w:val="0"/>
      <w:divBdr>
        <w:top w:val="none" w:sz="0" w:space="0" w:color="auto"/>
        <w:left w:val="none" w:sz="0" w:space="0" w:color="auto"/>
        <w:bottom w:val="none" w:sz="0" w:space="0" w:color="auto"/>
        <w:right w:val="none" w:sz="0" w:space="0" w:color="auto"/>
      </w:divBdr>
    </w:div>
    <w:div w:id="1562668245">
      <w:bodyDiv w:val="1"/>
      <w:marLeft w:val="0"/>
      <w:marRight w:val="0"/>
      <w:marTop w:val="0"/>
      <w:marBottom w:val="0"/>
      <w:divBdr>
        <w:top w:val="none" w:sz="0" w:space="0" w:color="auto"/>
        <w:left w:val="none" w:sz="0" w:space="0" w:color="auto"/>
        <w:bottom w:val="none" w:sz="0" w:space="0" w:color="auto"/>
        <w:right w:val="none" w:sz="0" w:space="0" w:color="auto"/>
      </w:divBdr>
    </w:div>
    <w:div w:id="1563053002">
      <w:bodyDiv w:val="1"/>
      <w:marLeft w:val="0"/>
      <w:marRight w:val="0"/>
      <w:marTop w:val="0"/>
      <w:marBottom w:val="0"/>
      <w:divBdr>
        <w:top w:val="none" w:sz="0" w:space="0" w:color="auto"/>
        <w:left w:val="none" w:sz="0" w:space="0" w:color="auto"/>
        <w:bottom w:val="none" w:sz="0" w:space="0" w:color="auto"/>
        <w:right w:val="none" w:sz="0" w:space="0" w:color="auto"/>
      </w:divBdr>
    </w:div>
    <w:div w:id="1563327101">
      <w:bodyDiv w:val="1"/>
      <w:marLeft w:val="0"/>
      <w:marRight w:val="0"/>
      <w:marTop w:val="0"/>
      <w:marBottom w:val="0"/>
      <w:divBdr>
        <w:top w:val="none" w:sz="0" w:space="0" w:color="auto"/>
        <w:left w:val="none" w:sz="0" w:space="0" w:color="auto"/>
        <w:bottom w:val="none" w:sz="0" w:space="0" w:color="auto"/>
        <w:right w:val="none" w:sz="0" w:space="0" w:color="auto"/>
      </w:divBdr>
    </w:div>
    <w:div w:id="1570192880">
      <w:bodyDiv w:val="1"/>
      <w:marLeft w:val="0"/>
      <w:marRight w:val="0"/>
      <w:marTop w:val="0"/>
      <w:marBottom w:val="0"/>
      <w:divBdr>
        <w:top w:val="none" w:sz="0" w:space="0" w:color="auto"/>
        <w:left w:val="none" w:sz="0" w:space="0" w:color="auto"/>
        <w:bottom w:val="none" w:sz="0" w:space="0" w:color="auto"/>
        <w:right w:val="none" w:sz="0" w:space="0" w:color="auto"/>
      </w:divBdr>
      <w:divsChild>
        <w:div w:id="175190489">
          <w:marLeft w:val="0"/>
          <w:marRight w:val="0"/>
          <w:marTop w:val="0"/>
          <w:marBottom w:val="0"/>
          <w:divBdr>
            <w:top w:val="none" w:sz="0" w:space="0" w:color="auto"/>
            <w:left w:val="none" w:sz="0" w:space="0" w:color="auto"/>
            <w:bottom w:val="none" w:sz="0" w:space="0" w:color="auto"/>
            <w:right w:val="none" w:sz="0" w:space="0" w:color="auto"/>
          </w:divBdr>
        </w:div>
        <w:div w:id="1159882779">
          <w:marLeft w:val="0"/>
          <w:marRight w:val="0"/>
          <w:marTop w:val="0"/>
          <w:marBottom w:val="0"/>
          <w:divBdr>
            <w:top w:val="none" w:sz="0" w:space="0" w:color="auto"/>
            <w:left w:val="none" w:sz="0" w:space="0" w:color="auto"/>
            <w:bottom w:val="none" w:sz="0" w:space="0" w:color="auto"/>
            <w:right w:val="none" w:sz="0" w:space="0" w:color="auto"/>
          </w:divBdr>
        </w:div>
        <w:div w:id="1418750425">
          <w:marLeft w:val="0"/>
          <w:marRight w:val="0"/>
          <w:marTop w:val="0"/>
          <w:marBottom w:val="0"/>
          <w:divBdr>
            <w:top w:val="none" w:sz="0" w:space="0" w:color="auto"/>
            <w:left w:val="none" w:sz="0" w:space="0" w:color="auto"/>
            <w:bottom w:val="none" w:sz="0" w:space="0" w:color="auto"/>
            <w:right w:val="none" w:sz="0" w:space="0" w:color="auto"/>
          </w:divBdr>
        </w:div>
        <w:div w:id="1516921554">
          <w:marLeft w:val="0"/>
          <w:marRight w:val="0"/>
          <w:marTop w:val="0"/>
          <w:marBottom w:val="0"/>
          <w:divBdr>
            <w:top w:val="none" w:sz="0" w:space="0" w:color="auto"/>
            <w:left w:val="none" w:sz="0" w:space="0" w:color="auto"/>
            <w:bottom w:val="none" w:sz="0" w:space="0" w:color="auto"/>
            <w:right w:val="none" w:sz="0" w:space="0" w:color="auto"/>
          </w:divBdr>
        </w:div>
      </w:divsChild>
    </w:div>
    <w:div w:id="1574974611">
      <w:bodyDiv w:val="1"/>
      <w:marLeft w:val="0"/>
      <w:marRight w:val="0"/>
      <w:marTop w:val="0"/>
      <w:marBottom w:val="0"/>
      <w:divBdr>
        <w:top w:val="none" w:sz="0" w:space="0" w:color="auto"/>
        <w:left w:val="none" w:sz="0" w:space="0" w:color="auto"/>
        <w:bottom w:val="none" w:sz="0" w:space="0" w:color="auto"/>
        <w:right w:val="none" w:sz="0" w:space="0" w:color="auto"/>
      </w:divBdr>
    </w:div>
    <w:div w:id="1576041489">
      <w:bodyDiv w:val="1"/>
      <w:marLeft w:val="0"/>
      <w:marRight w:val="0"/>
      <w:marTop w:val="0"/>
      <w:marBottom w:val="0"/>
      <w:divBdr>
        <w:top w:val="none" w:sz="0" w:space="0" w:color="auto"/>
        <w:left w:val="none" w:sz="0" w:space="0" w:color="auto"/>
        <w:bottom w:val="none" w:sz="0" w:space="0" w:color="auto"/>
        <w:right w:val="none" w:sz="0" w:space="0" w:color="auto"/>
      </w:divBdr>
    </w:div>
    <w:div w:id="1579367367">
      <w:bodyDiv w:val="1"/>
      <w:marLeft w:val="0"/>
      <w:marRight w:val="0"/>
      <w:marTop w:val="0"/>
      <w:marBottom w:val="0"/>
      <w:divBdr>
        <w:top w:val="none" w:sz="0" w:space="0" w:color="auto"/>
        <w:left w:val="none" w:sz="0" w:space="0" w:color="auto"/>
        <w:bottom w:val="none" w:sz="0" w:space="0" w:color="auto"/>
        <w:right w:val="none" w:sz="0" w:space="0" w:color="auto"/>
      </w:divBdr>
    </w:div>
    <w:div w:id="1580216797">
      <w:bodyDiv w:val="1"/>
      <w:marLeft w:val="0"/>
      <w:marRight w:val="0"/>
      <w:marTop w:val="0"/>
      <w:marBottom w:val="0"/>
      <w:divBdr>
        <w:top w:val="none" w:sz="0" w:space="0" w:color="auto"/>
        <w:left w:val="none" w:sz="0" w:space="0" w:color="auto"/>
        <w:bottom w:val="none" w:sz="0" w:space="0" w:color="auto"/>
        <w:right w:val="none" w:sz="0" w:space="0" w:color="auto"/>
      </w:divBdr>
    </w:div>
    <w:div w:id="1584022259">
      <w:bodyDiv w:val="1"/>
      <w:marLeft w:val="0"/>
      <w:marRight w:val="0"/>
      <w:marTop w:val="0"/>
      <w:marBottom w:val="0"/>
      <w:divBdr>
        <w:top w:val="none" w:sz="0" w:space="0" w:color="auto"/>
        <w:left w:val="none" w:sz="0" w:space="0" w:color="auto"/>
        <w:bottom w:val="none" w:sz="0" w:space="0" w:color="auto"/>
        <w:right w:val="none" w:sz="0" w:space="0" w:color="auto"/>
      </w:divBdr>
    </w:div>
    <w:div w:id="1588885373">
      <w:bodyDiv w:val="1"/>
      <w:marLeft w:val="0"/>
      <w:marRight w:val="0"/>
      <w:marTop w:val="0"/>
      <w:marBottom w:val="0"/>
      <w:divBdr>
        <w:top w:val="none" w:sz="0" w:space="0" w:color="auto"/>
        <w:left w:val="none" w:sz="0" w:space="0" w:color="auto"/>
        <w:bottom w:val="none" w:sz="0" w:space="0" w:color="auto"/>
        <w:right w:val="none" w:sz="0" w:space="0" w:color="auto"/>
      </w:divBdr>
    </w:div>
    <w:div w:id="1589803291">
      <w:bodyDiv w:val="1"/>
      <w:marLeft w:val="0"/>
      <w:marRight w:val="0"/>
      <w:marTop w:val="0"/>
      <w:marBottom w:val="0"/>
      <w:divBdr>
        <w:top w:val="none" w:sz="0" w:space="0" w:color="auto"/>
        <w:left w:val="none" w:sz="0" w:space="0" w:color="auto"/>
        <w:bottom w:val="none" w:sz="0" w:space="0" w:color="auto"/>
        <w:right w:val="none" w:sz="0" w:space="0" w:color="auto"/>
      </w:divBdr>
    </w:div>
    <w:div w:id="1590894199">
      <w:bodyDiv w:val="1"/>
      <w:marLeft w:val="0"/>
      <w:marRight w:val="0"/>
      <w:marTop w:val="0"/>
      <w:marBottom w:val="0"/>
      <w:divBdr>
        <w:top w:val="none" w:sz="0" w:space="0" w:color="auto"/>
        <w:left w:val="none" w:sz="0" w:space="0" w:color="auto"/>
        <w:bottom w:val="none" w:sz="0" w:space="0" w:color="auto"/>
        <w:right w:val="none" w:sz="0" w:space="0" w:color="auto"/>
      </w:divBdr>
    </w:div>
    <w:div w:id="1593467049">
      <w:bodyDiv w:val="1"/>
      <w:marLeft w:val="0"/>
      <w:marRight w:val="0"/>
      <w:marTop w:val="0"/>
      <w:marBottom w:val="0"/>
      <w:divBdr>
        <w:top w:val="none" w:sz="0" w:space="0" w:color="auto"/>
        <w:left w:val="none" w:sz="0" w:space="0" w:color="auto"/>
        <w:bottom w:val="none" w:sz="0" w:space="0" w:color="auto"/>
        <w:right w:val="none" w:sz="0" w:space="0" w:color="auto"/>
      </w:divBdr>
    </w:div>
    <w:div w:id="1595280462">
      <w:bodyDiv w:val="1"/>
      <w:marLeft w:val="0"/>
      <w:marRight w:val="0"/>
      <w:marTop w:val="0"/>
      <w:marBottom w:val="0"/>
      <w:divBdr>
        <w:top w:val="none" w:sz="0" w:space="0" w:color="auto"/>
        <w:left w:val="none" w:sz="0" w:space="0" w:color="auto"/>
        <w:bottom w:val="none" w:sz="0" w:space="0" w:color="auto"/>
        <w:right w:val="none" w:sz="0" w:space="0" w:color="auto"/>
      </w:divBdr>
    </w:div>
    <w:div w:id="1597056786">
      <w:bodyDiv w:val="1"/>
      <w:marLeft w:val="0"/>
      <w:marRight w:val="0"/>
      <w:marTop w:val="0"/>
      <w:marBottom w:val="0"/>
      <w:divBdr>
        <w:top w:val="none" w:sz="0" w:space="0" w:color="auto"/>
        <w:left w:val="none" w:sz="0" w:space="0" w:color="auto"/>
        <w:bottom w:val="none" w:sz="0" w:space="0" w:color="auto"/>
        <w:right w:val="none" w:sz="0" w:space="0" w:color="auto"/>
      </w:divBdr>
    </w:div>
    <w:div w:id="1597981588">
      <w:bodyDiv w:val="1"/>
      <w:marLeft w:val="0"/>
      <w:marRight w:val="0"/>
      <w:marTop w:val="0"/>
      <w:marBottom w:val="0"/>
      <w:divBdr>
        <w:top w:val="none" w:sz="0" w:space="0" w:color="auto"/>
        <w:left w:val="none" w:sz="0" w:space="0" w:color="auto"/>
        <w:bottom w:val="none" w:sz="0" w:space="0" w:color="auto"/>
        <w:right w:val="none" w:sz="0" w:space="0" w:color="auto"/>
      </w:divBdr>
    </w:div>
    <w:div w:id="1599410758">
      <w:bodyDiv w:val="1"/>
      <w:marLeft w:val="0"/>
      <w:marRight w:val="0"/>
      <w:marTop w:val="0"/>
      <w:marBottom w:val="0"/>
      <w:divBdr>
        <w:top w:val="none" w:sz="0" w:space="0" w:color="auto"/>
        <w:left w:val="none" w:sz="0" w:space="0" w:color="auto"/>
        <w:bottom w:val="none" w:sz="0" w:space="0" w:color="auto"/>
        <w:right w:val="none" w:sz="0" w:space="0" w:color="auto"/>
      </w:divBdr>
    </w:div>
    <w:div w:id="1601136643">
      <w:bodyDiv w:val="1"/>
      <w:marLeft w:val="0"/>
      <w:marRight w:val="0"/>
      <w:marTop w:val="0"/>
      <w:marBottom w:val="0"/>
      <w:divBdr>
        <w:top w:val="none" w:sz="0" w:space="0" w:color="auto"/>
        <w:left w:val="none" w:sz="0" w:space="0" w:color="auto"/>
        <w:bottom w:val="none" w:sz="0" w:space="0" w:color="auto"/>
        <w:right w:val="none" w:sz="0" w:space="0" w:color="auto"/>
      </w:divBdr>
    </w:div>
    <w:div w:id="1608582724">
      <w:bodyDiv w:val="1"/>
      <w:marLeft w:val="0"/>
      <w:marRight w:val="0"/>
      <w:marTop w:val="0"/>
      <w:marBottom w:val="0"/>
      <w:divBdr>
        <w:top w:val="none" w:sz="0" w:space="0" w:color="auto"/>
        <w:left w:val="none" w:sz="0" w:space="0" w:color="auto"/>
        <w:bottom w:val="none" w:sz="0" w:space="0" w:color="auto"/>
        <w:right w:val="none" w:sz="0" w:space="0" w:color="auto"/>
      </w:divBdr>
    </w:div>
    <w:div w:id="1609312519">
      <w:bodyDiv w:val="1"/>
      <w:marLeft w:val="0"/>
      <w:marRight w:val="0"/>
      <w:marTop w:val="0"/>
      <w:marBottom w:val="0"/>
      <w:divBdr>
        <w:top w:val="none" w:sz="0" w:space="0" w:color="auto"/>
        <w:left w:val="none" w:sz="0" w:space="0" w:color="auto"/>
        <w:bottom w:val="none" w:sz="0" w:space="0" w:color="auto"/>
        <w:right w:val="none" w:sz="0" w:space="0" w:color="auto"/>
      </w:divBdr>
    </w:div>
    <w:div w:id="1612735678">
      <w:bodyDiv w:val="1"/>
      <w:marLeft w:val="0"/>
      <w:marRight w:val="0"/>
      <w:marTop w:val="0"/>
      <w:marBottom w:val="0"/>
      <w:divBdr>
        <w:top w:val="none" w:sz="0" w:space="0" w:color="auto"/>
        <w:left w:val="none" w:sz="0" w:space="0" w:color="auto"/>
        <w:bottom w:val="none" w:sz="0" w:space="0" w:color="auto"/>
        <w:right w:val="none" w:sz="0" w:space="0" w:color="auto"/>
      </w:divBdr>
    </w:div>
    <w:div w:id="1614286783">
      <w:bodyDiv w:val="1"/>
      <w:marLeft w:val="0"/>
      <w:marRight w:val="0"/>
      <w:marTop w:val="0"/>
      <w:marBottom w:val="0"/>
      <w:divBdr>
        <w:top w:val="none" w:sz="0" w:space="0" w:color="auto"/>
        <w:left w:val="none" w:sz="0" w:space="0" w:color="auto"/>
        <w:bottom w:val="none" w:sz="0" w:space="0" w:color="auto"/>
        <w:right w:val="none" w:sz="0" w:space="0" w:color="auto"/>
      </w:divBdr>
    </w:div>
    <w:div w:id="1617254799">
      <w:bodyDiv w:val="1"/>
      <w:marLeft w:val="0"/>
      <w:marRight w:val="0"/>
      <w:marTop w:val="0"/>
      <w:marBottom w:val="0"/>
      <w:divBdr>
        <w:top w:val="none" w:sz="0" w:space="0" w:color="auto"/>
        <w:left w:val="none" w:sz="0" w:space="0" w:color="auto"/>
        <w:bottom w:val="none" w:sz="0" w:space="0" w:color="auto"/>
        <w:right w:val="none" w:sz="0" w:space="0" w:color="auto"/>
      </w:divBdr>
    </w:div>
    <w:div w:id="1626960820">
      <w:bodyDiv w:val="1"/>
      <w:marLeft w:val="0"/>
      <w:marRight w:val="0"/>
      <w:marTop w:val="0"/>
      <w:marBottom w:val="0"/>
      <w:divBdr>
        <w:top w:val="none" w:sz="0" w:space="0" w:color="auto"/>
        <w:left w:val="none" w:sz="0" w:space="0" w:color="auto"/>
        <w:bottom w:val="none" w:sz="0" w:space="0" w:color="auto"/>
        <w:right w:val="none" w:sz="0" w:space="0" w:color="auto"/>
      </w:divBdr>
    </w:div>
    <w:div w:id="1627858380">
      <w:bodyDiv w:val="1"/>
      <w:marLeft w:val="0"/>
      <w:marRight w:val="0"/>
      <w:marTop w:val="0"/>
      <w:marBottom w:val="0"/>
      <w:divBdr>
        <w:top w:val="none" w:sz="0" w:space="0" w:color="auto"/>
        <w:left w:val="none" w:sz="0" w:space="0" w:color="auto"/>
        <w:bottom w:val="none" w:sz="0" w:space="0" w:color="auto"/>
        <w:right w:val="none" w:sz="0" w:space="0" w:color="auto"/>
      </w:divBdr>
    </w:div>
    <w:div w:id="1628661463">
      <w:bodyDiv w:val="1"/>
      <w:marLeft w:val="0"/>
      <w:marRight w:val="0"/>
      <w:marTop w:val="0"/>
      <w:marBottom w:val="0"/>
      <w:divBdr>
        <w:top w:val="none" w:sz="0" w:space="0" w:color="auto"/>
        <w:left w:val="none" w:sz="0" w:space="0" w:color="auto"/>
        <w:bottom w:val="none" w:sz="0" w:space="0" w:color="auto"/>
        <w:right w:val="none" w:sz="0" w:space="0" w:color="auto"/>
      </w:divBdr>
    </w:div>
    <w:div w:id="1628928951">
      <w:bodyDiv w:val="1"/>
      <w:marLeft w:val="0"/>
      <w:marRight w:val="0"/>
      <w:marTop w:val="0"/>
      <w:marBottom w:val="0"/>
      <w:divBdr>
        <w:top w:val="none" w:sz="0" w:space="0" w:color="auto"/>
        <w:left w:val="none" w:sz="0" w:space="0" w:color="auto"/>
        <w:bottom w:val="none" w:sz="0" w:space="0" w:color="auto"/>
        <w:right w:val="none" w:sz="0" w:space="0" w:color="auto"/>
      </w:divBdr>
    </w:div>
    <w:div w:id="1629893355">
      <w:bodyDiv w:val="1"/>
      <w:marLeft w:val="0"/>
      <w:marRight w:val="0"/>
      <w:marTop w:val="0"/>
      <w:marBottom w:val="0"/>
      <w:divBdr>
        <w:top w:val="none" w:sz="0" w:space="0" w:color="auto"/>
        <w:left w:val="none" w:sz="0" w:space="0" w:color="auto"/>
        <w:bottom w:val="none" w:sz="0" w:space="0" w:color="auto"/>
        <w:right w:val="none" w:sz="0" w:space="0" w:color="auto"/>
      </w:divBdr>
    </w:div>
    <w:div w:id="1629965741">
      <w:bodyDiv w:val="1"/>
      <w:marLeft w:val="0"/>
      <w:marRight w:val="0"/>
      <w:marTop w:val="0"/>
      <w:marBottom w:val="0"/>
      <w:divBdr>
        <w:top w:val="none" w:sz="0" w:space="0" w:color="auto"/>
        <w:left w:val="none" w:sz="0" w:space="0" w:color="auto"/>
        <w:bottom w:val="none" w:sz="0" w:space="0" w:color="auto"/>
        <w:right w:val="none" w:sz="0" w:space="0" w:color="auto"/>
      </w:divBdr>
    </w:div>
    <w:div w:id="1630085958">
      <w:bodyDiv w:val="1"/>
      <w:marLeft w:val="0"/>
      <w:marRight w:val="0"/>
      <w:marTop w:val="0"/>
      <w:marBottom w:val="0"/>
      <w:divBdr>
        <w:top w:val="none" w:sz="0" w:space="0" w:color="auto"/>
        <w:left w:val="none" w:sz="0" w:space="0" w:color="auto"/>
        <w:bottom w:val="none" w:sz="0" w:space="0" w:color="auto"/>
        <w:right w:val="none" w:sz="0" w:space="0" w:color="auto"/>
      </w:divBdr>
    </w:div>
    <w:div w:id="1630739248">
      <w:bodyDiv w:val="1"/>
      <w:marLeft w:val="0"/>
      <w:marRight w:val="0"/>
      <w:marTop w:val="0"/>
      <w:marBottom w:val="0"/>
      <w:divBdr>
        <w:top w:val="none" w:sz="0" w:space="0" w:color="auto"/>
        <w:left w:val="none" w:sz="0" w:space="0" w:color="auto"/>
        <w:bottom w:val="none" w:sz="0" w:space="0" w:color="auto"/>
        <w:right w:val="none" w:sz="0" w:space="0" w:color="auto"/>
      </w:divBdr>
    </w:div>
    <w:div w:id="1630739573">
      <w:bodyDiv w:val="1"/>
      <w:marLeft w:val="0"/>
      <w:marRight w:val="0"/>
      <w:marTop w:val="0"/>
      <w:marBottom w:val="0"/>
      <w:divBdr>
        <w:top w:val="none" w:sz="0" w:space="0" w:color="auto"/>
        <w:left w:val="none" w:sz="0" w:space="0" w:color="auto"/>
        <w:bottom w:val="none" w:sz="0" w:space="0" w:color="auto"/>
        <w:right w:val="none" w:sz="0" w:space="0" w:color="auto"/>
      </w:divBdr>
    </w:div>
    <w:div w:id="1632831156">
      <w:bodyDiv w:val="1"/>
      <w:marLeft w:val="0"/>
      <w:marRight w:val="0"/>
      <w:marTop w:val="0"/>
      <w:marBottom w:val="0"/>
      <w:divBdr>
        <w:top w:val="none" w:sz="0" w:space="0" w:color="auto"/>
        <w:left w:val="none" w:sz="0" w:space="0" w:color="auto"/>
        <w:bottom w:val="none" w:sz="0" w:space="0" w:color="auto"/>
        <w:right w:val="none" w:sz="0" w:space="0" w:color="auto"/>
      </w:divBdr>
    </w:div>
    <w:div w:id="1640839055">
      <w:bodyDiv w:val="1"/>
      <w:marLeft w:val="0"/>
      <w:marRight w:val="0"/>
      <w:marTop w:val="0"/>
      <w:marBottom w:val="0"/>
      <w:divBdr>
        <w:top w:val="none" w:sz="0" w:space="0" w:color="auto"/>
        <w:left w:val="none" w:sz="0" w:space="0" w:color="auto"/>
        <w:bottom w:val="none" w:sz="0" w:space="0" w:color="auto"/>
        <w:right w:val="none" w:sz="0" w:space="0" w:color="auto"/>
      </w:divBdr>
    </w:div>
    <w:div w:id="1641106793">
      <w:bodyDiv w:val="1"/>
      <w:marLeft w:val="0"/>
      <w:marRight w:val="0"/>
      <w:marTop w:val="0"/>
      <w:marBottom w:val="0"/>
      <w:divBdr>
        <w:top w:val="none" w:sz="0" w:space="0" w:color="auto"/>
        <w:left w:val="none" w:sz="0" w:space="0" w:color="auto"/>
        <w:bottom w:val="none" w:sz="0" w:space="0" w:color="auto"/>
        <w:right w:val="none" w:sz="0" w:space="0" w:color="auto"/>
      </w:divBdr>
    </w:div>
    <w:div w:id="1642729148">
      <w:bodyDiv w:val="1"/>
      <w:marLeft w:val="0"/>
      <w:marRight w:val="0"/>
      <w:marTop w:val="0"/>
      <w:marBottom w:val="0"/>
      <w:divBdr>
        <w:top w:val="none" w:sz="0" w:space="0" w:color="auto"/>
        <w:left w:val="none" w:sz="0" w:space="0" w:color="auto"/>
        <w:bottom w:val="none" w:sz="0" w:space="0" w:color="auto"/>
        <w:right w:val="none" w:sz="0" w:space="0" w:color="auto"/>
      </w:divBdr>
    </w:div>
    <w:div w:id="1643851384">
      <w:bodyDiv w:val="1"/>
      <w:marLeft w:val="0"/>
      <w:marRight w:val="0"/>
      <w:marTop w:val="0"/>
      <w:marBottom w:val="0"/>
      <w:divBdr>
        <w:top w:val="none" w:sz="0" w:space="0" w:color="auto"/>
        <w:left w:val="none" w:sz="0" w:space="0" w:color="auto"/>
        <w:bottom w:val="none" w:sz="0" w:space="0" w:color="auto"/>
        <w:right w:val="none" w:sz="0" w:space="0" w:color="auto"/>
      </w:divBdr>
    </w:div>
    <w:div w:id="1645310051">
      <w:bodyDiv w:val="1"/>
      <w:marLeft w:val="0"/>
      <w:marRight w:val="0"/>
      <w:marTop w:val="0"/>
      <w:marBottom w:val="0"/>
      <w:divBdr>
        <w:top w:val="none" w:sz="0" w:space="0" w:color="auto"/>
        <w:left w:val="none" w:sz="0" w:space="0" w:color="auto"/>
        <w:bottom w:val="none" w:sz="0" w:space="0" w:color="auto"/>
        <w:right w:val="none" w:sz="0" w:space="0" w:color="auto"/>
      </w:divBdr>
    </w:div>
    <w:div w:id="1648124009">
      <w:bodyDiv w:val="1"/>
      <w:marLeft w:val="0"/>
      <w:marRight w:val="0"/>
      <w:marTop w:val="0"/>
      <w:marBottom w:val="0"/>
      <w:divBdr>
        <w:top w:val="none" w:sz="0" w:space="0" w:color="auto"/>
        <w:left w:val="none" w:sz="0" w:space="0" w:color="auto"/>
        <w:bottom w:val="none" w:sz="0" w:space="0" w:color="auto"/>
        <w:right w:val="none" w:sz="0" w:space="0" w:color="auto"/>
      </w:divBdr>
    </w:div>
    <w:div w:id="1649092599">
      <w:bodyDiv w:val="1"/>
      <w:marLeft w:val="0"/>
      <w:marRight w:val="0"/>
      <w:marTop w:val="0"/>
      <w:marBottom w:val="0"/>
      <w:divBdr>
        <w:top w:val="none" w:sz="0" w:space="0" w:color="auto"/>
        <w:left w:val="none" w:sz="0" w:space="0" w:color="auto"/>
        <w:bottom w:val="none" w:sz="0" w:space="0" w:color="auto"/>
        <w:right w:val="none" w:sz="0" w:space="0" w:color="auto"/>
      </w:divBdr>
    </w:div>
    <w:div w:id="1649238761">
      <w:bodyDiv w:val="1"/>
      <w:marLeft w:val="0"/>
      <w:marRight w:val="0"/>
      <w:marTop w:val="0"/>
      <w:marBottom w:val="0"/>
      <w:divBdr>
        <w:top w:val="none" w:sz="0" w:space="0" w:color="auto"/>
        <w:left w:val="none" w:sz="0" w:space="0" w:color="auto"/>
        <w:bottom w:val="none" w:sz="0" w:space="0" w:color="auto"/>
        <w:right w:val="none" w:sz="0" w:space="0" w:color="auto"/>
      </w:divBdr>
    </w:div>
    <w:div w:id="1656254737">
      <w:bodyDiv w:val="1"/>
      <w:marLeft w:val="0"/>
      <w:marRight w:val="0"/>
      <w:marTop w:val="0"/>
      <w:marBottom w:val="0"/>
      <w:divBdr>
        <w:top w:val="none" w:sz="0" w:space="0" w:color="auto"/>
        <w:left w:val="none" w:sz="0" w:space="0" w:color="auto"/>
        <w:bottom w:val="none" w:sz="0" w:space="0" w:color="auto"/>
        <w:right w:val="none" w:sz="0" w:space="0" w:color="auto"/>
      </w:divBdr>
    </w:div>
    <w:div w:id="1659262967">
      <w:bodyDiv w:val="1"/>
      <w:marLeft w:val="0"/>
      <w:marRight w:val="0"/>
      <w:marTop w:val="0"/>
      <w:marBottom w:val="0"/>
      <w:divBdr>
        <w:top w:val="none" w:sz="0" w:space="0" w:color="auto"/>
        <w:left w:val="none" w:sz="0" w:space="0" w:color="auto"/>
        <w:bottom w:val="none" w:sz="0" w:space="0" w:color="auto"/>
        <w:right w:val="none" w:sz="0" w:space="0" w:color="auto"/>
      </w:divBdr>
    </w:div>
    <w:div w:id="1659263838">
      <w:bodyDiv w:val="1"/>
      <w:marLeft w:val="0"/>
      <w:marRight w:val="0"/>
      <w:marTop w:val="0"/>
      <w:marBottom w:val="0"/>
      <w:divBdr>
        <w:top w:val="none" w:sz="0" w:space="0" w:color="auto"/>
        <w:left w:val="none" w:sz="0" w:space="0" w:color="auto"/>
        <w:bottom w:val="none" w:sz="0" w:space="0" w:color="auto"/>
        <w:right w:val="none" w:sz="0" w:space="0" w:color="auto"/>
      </w:divBdr>
    </w:div>
    <w:div w:id="1664118276">
      <w:bodyDiv w:val="1"/>
      <w:marLeft w:val="0"/>
      <w:marRight w:val="0"/>
      <w:marTop w:val="0"/>
      <w:marBottom w:val="0"/>
      <w:divBdr>
        <w:top w:val="none" w:sz="0" w:space="0" w:color="auto"/>
        <w:left w:val="none" w:sz="0" w:space="0" w:color="auto"/>
        <w:bottom w:val="none" w:sz="0" w:space="0" w:color="auto"/>
        <w:right w:val="none" w:sz="0" w:space="0" w:color="auto"/>
      </w:divBdr>
    </w:div>
    <w:div w:id="1664698465">
      <w:bodyDiv w:val="1"/>
      <w:marLeft w:val="0"/>
      <w:marRight w:val="0"/>
      <w:marTop w:val="0"/>
      <w:marBottom w:val="0"/>
      <w:divBdr>
        <w:top w:val="none" w:sz="0" w:space="0" w:color="auto"/>
        <w:left w:val="none" w:sz="0" w:space="0" w:color="auto"/>
        <w:bottom w:val="none" w:sz="0" w:space="0" w:color="auto"/>
        <w:right w:val="none" w:sz="0" w:space="0" w:color="auto"/>
      </w:divBdr>
    </w:div>
    <w:div w:id="1665468984">
      <w:bodyDiv w:val="1"/>
      <w:marLeft w:val="0"/>
      <w:marRight w:val="0"/>
      <w:marTop w:val="0"/>
      <w:marBottom w:val="0"/>
      <w:divBdr>
        <w:top w:val="none" w:sz="0" w:space="0" w:color="auto"/>
        <w:left w:val="none" w:sz="0" w:space="0" w:color="auto"/>
        <w:bottom w:val="none" w:sz="0" w:space="0" w:color="auto"/>
        <w:right w:val="none" w:sz="0" w:space="0" w:color="auto"/>
      </w:divBdr>
    </w:div>
    <w:div w:id="1667443475">
      <w:bodyDiv w:val="1"/>
      <w:marLeft w:val="0"/>
      <w:marRight w:val="0"/>
      <w:marTop w:val="0"/>
      <w:marBottom w:val="0"/>
      <w:divBdr>
        <w:top w:val="none" w:sz="0" w:space="0" w:color="auto"/>
        <w:left w:val="none" w:sz="0" w:space="0" w:color="auto"/>
        <w:bottom w:val="none" w:sz="0" w:space="0" w:color="auto"/>
        <w:right w:val="none" w:sz="0" w:space="0" w:color="auto"/>
      </w:divBdr>
    </w:div>
    <w:div w:id="1671256931">
      <w:bodyDiv w:val="1"/>
      <w:marLeft w:val="0"/>
      <w:marRight w:val="0"/>
      <w:marTop w:val="0"/>
      <w:marBottom w:val="0"/>
      <w:divBdr>
        <w:top w:val="none" w:sz="0" w:space="0" w:color="auto"/>
        <w:left w:val="none" w:sz="0" w:space="0" w:color="auto"/>
        <w:bottom w:val="none" w:sz="0" w:space="0" w:color="auto"/>
        <w:right w:val="none" w:sz="0" w:space="0" w:color="auto"/>
      </w:divBdr>
    </w:div>
    <w:div w:id="1673294048">
      <w:bodyDiv w:val="1"/>
      <w:marLeft w:val="0"/>
      <w:marRight w:val="0"/>
      <w:marTop w:val="0"/>
      <w:marBottom w:val="0"/>
      <w:divBdr>
        <w:top w:val="none" w:sz="0" w:space="0" w:color="auto"/>
        <w:left w:val="none" w:sz="0" w:space="0" w:color="auto"/>
        <w:bottom w:val="none" w:sz="0" w:space="0" w:color="auto"/>
        <w:right w:val="none" w:sz="0" w:space="0" w:color="auto"/>
      </w:divBdr>
    </w:div>
    <w:div w:id="1674067107">
      <w:bodyDiv w:val="1"/>
      <w:marLeft w:val="0"/>
      <w:marRight w:val="0"/>
      <w:marTop w:val="0"/>
      <w:marBottom w:val="0"/>
      <w:divBdr>
        <w:top w:val="none" w:sz="0" w:space="0" w:color="auto"/>
        <w:left w:val="none" w:sz="0" w:space="0" w:color="auto"/>
        <w:bottom w:val="none" w:sz="0" w:space="0" w:color="auto"/>
        <w:right w:val="none" w:sz="0" w:space="0" w:color="auto"/>
      </w:divBdr>
    </w:div>
    <w:div w:id="1675646917">
      <w:bodyDiv w:val="1"/>
      <w:marLeft w:val="0"/>
      <w:marRight w:val="0"/>
      <w:marTop w:val="0"/>
      <w:marBottom w:val="0"/>
      <w:divBdr>
        <w:top w:val="none" w:sz="0" w:space="0" w:color="auto"/>
        <w:left w:val="none" w:sz="0" w:space="0" w:color="auto"/>
        <w:bottom w:val="none" w:sz="0" w:space="0" w:color="auto"/>
        <w:right w:val="none" w:sz="0" w:space="0" w:color="auto"/>
      </w:divBdr>
    </w:div>
    <w:div w:id="1676110717">
      <w:bodyDiv w:val="1"/>
      <w:marLeft w:val="0"/>
      <w:marRight w:val="0"/>
      <w:marTop w:val="0"/>
      <w:marBottom w:val="0"/>
      <w:divBdr>
        <w:top w:val="none" w:sz="0" w:space="0" w:color="auto"/>
        <w:left w:val="none" w:sz="0" w:space="0" w:color="auto"/>
        <w:bottom w:val="none" w:sz="0" w:space="0" w:color="auto"/>
        <w:right w:val="none" w:sz="0" w:space="0" w:color="auto"/>
      </w:divBdr>
    </w:div>
    <w:div w:id="1676959652">
      <w:bodyDiv w:val="1"/>
      <w:marLeft w:val="0"/>
      <w:marRight w:val="0"/>
      <w:marTop w:val="0"/>
      <w:marBottom w:val="0"/>
      <w:divBdr>
        <w:top w:val="none" w:sz="0" w:space="0" w:color="auto"/>
        <w:left w:val="none" w:sz="0" w:space="0" w:color="auto"/>
        <w:bottom w:val="none" w:sz="0" w:space="0" w:color="auto"/>
        <w:right w:val="none" w:sz="0" w:space="0" w:color="auto"/>
      </w:divBdr>
    </w:div>
    <w:div w:id="1678655118">
      <w:bodyDiv w:val="1"/>
      <w:marLeft w:val="0"/>
      <w:marRight w:val="0"/>
      <w:marTop w:val="0"/>
      <w:marBottom w:val="0"/>
      <w:divBdr>
        <w:top w:val="none" w:sz="0" w:space="0" w:color="auto"/>
        <w:left w:val="none" w:sz="0" w:space="0" w:color="auto"/>
        <w:bottom w:val="none" w:sz="0" w:space="0" w:color="auto"/>
        <w:right w:val="none" w:sz="0" w:space="0" w:color="auto"/>
      </w:divBdr>
    </w:div>
    <w:div w:id="1681272574">
      <w:bodyDiv w:val="1"/>
      <w:marLeft w:val="0"/>
      <w:marRight w:val="0"/>
      <w:marTop w:val="0"/>
      <w:marBottom w:val="0"/>
      <w:divBdr>
        <w:top w:val="none" w:sz="0" w:space="0" w:color="auto"/>
        <w:left w:val="none" w:sz="0" w:space="0" w:color="auto"/>
        <w:bottom w:val="none" w:sz="0" w:space="0" w:color="auto"/>
        <w:right w:val="none" w:sz="0" w:space="0" w:color="auto"/>
      </w:divBdr>
    </w:div>
    <w:div w:id="1682274004">
      <w:bodyDiv w:val="1"/>
      <w:marLeft w:val="0"/>
      <w:marRight w:val="0"/>
      <w:marTop w:val="0"/>
      <w:marBottom w:val="0"/>
      <w:divBdr>
        <w:top w:val="none" w:sz="0" w:space="0" w:color="auto"/>
        <w:left w:val="none" w:sz="0" w:space="0" w:color="auto"/>
        <w:bottom w:val="none" w:sz="0" w:space="0" w:color="auto"/>
        <w:right w:val="none" w:sz="0" w:space="0" w:color="auto"/>
      </w:divBdr>
    </w:div>
    <w:div w:id="1683624524">
      <w:bodyDiv w:val="1"/>
      <w:marLeft w:val="0"/>
      <w:marRight w:val="0"/>
      <w:marTop w:val="0"/>
      <w:marBottom w:val="0"/>
      <w:divBdr>
        <w:top w:val="none" w:sz="0" w:space="0" w:color="auto"/>
        <w:left w:val="none" w:sz="0" w:space="0" w:color="auto"/>
        <w:bottom w:val="none" w:sz="0" w:space="0" w:color="auto"/>
        <w:right w:val="none" w:sz="0" w:space="0" w:color="auto"/>
      </w:divBdr>
    </w:div>
    <w:div w:id="1683706961">
      <w:bodyDiv w:val="1"/>
      <w:marLeft w:val="0"/>
      <w:marRight w:val="0"/>
      <w:marTop w:val="0"/>
      <w:marBottom w:val="0"/>
      <w:divBdr>
        <w:top w:val="none" w:sz="0" w:space="0" w:color="auto"/>
        <w:left w:val="none" w:sz="0" w:space="0" w:color="auto"/>
        <w:bottom w:val="none" w:sz="0" w:space="0" w:color="auto"/>
        <w:right w:val="none" w:sz="0" w:space="0" w:color="auto"/>
      </w:divBdr>
      <w:divsChild>
        <w:div w:id="72747258">
          <w:marLeft w:val="0"/>
          <w:marRight w:val="0"/>
          <w:marTop w:val="0"/>
          <w:marBottom w:val="0"/>
          <w:divBdr>
            <w:top w:val="none" w:sz="0" w:space="0" w:color="auto"/>
            <w:left w:val="none" w:sz="0" w:space="0" w:color="auto"/>
            <w:bottom w:val="none" w:sz="0" w:space="0" w:color="auto"/>
            <w:right w:val="none" w:sz="0" w:space="0" w:color="auto"/>
          </w:divBdr>
        </w:div>
        <w:div w:id="242372553">
          <w:marLeft w:val="0"/>
          <w:marRight w:val="0"/>
          <w:marTop w:val="0"/>
          <w:marBottom w:val="0"/>
          <w:divBdr>
            <w:top w:val="none" w:sz="0" w:space="0" w:color="auto"/>
            <w:left w:val="none" w:sz="0" w:space="0" w:color="auto"/>
            <w:bottom w:val="none" w:sz="0" w:space="0" w:color="auto"/>
            <w:right w:val="none" w:sz="0" w:space="0" w:color="auto"/>
          </w:divBdr>
        </w:div>
        <w:div w:id="294070984">
          <w:marLeft w:val="0"/>
          <w:marRight w:val="0"/>
          <w:marTop w:val="0"/>
          <w:marBottom w:val="0"/>
          <w:divBdr>
            <w:top w:val="none" w:sz="0" w:space="0" w:color="auto"/>
            <w:left w:val="none" w:sz="0" w:space="0" w:color="auto"/>
            <w:bottom w:val="none" w:sz="0" w:space="0" w:color="auto"/>
            <w:right w:val="none" w:sz="0" w:space="0" w:color="auto"/>
          </w:divBdr>
        </w:div>
        <w:div w:id="405422539">
          <w:marLeft w:val="0"/>
          <w:marRight w:val="0"/>
          <w:marTop w:val="0"/>
          <w:marBottom w:val="0"/>
          <w:divBdr>
            <w:top w:val="none" w:sz="0" w:space="0" w:color="auto"/>
            <w:left w:val="none" w:sz="0" w:space="0" w:color="auto"/>
            <w:bottom w:val="none" w:sz="0" w:space="0" w:color="auto"/>
            <w:right w:val="none" w:sz="0" w:space="0" w:color="auto"/>
          </w:divBdr>
        </w:div>
        <w:div w:id="425350075">
          <w:marLeft w:val="0"/>
          <w:marRight w:val="0"/>
          <w:marTop w:val="0"/>
          <w:marBottom w:val="0"/>
          <w:divBdr>
            <w:top w:val="none" w:sz="0" w:space="0" w:color="auto"/>
            <w:left w:val="none" w:sz="0" w:space="0" w:color="auto"/>
            <w:bottom w:val="none" w:sz="0" w:space="0" w:color="auto"/>
            <w:right w:val="none" w:sz="0" w:space="0" w:color="auto"/>
          </w:divBdr>
        </w:div>
        <w:div w:id="602882082">
          <w:marLeft w:val="0"/>
          <w:marRight w:val="0"/>
          <w:marTop w:val="0"/>
          <w:marBottom w:val="0"/>
          <w:divBdr>
            <w:top w:val="none" w:sz="0" w:space="0" w:color="auto"/>
            <w:left w:val="none" w:sz="0" w:space="0" w:color="auto"/>
            <w:bottom w:val="none" w:sz="0" w:space="0" w:color="auto"/>
            <w:right w:val="none" w:sz="0" w:space="0" w:color="auto"/>
          </w:divBdr>
        </w:div>
        <w:div w:id="1289579915">
          <w:marLeft w:val="0"/>
          <w:marRight w:val="0"/>
          <w:marTop w:val="0"/>
          <w:marBottom w:val="0"/>
          <w:divBdr>
            <w:top w:val="none" w:sz="0" w:space="0" w:color="auto"/>
            <w:left w:val="none" w:sz="0" w:space="0" w:color="auto"/>
            <w:bottom w:val="none" w:sz="0" w:space="0" w:color="auto"/>
            <w:right w:val="none" w:sz="0" w:space="0" w:color="auto"/>
          </w:divBdr>
        </w:div>
        <w:div w:id="1290280282">
          <w:marLeft w:val="0"/>
          <w:marRight w:val="0"/>
          <w:marTop w:val="0"/>
          <w:marBottom w:val="0"/>
          <w:divBdr>
            <w:top w:val="none" w:sz="0" w:space="0" w:color="auto"/>
            <w:left w:val="none" w:sz="0" w:space="0" w:color="auto"/>
            <w:bottom w:val="none" w:sz="0" w:space="0" w:color="auto"/>
            <w:right w:val="none" w:sz="0" w:space="0" w:color="auto"/>
          </w:divBdr>
        </w:div>
        <w:div w:id="1317303027">
          <w:marLeft w:val="0"/>
          <w:marRight w:val="0"/>
          <w:marTop w:val="0"/>
          <w:marBottom w:val="0"/>
          <w:divBdr>
            <w:top w:val="none" w:sz="0" w:space="0" w:color="auto"/>
            <w:left w:val="none" w:sz="0" w:space="0" w:color="auto"/>
            <w:bottom w:val="none" w:sz="0" w:space="0" w:color="auto"/>
            <w:right w:val="none" w:sz="0" w:space="0" w:color="auto"/>
          </w:divBdr>
        </w:div>
        <w:div w:id="1591426144">
          <w:marLeft w:val="0"/>
          <w:marRight w:val="0"/>
          <w:marTop w:val="0"/>
          <w:marBottom w:val="0"/>
          <w:divBdr>
            <w:top w:val="none" w:sz="0" w:space="0" w:color="auto"/>
            <w:left w:val="none" w:sz="0" w:space="0" w:color="auto"/>
            <w:bottom w:val="none" w:sz="0" w:space="0" w:color="auto"/>
            <w:right w:val="none" w:sz="0" w:space="0" w:color="auto"/>
          </w:divBdr>
        </w:div>
        <w:div w:id="1835487398">
          <w:marLeft w:val="0"/>
          <w:marRight w:val="0"/>
          <w:marTop w:val="0"/>
          <w:marBottom w:val="0"/>
          <w:divBdr>
            <w:top w:val="none" w:sz="0" w:space="0" w:color="auto"/>
            <w:left w:val="none" w:sz="0" w:space="0" w:color="auto"/>
            <w:bottom w:val="none" w:sz="0" w:space="0" w:color="auto"/>
            <w:right w:val="none" w:sz="0" w:space="0" w:color="auto"/>
          </w:divBdr>
        </w:div>
      </w:divsChild>
    </w:div>
    <w:div w:id="1686979553">
      <w:bodyDiv w:val="1"/>
      <w:marLeft w:val="0"/>
      <w:marRight w:val="0"/>
      <w:marTop w:val="0"/>
      <w:marBottom w:val="0"/>
      <w:divBdr>
        <w:top w:val="none" w:sz="0" w:space="0" w:color="auto"/>
        <w:left w:val="none" w:sz="0" w:space="0" w:color="auto"/>
        <w:bottom w:val="none" w:sz="0" w:space="0" w:color="auto"/>
        <w:right w:val="none" w:sz="0" w:space="0" w:color="auto"/>
      </w:divBdr>
    </w:div>
    <w:div w:id="1688557900">
      <w:bodyDiv w:val="1"/>
      <w:marLeft w:val="0"/>
      <w:marRight w:val="0"/>
      <w:marTop w:val="0"/>
      <w:marBottom w:val="0"/>
      <w:divBdr>
        <w:top w:val="none" w:sz="0" w:space="0" w:color="auto"/>
        <w:left w:val="none" w:sz="0" w:space="0" w:color="auto"/>
        <w:bottom w:val="none" w:sz="0" w:space="0" w:color="auto"/>
        <w:right w:val="none" w:sz="0" w:space="0" w:color="auto"/>
      </w:divBdr>
    </w:div>
    <w:div w:id="1690183054">
      <w:bodyDiv w:val="1"/>
      <w:marLeft w:val="0"/>
      <w:marRight w:val="0"/>
      <w:marTop w:val="0"/>
      <w:marBottom w:val="0"/>
      <w:divBdr>
        <w:top w:val="none" w:sz="0" w:space="0" w:color="auto"/>
        <w:left w:val="none" w:sz="0" w:space="0" w:color="auto"/>
        <w:bottom w:val="none" w:sz="0" w:space="0" w:color="auto"/>
        <w:right w:val="none" w:sz="0" w:space="0" w:color="auto"/>
      </w:divBdr>
    </w:div>
    <w:div w:id="1692299848">
      <w:bodyDiv w:val="1"/>
      <w:marLeft w:val="0"/>
      <w:marRight w:val="0"/>
      <w:marTop w:val="0"/>
      <w:marBottom w:val="0"/>
      <w:divBdr>
        <w:top w:val="none" w:sz="0" w:space="0" w:color="auto"/>
        <w:left w:val="none" w:sz="0" w:space="0" w:color="auto"/>
        <w:bottom w:val="none" w:sz="0" w:space="0" w:color="auto"/>
        <w:right w:val="none" w:sz="0" w:space="0" w:color="auto"/>
      </w:divBdr>
    </w:div>
    <w:div w:id="1692759525">
      <w:bodyDiv w:val="1"/>
      <w:marLeft w:val="0"/>
      <w:marRight w:val="0"/>
      <w:marTop w:val="0"/>
      <w:marBottom w:val="0"/>
      <w:divBdr>
        <w:top w:val="none" w:sz="0" w:space="0" w:color="auto"/>
        <w:left w:val="none" w:sz="0" w:space="0" w:color="auto"/>
        <w:bottom w:val="none" w:sz="0" w:space="0" w:color="auto"/>
        <w:right w:val="none" w:sz="0" w:space="0" w:color="auto"/>
      </w:divBdr>
    </w:div>
    <w:div w:id="1695811543">
      <w:bodyDiv w:val="1"/>
      <w:marLeft w:val="0"/>
      <w:marRight w:val="0"/>
      <w:marTop w:val="0"/>
      <w:marBottom w:val="0"/>
      <w:divBdr>
        <w:top w:val="none" w:sz="0" w:space="0" w:color="auto"/>
        <w:left w:val="none" w:sz="0" w:space="0" w:color="auto"/>
        <w:bottom w:val="none" w:sz="0" w:space="0" w:color="auto"/>
        <w:right w:val="none" w:sz="0" w:space="0" w:color="auto"/>
      </w:divBdr>
    </w:div>
    <w:div w:id="1697850140">
      <w:bodyDiv w:val="1"/>
      <w:marLeft w:val="0"/>
      <w:marRight w:val="0"/>
      <w:marTop w:val="0"/>
      <w:marBottom w:val="0"/>
      <w:divBdr>
        <w:top w:val="none" w:sz="0" w:space="0" w:color="auto"/>
        <w:left w:val="none" w:sz="0" w:space="0" w:color="auto"/>
        <w:bottom w:val="none" w:sz="0" w:space="0" w:color="auto"/>
        <w:right w:val="none" w:sz="0" w:space="0" w:color="auto"/>
      </w:divBdr>
    </w:div>
    <w:div w:id="1700162566">
      <w:bodyDiv w:val="1"/>
      <w:marLeft w:val="0"/>
      <w:marRight w:val="0"/>
      <w:marTop w:val="0"/>
      <w:marBottom w:val="0"/>
      <w:divBdr>
        <w:top w:val="none" w:sz="0" w:space="0" w:color="auto"/>
        <w:left w:val="none" w:sz="0" w:space="0" w:color="auto"/>
        <w:bottom w:val="none" w:sz="0" w:space="0" w:color="auto"/>
        <w:right w:val="none" w:sz="0" w:space="0" w:color="auto"/>
      </w:divBdr>
    </w:div>
    <w:div w:id="1701126658">
      <w:bodyDiv w:val="1"/>
      <w:marLeft w:val="0"/>
      <w:marRight w:val="0"/>
      <w:marTop w:val="0"/>
      <w:marBottom w:val="0"/>
      <w:divBdr>
        <w:top w:val="none" w:sz="0" w:space="0" w:color="auto"/>
        <w:left w:val="none" w:sz="0" w:space="0" w:color="auto"/>
        <w:bottom w:val="none" w:sz="0" w:space="0" w:color="auto"/>
        <w:right w:val="none" w:sz="0" w:space="0" w:color="auto"/>
      </w:divBdr>
    </w:div>
    <w:div w:id="1703742698">
      <w:bodyDiv w:val="1"/>
      <w:marLeft w:val="0"/>
      <w:marRight w:val="0"/>
      <w:marTop w:val="0"/>
      <w:marBottom w:val="0"/>
      <w:divBdr>
        <w:top w:val="none" w:sz="0" w:space="0" w:color="auto"/>
        <w:left w:val="none" w:sz="0" w:space="0" w:color="auto"/>
        <w:bottom w:val="none" w:sz="0" w:space="0" w:color="auto"/>
        <w:right w:val="none" w:sz="0" w:space="0" w:color="auto"/>
      </w:divBdr>
    </w:div>
    <w:div w:id="1708677010">
      <w:bodyDiv w:val="1"/>
      <w:marLeft w:val="0"/>
      <w:marRight w:val="0"/>
      <w:marTop w:val="0"/>
      <w:marBottom w:val="0"/>
      <w:divBdr>
        <w:top w:val="none" w:sz="0" w:space="0" w:color="auto"/>
        <w:left w:val="none" w:sz="0" w:space="0" w:color="auto"/>
        <w:bottom w:val="none" w:sz="0" w:space="0" w:color="auto"/>
        <w:right w:val="none" w:sz="0" w:space="0" w:color="auto"/>
      </w:divBdr>
    </w:div>
    <w:div w:id="1712269582">
      <w:bodyDiv w:val="1"/>
      <w:marLeft w:val="0"/>
      <w:marRight w:val="0"/>
      <w:marTop w:val="0"/>
      <w:marBottom w:val="0"/>
      <w:divBdr>
        <w:top w:val="none" w:sz="0" w:space="0" w:color="auto"/>
        <w:left w:val="none" w:sz="0" w:space="0" w:color="auto"/>
        <w:bottom w:val="none" w:sz="0" w:space="0" w:color="auto"/>
        <w:right w:val="none" w:sz="0" w:space="0" w:color="auto"/>
      </w:divBdr>
    </w:div>
    <w:div w:id="1712921204">
      <w:bodyDiv w:val="1"/>
      <w:marLeft w:val="0"/>
      <w:marRight w:val="0"/>
      <w:marTop w:val="0"/>
      <w:marBottom w:val="0"/>
      <w:divBdr>
        <w:top w:val="none" w:sz="0" w:space="0" w:color="auto"/>
        <w:left w:val="none" w:sz="0" w:space="0" w:color="auto"/>
        <w:bottom w:val="none" w:sz="0" w:space="0" w:color="auto"/>
        <w:right w:val="none" w:sz="0" w:space="0" w:color="auto"/>
      </w:divBdr>
    </w:div>
    <w:div w:id="1713534954">
      <w:bodyDiv w:val="1"/>
      <w:marLeft w:val="0"/>
      <w:marRight w:val="0"/>
      <w:marTop w:val="0"/>
      <w:marBottom w:val="0"/>
      <w:divBdr>
        <w:top w:val="none" w:sz="0" w:space="0" w:color="auto"/>
        <w:left w:val="none" w:sz="0" w:space="0" w:color="auto"/>
        <w:bottom w:val="none" w:sz="0" w:space="0" w:color="auto"/>
        <w:right w:val="none" w:sz="0" w:space="0" w:color="auto"/>
      </w:divBdr>
    </w:div>
    <w:div w:id="1714311110">
      <w:bodyDiv w:val="1"/>
      <w:marLeft w:val="0"/>
      <w:marRight w:val="0"/>
      <w:marTop w:val="0"/>
      <w:marBottom w:val="0"/>
      <w:divBdr>
        <w:top w:val="none" w:sz="0" w:space="0" w:color="auto"/>
        <w:left w:val="none" w:sz="0" w:space="0" w:color="auto"/>
        <w:bottom w:val="none" w:sz="0" w:space="0" w:color="auto"/>
        <w:right w:val="none" w:sz="0" w:space="0" w:color="auto"/>
      </w:divBdr>
    </w:div>
    <w:div w:id="1717898531">
      <w:bodyDiv w:val="1"/>
      <w:marLeft w:val="0"/>
      <w:marRight w:val="0"/>
      <w:marTop w:val="0"/>
      <w:marBottom w:val="0"/>
      <w:divBdr>
        <w:top w:val="none" w:sz="0" w:space="0" w:color="auto"/>
        <w:left w:val="none" w:sz="0" w:space="0" w:color="auto"/>
        <w:bottom w:val="none" w:sz="0" w:space="0" w:color="auto"/>
        <w:right w:val="none" w:sz="0" w:space="0" w:color="auto"/>
      </w:divBdr>
    </w:div>
    <w:div w:id="1718316672">
      <w:bodyDiv w:val="1"/>
      <w:marLeft w:val="0"/>
      <w:marRight w:val="0"/>
      <w:marTop w:val="0"/>
      <w:marBottom w:val="0"/>
      <w:divBdr>
        <w:top w:val="none" w:sz="0" w:space="0" w:color="auto"/>
        <w:left w:val="none" w:sz="0" w:space="0" w:color="auto"/>
        <w:bottom w:val="none" w:sz="0" w:space="0" w:color="auto"/>
        <w:right w:val="none" w:sz="0" w:space="0" w:color="auto"/>
      </w:divBdr>
    </w:div>
    <w:div w:id="1723404973">
      <w:bodyDiv w:val="1"/>
      <w:marLeft w:val="0"/>
      <w:marRight w:val="0"/>
      <w:marTop w:val="0"/>
      <w:marBottom w:val="0"/>
      <w:divBdr>
        <w:top w:val="none" w:sz="0" w:space="0" w:color="auto"/>
        <w:left w:val="none" w:sz="0" w:space="0" w:color="auto"/>
        <w:bottom w:val="none" w:sz="0" w:space="0" w:color="auto"/>
        <w:right w:val="none" w:sz="0" w:space="0" w:color="auto"/>
      </w:divBdr>
    </w:div>
    <w:div w:id="1724718047">
      <w:bodyDiv w:val="1"/>
      <w:marLeft w:val="0"/>
      <w:marRight w:val="0"/>
      <w:marTop w:val="0"/>
      <w:marBottom w:val="0"/>
      <w:divBdr>
        <w:top w:val="none" w:sz="0" w:space="0" w:color="auto"/>
        <w:left w:val="none" w:sz="0" w:space="0" w:color="auto"/>
        <w:bottom w:val="none" w:sz="0" w:space="0" w:color="auto"/>
        <w:right w:val="none" w:sz="0" w:space="0" w:color="auto"/>
      </w:divBdr>
    </w:div>
    <w:div w:id="1727337837">
      <w:bodyDiv w:val="1"/>
      <w:marLeft w:val="0"/>
      <w:marRight w:val="0"/>
      <w:marTop w:val="0"/>
      <w:marBottom w:val="0"/>
      <w:divBdr>
        <w:top w:val="none" w:sz="0" w:space="0" w:color="auto"/>
        <w:left w:val="none" w:sz="0" w:space="0" w:color="auto"/>
        <w:bottom w:val="none" w:sz="0" w:space="0" w:color="auto"/>
        <w:right w:val="none" w:sz="0" w:space="0" w:color="auto"/>
      </w:divBdr>
    </w:div>
    <w:div w:id="1728189421">
      <w:bodyDiv w:val="1"/>
      <w:marLeft w:val="0"/>
      <w:marRight w:val="0"/>
      <w:marTop w:val="0"/>
      <w:marBottom w:val="0"/>
      <w:divBdr>
        <w:top w:val="none" w:sz="0" w:space="0" w:color="auto"/>
        <w:left w:val="none" w:sz="0" w:space="0" w:color="auto"/>
        <w:bottom w:val="none" w:sz="0" w:space="0" w:color="auto"/>
        <w:right w:val="none" w:sz="0" w:space="0" w:color="auto"/>
      </w:divBdr>
    </w:div>
    <w:div w:id="1729567886">
      <w:bodyDiv w:val="1"/>
      <w:marLeft w:val="0"/>
      <w:marRight w:val="0"/>
      <w:marTop w:val="0"/>
      <w:marBottom w:val="0"/>
      <w:divBdr>
        <w:top w:val="none" w:sz="0" w:space="0" w:color="auto"/>
        <w:left w:val="none" w:sz="0" w:space="0" w:color="auto"/>
        <w:bottom w:val="none" w:sz="0" w:space="0" w:color="auto"/>
        <w:right w:val="none" w:sz="0" w:space="0" w:color="auto"/>
      </w:divBdr>
      <w:divsChild>
        <w:div w:id="366370562">
          <w:marLeft w:val="0"/>
          <w:marRight w:val="0"/>
          <w:marTop w:val="0"/>
          <w:marBottom w:val="0"/>
          <w:divBdr>
            <w:top w:val="none" w:sz="0" w:space="0" w:color="auto"/>
            <w:left w:val="none" w:sz="0" w:space="0" w:color="auto"/>
            <w:bottom w:val="none" w:sz="0" w:space="0" w:color="auto"/>
            <w:right w:val="none" w:sz="0" w:space="0" w:color="auto"/>
          </w:divBdr>
        </w:div>
      </w:divsChild>
    </w:div>
    <w:div w:id="1729769021">
      <w:bodyDiv w:val="1"/>
      <w:marLeft w:val="0"/>
      <w:marRight w:val="0"/>
      <w:marTop w:val="0"/>
      <w:marBottom w:val="0"/>
      <w:divBdr>
        <w:top w:val="none" w:sz="0" w:space="0" w:color="auto"/>
        <w:left w:val="none" w:sz="0" w:space="0" w:color="auto"/>
        <w:bottom w:val="none" w:sz="0" w:space="0" w:color="auto"/>
        <w:right w:val="none" w:sz="0" w:space="0" w:color="auto"/>
      </w:divBdr>
    </w:div>
    <w:div w:id="1735619254">
      <w:bodyDiv w:val="1"/>
      <w:marLeft w:val="0"/>
      <w:marRight w:val="0"/>
      <w:marTop w:val="0"/>
      <w:marBottom w:val="0"/>
      <w:divBdr>
        <w:top w:val="none" w:sz="0" w:space="0" w:color="auto"/>
        <w:left w:val="none" w:sz="0" w:space="0" w:color="auto"/>
        <w:bottom w:val="none" w:sz="0" w:space="0" w:color="auto"/>
        <w:right w:val="none" w:sz="0" w:space="0" w:color="auto"/>
      </w:divBdr>
    </w:div>
    <w:div w:id="1739985167">
      <w:bodyDiv w:val="1"/>
      <w:marLeft w:val="0"/>
      <w:marRight w:val="0"/>
      <w:marTop w:val="0"/>
      <w:marBottom w:val="0"/>
      <w:divBdr>
        <w:top w:val="none" w:sz="0" w:space="0" w:color="auto"/>
        <w:left w:val="none" w:sz="0" w:space="0" w:color="auto"/>
        <w:bottom w:val="none" w:sz="0" w:space="0" w:color="auto"/>
        <w:right w:val="none" w:sz="0" w:space="0" w:color="auto"/>
      </w:divBdr>
    </w:div>
    <w:div w:id="1741950611">
      <w:bodyDiv w:val="1"/>
      <w:marLeft w:val="0"/>
      <w:marRight w:val="0"/>
      <w:marTop w:val="0"/>
      <w:marBottom w:val="0"/>
      <w:divBdr>
        <w:top w:val="none" w:sz="0" w:space="0" w:color="auto"/>
        <w:left w:val="none" w:sz="0" w:space="0" w:color="auto"/>
        <w:bottom w:val="none" w:sz="0" w:space="0" w:color="auto"/>
        <w:right w:val="none" w:sz="0" w:space="0" w:color="auto"/>
      </w:divBdr>
    </w:div>
    <w:div w:id="1743870907">
      <w:bodyDiv w:val="1"/>
      <w:marLeft w:val="0"/>
      <w:marRight w:val="0"/>
      <w:marTop w:val="0"/>
      <w:marBottom w:val="0"/>
      <w:divBdr>
        <w:top w:val="none" w:sz="0" w:space="0" w:color="auto"/>
        <w:left w:val="none" w:sz="0" w:space="0" w:color="auto"/>
        <w:bottom w:val="none" w:sz="0" w:space="0" w:color="auto"/>
        <w:right w:val="none" w:sz="0" w:space="0" w:color="auto"/>
      </w:divBdr>
    </w:div>
    <w:div w:id="1744789389">
      <w:bodyDiv w:val="1"/>
      <w:marLeft w:val="0"/>
      <w:marRight w:val="0"/>
      <w:marTop w:val="0"/>
      <w:marBottom w:val="0"/>
      <w:divBdr>
        <w:top w:val="none" w:sz="0" w:space="0" w:color="auto"/>
        <w:left w:val="none" w:sz="0" w:space="0" w:color="auto"/>
        <w:bottom w:val="none" w:sz="0" w:space="0" w:color="auto"/>
        <w:right w:val="none" w:sz="0" w:space="0" w:color="auto"/>
      </w:divBdr>
    </w:div>
    <w:div w:id="1744913398">
      <w:bodyDiv w:val="1"/>
      <w:marLeft w:val="0"/>
      <w:marRight w:val="0"/>
      <w:marTop w:val="0"/>
      <w:marBottom w:val="0"/>
      <w:divBdr>
        <w:top w:val="none" w:sz="0" w:space="0" w:color="auto"/>
        <w:left w:val="none" w:sz="0" w:space="0" w:color="auto"/>
        <w:bottom w:val="none" w:sz="0" w:space="0" w:color="auto"/>
        <w:right w:val="none" w:sz="0" w:space="0" w:color="auto"/>
      </w:divBdr>
    </w:div>
    <w:div w:id="1747221840">
      <w:bodyDiv w:val="1"/>
      <w:marLeft w:val="0"/>
      <w:marRight w:val="0"/>
      <w:marTop w:val="0"/>
      <w:marBottom w:val="0"/>
      <w:divBdr>
        <w:top w:val="none" w:sz="0" w:space="0" w:color="auto"/>
        <w:left w:val="none" w:sz="0" w:space="0" w:color="auto"/>
        <w:bottom w:val="none" w:sz="0" w:space="0" w:color="auto"/>
        <w:right w:val="none" w:sz="0" w:space="0" w:color="auto"/>
      </w:divBdr>
    </w:div>
    <w:div w:id="1747996764">
      <w:bodyDiv w:val="1"/>
      <w:marLeft w:val="0"/>
      <w:marRight w:val="0"/>
      <w:marTop w:val="0"/>
      <w:marBottom w:val="0"/>
      <w:divBdr>
        <w:top w:val="none" w:sz="0" w:space="0" w:color="auto"/>
        <w:left w:val="none" w:sz="0" w:space="0" w:color="auto"/>
        <w:bottom w:val="none" w:sz="0" w:space="0" w:color="auto"/>
        <w:right w:val="none" w:sz="0" w:space="0" w:color="auto"/>
      </w:divBdr>
    </w:div>
    <w:div w:id="1750344870">
      <w:bodyDiv w:val="1"/>
      <w:marLeft w:val="0"/>
      <w:marRight w:val="0"/>
      <w:marTop w:val="0"/>
      <w:marBottom w:val="0"/>
      <w:divBdr>
        <w:top w:val="none" w:sz="0" w:space="0" w:color="auto"/>
        <w:left w:val="none" w:sz="0" w:space="0" w:color="auto"/>
        <w:bottom w:val="none" w:sz="0" w:space="0" w:color="auto"/>
        <w:right w:val="none" w:sz="0" w:space="0" w:color="auto"/>
      </w:divBdr>
    </w:div>
    <w:div w:id="1754624720">
      <w:bodyDiv w:val="1"/>
      <w:marLeft w:val="0"/>
      <w:marRight w:val="0"/>
      <w:marTop w:val="0"/>
      <w:marBottom w:val="0"/>
      <w:divBdr>
        <w:top w:val="none" w:sz="0" w:space="0" w:color="auto"/>
        <w:left w:val="none" w:sz="0" w:space="0" w:color="auto"/>
        <w:bottom w:val="none" w:sz="0" w:space="0" w:color="auto"/>
        <w:right w:val="none" w:sz="0" w:space="0" w:color="auto"/>
      </w:divBdr>
    </w:div>
    <w:div w:id="1754736303">
      <w:bodyDiv w:val="1"/>
      <w:marLeft w:val="0"/>
      <w:marRight w:val="0"/>
      <w:marTop w:val="0"/>
      <w:marBottom w:val="0"/>
      <w:divBdr>
        <w:top w:val="none" w:sz="0" w:space="0" w:color="auto"/>
        <w:left w:val="none" w:sz="0" w:space="0" w:color="auto"/>
        <w:bottom w:val="none" w:sz="0" w:space="0" w:color="auto"/>
        <w:right w:val="none" w:sz="0" w:space="0" w:color="auto"/>
      </w:divBdr>
    </w:div>
    <w:div w:id="1755975079">
      <w:bodyDiv w:val="1"/>
      <w:marLeft w:val="0"/>
      <w:marRight w:val="0"/>
      <w:marTop w:val="0"/>
      <w:marBottom w:val="0"/>
      <w:divBdr>
        <w:top w:val="none" w:sz="0" w:space="0" w:color="auto"/>
        <w:left w:val="none" w:sz="0" w:space="0" w:color="auto"/>
        <w:bottom w:val="none" w:sz="0" w:space="0" w:color="auto"/>
        <w:right w:val="none" w:sz="0" w:space="0" w:color="auto"/>
      </w:divBdr>
    </w:div>
    <w:div w:id="1759713576">
      <w:bodyDiv w:val="1"/>
      <w:marLeft w:val="0"/>
      <w:marRight w:val="0"/>
      <w:marTop w:val="0"/>
      <w:marBottom w:val="0"/>
      <w:divBdr>
        <w:top w:val="none" w:sz="0" w:space="0" w:color="auto"/>
        <w:left w:val="none" w:sz="0" w:space="0" w:color="auto"/>
        <w:bottom w:val="none" w:sz="0" w:space="0" w:color="auto"/>
        <w:right w:val="none" w:sz="0" w:space="0" w:color="auto"/>
      </w:divBdr>
    </w:div>
    <w:div w:id="1766995016">
      <w:bodyDiv w:val="1"/>
      <w:marLeft w:val="0"/>
      <w:marRight w:val="0"/>
      <w:marTop w:val="0"/>
      <w:marBottom w:val="0"/>
      <w:divBdr>
        <w:top w:val="none" w:sz="0" w:space="0" w:color="auto"/>
        <w:left w:val="none" w:sz="0" w:space="0" w:color="auto"/>
        <w:bottom w:val="none" w:sz="0" w:space="0" w:color="auto"/>
        <w:right w:val="none" w:sz="0" w:space="0" w:color="auto"/>
      </w:divBdr>
    </w:div>
    <w:div w:id="1769539451">
      <w:bodyDiv w:val="1"/>
      <w:marLeft w:val="0"/>
      <w:marRight w:val="0"/>
      <w:marTop w:val="0"/>
      <w:marBottom w:val="0"/>
      <w:divBdr>
        <w:top w:val="none" w:sz="0" w:space="0" w:color="auto"/>
        <w:left w:val="none" w:sz="0" w:space="0" w:color="auto"/>
        <w:bottom w:val="none" w:sz="0" w:space="0" w:color="auto"/>
        <w:right w:val="none" w:sz="0" w:space="0" w:color="auto"/>
      </w:divBdr>
    </w:div>
    <w:div w:id="1774396582">
      <w:bodyDiv w:val="1"/>
      <w:marLeft w:val="0"/>
      <w:marRight w:val="0"/>
      <w:marTop w:val="0"/>
      <w:marBottom w:val="0"/>
      <w:divBdr>
        <w:top w:val="none" w:sz="0" w:space="0" w:color="auto"/>
        <w:left w:val="none" w:sz="0" w:space="0" w:color="auto"/>
        <w:bottom w:val="none" w:sz="0" w:space="0" w:color="auto"/>
        <w:right w:val="none" w:sz="0" w:space="0" w:color="auto"/>
      </w:divBdr>
    </w:div>
    <w:div w:id="1775442486">
      <w:bodyDiv w:val="1"/>
      <w:marLeft w:val="0"/>
      <w:marRight w:val="0"/>
      <w:marTop w:val="0"/>
      <w:marBottom w:val="0"/>
      <w:divBdr>
        <w:top w:val="none" w:sz="0" w:space="0" w:color="auto"/>
        <w:left w:val="none" w:sz="0" w:space="0" w:color="auto"/>
        <w:bottom w:val="none" w:sz="0" w:space="0" w:color="auto"/>
        <w:right w:val="none" w:sz="0" w:space="0" w:color="auto"/>
      </w:divBdr>
    </w:div>
    <w:div w:id="1776361940">
      <w:bodyDiv w:val="1"/>
      <w:marLeft w:val="0"/>
      <w:marRight w:val="0"/>
      <w:marTop w:val="0"/>
      <w:marBottom w:val="0"/>
      <w:divBdr>
        <w:top w:val="none" w:sz="0" w:space="0" w:color="auto"/>
        <w:left w:val="none" w:sz="0" w:space="0" w:color="auto"/>
        <w:bottom w:val="none" w:sz="0" w:space="0" w:color="auto"/>
        <w:right w:val="none" w:sz="0" w:space="0" w:color="auto"/>
      </w:divBdr>
    </w:div>
    <w:div w:id="1780568335">
      <w:bodyDiv w:val="1"/>
      <w:marLeft w:val="0"/>
      <w:marRight w:val="0"/>
      <w:marTop w:val="0"/>
      <w:marBottom w:val="0"/>
      <w:divBdr>
        <w:top w:val="none" w:sz="0" w:space="0" w:color="auto"/>
        <w:left w:val="none" w:sz="0" w:space="0" w:color="auto"/>
        <w:bottom w:val="none" w:sz="0" w:space="0" w:color="auto"/>
        <w:right w:val="none" w:sz="0" w:space="0" w:color="auto"/>
      </w:divBdr>
    </w:div>
    <w:div w:id="1781412360">
      <w:bodyDiv w:val="1"/>
      <w:marLeft w:val="0"/>
      <w:marRight w:val="0"/>
      <w:marTop w:val="0"/>
      <w:marBottom w:val="0"/>
      <w:divBdr>
        <w:top w:val="none" w:sz="0" w:space="0" w:color="auto"/>
        <w:left w:val="none" w:sz="0" w:space="0" w:color="auto"/>
        <w:bottom w:val="none" w:sz="0" w:space="0" w:color="auto"/>
        <w:right w:val="none" w:sz="0" w:space="0" w:color="auto"/>
      </w:divBdr>
    </w:div>
    <w:div w:id="1785147970">
      <w:bodyDiv w:val="1"/>
      <w:marLeft w:val="0"/>
      <w:marRight w:val="0"/>
      <w:marTop w:val="0"/>
      <w:marBottom w:val="0"/>
      <w:divBdr>
        <w:top w:val="none" w:sz="0" w:space="0" w:color="auto"/>
        <w:left w:val="none" w:sz="0" w:space="0" w:color="auto"/>
        <w:bottom w:val="none" w:sz="0" w:space="0" w:color="auto"/>
        <w:right w:val="none" w:sz="0" w:space="0" w:color="auto"/>
      </w:divBdr>
    </w:div>
    <w:div w:id="1785155151">
      <w:bodyDiv w:val="1"/>
      <w:marLeft w:val="0"/>
      <w:marRight w:val="0"/>
      <w:marTop w:val="0"/>
      <w:marBottom w:val="0"/>
      <w:divBdr>
        <w:top w:val="none" w:sz="0" w:space="0" w:color="auto"/>
        <w:left w:val="none" w:sz="0" w:space="0" w:color="auto"/>
        <w:bottom w:val="none" w:sz="0" w:space="0" w:color="auto"/>
        <w:right w:val="none" w:sz="0" w:space="0" w:color="auto"/>
      </w:divBdr>
    </w:div>
    <w:div w:id="1786734254">
      <w:bodyDiv w:val="1"/>
      <w:marLeft w:val="0"/>
      <w:marRight w:val="0"/>
      <w:marTop w:val="0"/>
      <w:marBottom w:val="0"/>
      <w:divBdr>
        <w:top w:val="none" w:sz="0" w:space="0" w:color="auto"/>
        <w:left w:val="none" w:sz="0" w:space="0" w:color="auto"/>
        <w:bottom w:val="none" w:sz="0" w:space="0" w:color="auto"/>
        <w:right w:val="none" w:sz="0" w:space="0" w:color="auto"/>
      </w:divBdr>
    </w:div>
    <w:div w:id="1790123191">
      <w:bodyDiv w:val="1"/>
      <w:marLeft w:val="0"/>
      <w:marRight w:val="0"/>
      <w:marTop w:val="0"/>
      <w:marBottom w:val="0"/>
      <w:divBdr>
        <w:top w:val="none" w:sz="0" w:space="0" w:color="auto"/>
        <w:left w:val="none" w:sz="0" w:space="0" w:color="auto"/>
        <w:bottom w:val="none" w:sz="0" w:space="0" w:color="auto"/>
        <w:right w:val="none" w:sz="0" w:space="0" w:color="auto"/>
      </w:divBdr>
    </w:div>
    <w:div w:id="1791513131">
      <w:bodyDiv w:val="1"/>
      <w:marLeft w:val="0"/>
      <w:marRight w:val="0"/>
      <w:marTop w:val="0"/>
      <w:marBottom w:val="0"/>
      <w:divBdr>
        <w:top w:val="none" w:sz="0" w:space="0" w:color="auto"/>
        <w:left w:val="none" w:sz="0" w:space="0" w:color="auto"/>
        <w:bottom w:val="none" w:sz="0" w:space="0" w:color="auto"/>
        <w:right w:val="none" w:sz="0" w:space="0" w:color="auto"/>
      </w:divBdr>
    </w:div>
    <w:div w:id="1795367272">
      <w:bodyDiv w:val="1"/>
      <w:marLeft w:val="0"/>
      <w:marRight w:val="0"/>
      <w:marTop w:val="0"/>
      <w:marBottom w:val="0"/>
      <w:divBdr>
        <w:top w:val="none" w:sz="0" w:space="0" w:color="auto"/>
        <w:left w:val="none" w:sz="0" w:space="0" w:color="auto"/>
        <w:bottom w:val="none" w:sz="0" w:space="0" w:color="auto"/>
        <w:right w:val="none" w:sz="0" w:space="0" w:color="auto"/>
      </w:divBdr>
    </w:div>
    <w:div w:id="1797065029">
      <w:bodyDiv w:val="1"/>
      <w:marLeft w:val="0"/>
      <w:marRight w:val="0"/>
      <w:marTop w:val="0"/>
      <w:marBottom w:val="0"/>
      <w:divBdr>
        <w:top w:val="none" w:sz="0" w:space="0" w:color="auto"/>
        <w:left w:val="none" w:sz="0" w:space="0" w:color="auto"/>
        <w:bottom w:val="none" w:sz="0" w:space="0" w:color="auto"/>
        <w:right w:val="none" w:sz="0" w:space="0" w:color="auto"/>
      </w:divBdr>
    </w:div>
    <w:div w:id="1798835354">
      <w:bodyDiv w:val="1"/>
      <w:marLeft w:val="0"/>
      <w:marRight w:val="0"/>
      <w:marTop w:val="0"/>
      <w:marBottom w:val="0"/>
      <w:divBdr>
        <w:top w:val="none" w:sz="0" w:space="0" w:color="auto"/>
        <w:left w:val="none" w:sz="0" w:space="0" w:color="auto"/>
        <w:bottom w:val="none" w:sz="0" w:space="0" w:color="auto"/>
        <w:right w:val="none" w:sz="0" w:space="0" w:color="auto"/>
      </w:divBdr>
    </w:div>
    <w:div w:id="1800681076">
      <w:bodyDiv w:val="1"/>
      <w:marLeft w:val="0"/>
      <w:marRight w:val="0"/>
      <w:marTop w:val="0"/>
      <w:marBottom w:val="0"/>
      <w:divBdr>
        <w:top w:val="none" w:sz="0" w:space="0" w:color="auto"/>
        <w:left w:val="none" w:sz="0" w:space="0" w:color="auto"/>
        <w:bottom w:val="none" w:sz="0" w:space="0" w:color="auto"/>
        <w:right w:val="none" w:sz="0" w:space="0" w:color="auto"/>
      </w:divBdr>
    </w:div>
    <w:div w:id="1801730351">
      <w:bodyDiv w:val="1"/>
      <w:marLeft w:val="0"/>
      <w:marRight w:val="0"/>
      <w:marTop w:val="0"/>
      <w:marBottom w:val="0"/>
      <w:divBdr>
        <w:top w:val="none" w:sz="0" w:space="0" w:color="auto"/>
        <w:left w:val="none" w:sz="0" w:space="0" w:color="auto"/>
        <w:bottom w:val="none" w:sz="0" w:space="0" w:color="auto"/>
        <w:right w:val="none" w:sz="0" w:space="0" w:color="auto"/>
      </w:divBdr>
    </w:div>
    <w:div w:id="1807894764">
      <w:bodyDiv w:val="1"/>
      <w:marLeft w:val="0"/>
      <w:marRight w:val="0"/>
      <w:marTop w:val="0"/>
      <w:marBottom w:val="0"/>
      <w:divBdr>
        <w:top w:val="none" w:sz="0" w:space="0" w:color="auto"/>
        <w:left w:val="none" w:sz="0" w:space="0" w:color="auto"/>
        <w:bottom w:val="none" w:sz="0" w:space="0" w:color="auto"/>
        <w:right w:val="none" w:sz="0" w:space="0" w:color="auto"/>
      </w:divBdr>
    </w:div>
    <w:div w:id="1809974603">
      <w:bodyDiv w:val="1"/>
      <w:marLeft w:val="0"/>
      <w:marRight w:val="0"/>
      <w:marTop w:val="0"/>
      <w:marBottom w:val="0"/>
      <w:divBdr>
        <w:top w:val="none" w:sz="0" w:space="0" w:color="auto"/>
        <w:left w:val="none" w:sz="0" w:space="0" w:color="auto"/>
        <w:bottom w:val="none" w:sz="0" w:space="0" w:color="auto"/>
        <w:right w:val="none" w:sz="0" w:space="0" w:color="auto"/>
      </w:divBdr>
    </w:div>
    <w:div w:id="1810590292">
      <w:bodyDiv w:val="1"/>
      <w:marLeft w:val="0"/>
      <w:marRight w:val="0"/>
      <w:marTop w:val="0"/>
      <w:marBottom w:val="0"/>
      <w:divBdr>
        <w:top w:val="none" w:sz="0" w:space="0" w:color="auto"/>
        <w:left w:val="none" w:sz="0" w:space="0" w:color="auto"/>
        <w:bottom w:val="none" w:sz="0" w:space="0" w:color="auto"/>
        <w:right w:val="none" w:sz="0" w:space="0" w:color="auto"/>
      </w:divBdr>
    </w:div>
    <w:div w:id="1811363319">
      <w:bodyDiv w:val="1"/>
      <w:marLeft w:val="0"/>
      <w:marRight w:val="0"/>
      <w:marTop w:val="0"/>
      <w:marBottom w:val="0"/>
      <w:divBdr>
        <w:top w:val="none" w:sz="0" w:space="0" w:color="auto"/>
        <w:left w:val="none" w:sz="0" w:space="0" w:color="auto"/>
        <w:bottom w:val="none" w:sz="0" w:space="0" w:color="auto"/>
        <w:right w:val="none" w:sz="0" w:space="0" w:color="auto"/>
      </w:divBdr>
    </w:div>
    <w:div w:id="1829832315">
      <w:bodyDiv w:val="1"/>
      <w:marLeft w:val="0"/>
      <w:marRight w:val="0"/>
      <w:marTop w:val="0"/>
      <w:marBottom w:val="0"/>
      <w:divBdr>
        <w:top w:val="none" w:sz="0" w:space="0" w:color="auto"/>
        <w:left w:val="none" w:sz="0" w:space="0" w:color="auto"/>
        <w:bottom w:val="none" w:sz="0" w:space="0" w:color="auto"/>
        <w:right w:val="none" w:sz="0" w:space="0" w:color="auto"/>
      </w:divBdr>
    </w:div>
    <w:div w:id="1832136732">
      <w:bodyDiv w:val="1"/>
      <w:marLeft w:val="0"/>
      <w:marRight w:val="0"/>
      <w:marTop w:val="0"/>
      <w:marBottom w:val="0"/>
      <w:divBdr>
        <w:top w:val="none" w:sz="0" w:space="0" w:color="auto"/>
        <w:left w:val="none" w:sz="0" w:space="0" w:color="auto"/>
        <w:bottom w:val="none" w:sz="0" w:space="0" w:color="auto"/>
        <w:right w:val="none" w:sz="0" w:space="0" w:color="auto"/>
      </w:divBdr>
    </w:div>
    <w:div w:id="1833989116">
      <w:bodyDiv w:val="1"/>
      <w:marLeft w:val="0"/>
      <w:marRight w:val="0"/>
      <w:marTop w:val="0"/>
      <w:marBottom w:val="0"/>
      <w:divBdr>
        <w:top w:val="none" w:sz="0" w:space="0" w:color="auto"/>
        <w:left w:val="none" w:sz="0" w:space="0" w:color="auto"/>
        <w:bottom w:val="none" w:sz="0" w:space="0" w:color="auto"/>
        <w:right w:val="none" w:sz="0" w:space="0" w:color="auto"/>
      </w:divBdr>
    </w:div>
    <w:div w:id="1834249807">
      <w:bodyDiv w:val="1"/>
      <w:marLeft w:val="0"/>
      <w:marRight w:val="0"/>
      <w:marTop w:val="0"/>
      <w:marBottom w:val="0"/>
      <w:divBdr>
        <w:top w:val="none" w:sz="0" w:space="0" w:color="auto"/>
        <w:left w:val="none" w:sz="0" w:space="0" w:color="auto"/>
        <w:bottom w:val="none" w:sz="0" w:space="0" w:color="auto"/>
        <w:right w:val="none" w:sz="0" w:space="0" w:color="auto"/>
      </w:divBdr>
    </w:div>
    <w:div w:id="1837039721">
      <w:bodyDiv w:val="1"/>
      <w:marLeft w:val="0"/>
      <w:marRight w:val="0"/>
      <w:marTop w:val="0"/>
      <w:marBottom w:val="0"/>
      <w:divBdr>
        <w:top w:val="none" w:sz="0" w:space="0" w:color="auto"/>
        <w:left w:val="none" w:sz="0" w:space="0" w:color="auto"/>
        <w:bottom w:val="none" w:sz="0" w:space="0" w:color="auto"/>
        <w:right w:val="none" w:sz="0" w:space="0" w:color="auto"/>
      </w:divBdr>
    </w:div>
    <w:div w:id="1841919079">
      <w:bodyDiv w:val="1"/>
      <w:marLeft w:val="0"/>
      <w:marRight w:val="0"/>
      <w:marTop w:val="0"/>
      <w:marBottom w:val="0"/>
      <w:divBdr>
        <w:top w:val="none" w:sz="0" w:space="0" w:color="auto"/>
        <w:left w:val="none" w:sz="0" w:space="0" w:color="auto"/>
        <w:bottom w:val="none" w:sz="0" w:space="0" w:color="auto"/>
        <w:right w:val="none" w:sz="0" w:space="0" w:color="auto"/>
      </w:divBdr>
    </w:div>
    <w:div w:id="1842426474">
      <w:bodyDiv w:val="1"/>
      <w:marLeft w:val="0"/>
      <w:marRight w:val="0"/>
      <w:marTop w:val="0"/>
      <w:marBottom w:val="0"/>
      <w:divBdr>
        <w:top w:val="none" w:sz="0" w:space="0" w:color="auto"/>
        <w:left w:val="none" w:sz="0" w:space="0" w:color="auto"/>
        <w:bottom w:val="none" w:sz="0" w:space="0" w:color="auto"/>
        <w:right w:val="none" w:sz="0" w:space="0" w:color="auto"/>
      </w:divBdr>
    </w:div>
    <w:div w:id="1843810996">
      <w:bodyDiv w:val="1"/>
      <w:marLeft w:val="0"/>
      <w:marRight w:val="0"/>
      <w:marTop w:val="0"/>
      <w:marBottom w:val="0"/>
      <w:divBdr>
        <w:top w:val="none" w:sz="0" w:space="0" w:color="auto"/>
        <w:left w:val="none" w:sz="0" w:space="0" w:color="auto"/>
        <w:bottom w:val="none" w:sz="0" w:space="0" w:color="auto"/>
        <w:right w:val="none" w:sz="0" w:space="0" w:color="auto"/>
      </w:divBdr>
    </w:div>
    <w:div w:id="1843858143">
      <w:bodyDiv w:val="1"/>
      <w:marLeft w:val="0"/>
      <w:marRight w:val="0"/>
      <w:marTop w:val="0"/>
      <w:marBottom w:val="0"/>
      <w:divBdr>
        <w:top w:val="none" w:sz="0" w:space="0" w:color="auto"/>
        <w:left w:val="none" w:sz="0" w:space="0" w:color="auto"/>
        <w:bottom w:val="none" w:sz="0" w:space="0" w:color="auto"/>
        <w:right w:val="none" w:sz="0" w:space="0" w:color="auto"/>
      </w:divBdr>
    </w:div>
    <w:div w:id="1846243081">
      <w:bodyDiv w:val="1"/>
      <w:marLeft w:val="0"/>
      <w:marRight w:val="0"/>
      <w:marTop w:val="0"/>
      <w:marBottom w:val="0"/>
      <w:divBdr>
        <w:top w:val="none" w:sz="0" w:space="0" w:color="auto"/>
        <w:left w:val="none" w:sz="0" w:space="0" w:color="auto"/>
        <w:bottom w:val="none" w:sz="0" w:space="0" w:color="auto"/>
        <w:right w:val="none" w:sz="0" w:space="0" w:color="auto"/>
      </w:divBdr>
    </w:div>
    <w:div w:id="1849515132">
      <w:bodyDiv w:val="1"/>
      <w:marLeft w:val="0"/>
      <w:marRight w:val="0"/>
      <w:marTop w:val="0"/>
      <w:marBottom w:val="0"/>
      <w:divBdr>
        <w:top w:val="none" w:sz="0" w:space="0" w:color="auto"/>
        <w:left w:val="none" w:sz="0" w:space="0" w:color="auto"/>
        <w:bottom w:val="none" w:sz="0" w:space="0" w:color="auto"/>
        <w:right w:val="none" w:sz="0" w:space="0" w:color="auto"/>
      </w:divBdr>
    </w:div>
    <w:div w:id="1856263302">
      <w:bodyDiv w:val="1"/>
      <w:marLeft w:val="0"/>
      <w:marRight w:val="0"/>
      <w:marTop w:val="0"/>
      <w:marBottom w:val="0"/>
      <w:divBdr>
        <w:top w:val="none" w:sz="0" w:space="0" w:color="auto"/>
        <w:left w:val="none" w:sz="0" w:space="0" w:color="auto"/>
        <w:bottom w:val="none" w:sz="0" w:space="0" w:color="auto"/>
        <w:right w:val="none" w:sz="0" w:space="0" w:color="auto"/>
      </w:divBdr>
    </w:div>
    <w:div w:id="1861434020">
      <w:bodyDiv w:val="1"/>
      <w:marLeft w:val="0"/>
      <w:marRight w:val="0"/>
      <w:marTop w:val="0"/>
      <w:marBottom w:val="0"/>
      <w:divBdr>
        <w:top w:val="none" w:sz="0" w:space="0" w:color="auto"/>
        <w:left w:val="none" w:sz="0" w:space="0" w:color="auto"/>
        <w:bottom w:val="none" w:sz="0" w:space="0" w:color="auto"/>
        <w:right w:val="none" w:sz="0" w:space="0" w:color="auto"/>
      </w:divBdr>
    </w:div>
    <w:div w:id="1862166166">
      <w:bodyDiv w:val="1"/>
      <w:marLeft w:val="0"/>
      <w:marRight w:val="0"/>
      <w:marTop w:val="0"/>
      <w:marBottom w:val="0"/>
      <w:divBdr>
        <w:top w:val="none" w:sz="0" w:space="0" w:color="auto"/>
        <w:left w:val="none" w:sz="0" w:space="0" w:color="auto"/>
        <w:bottom w:val="none" w:sz="0" w:space="0" w:color="auto"/>
        <w:right w:val="none" w:sz="0" w:space="0" w:color="auto"/>
      </w:divBdr>
    </w:div>
    <w:div w:id="1870028272">
      <w:bodyDiv w:val="1"/>
      <w:marLeft w:val="0"/>
      <w:marRight w:val="0"/>
      <w:marTop w:val="0"/>
      <w:marBottom w:val="0"/>
      <w:divBdr>
        <w:top w:val="none" w:sz="0" w:space="0" w:color="auto"/>
        <w:left w:val="none" w:sz="0" w:space="0" w:color="auto"/>
        <w:bottom w:val="none" w:sz="0" w:space="0" w:color="auto"/>
        <w:right w:val="none" w:sz="0" w:space="0" w:color="auto"/>
      </w:divBdr>
    </w:div>
    <w:div w:id="1871458338">
      <w:bodyDiv w:val="1"/>
      <w:marLeft w:val="0"/>
      <w:marRight w:val="0"/>
      <w:marTop w:val="0"/>
      <w:marBottom w:val="0"/>
      <w:divBdr>
        <w:top w:val="none" w:sz="0" w:space="0" w:color="auto"/>
        <w:left w:val="none" w:sz="0" w:space="0" w:color="auto"/>
        <w:bottom w:val="none" w:sz="0" w:space="0" w:color="auto"/>
        <w:right w:val="none" w:sz="0" w:space="0" w:color="auto"/>
      </w:divBdr>
    </w:div>
    <w:div w:id="1871528885">
      <w:bodyDiv w:val="1"/>
      <w:marLeft w:val="0"/>
      <w:marRight w:val="0"/>
      <w:marTop w:val="0"/>
      <w:marBottom w:val="0"/>
      <w:divBdr>
        <w:top w:val="none" w:sz="0" w:space="0" w:color="auto"/>
        <w:left w:val="none" w:sz="0" w:space="0" w:color="auto"/>
        <w:bottom w:val="none" w:sz="0" w:space="0" w:color="auto"/>
        <w:right w:val="none" w:sz="0" w:space="0" w:color="auto"/>
      </w:divBdr>
    </w:div>
    <w:div w:id="1873759089">
      <w:bodyDiv w:val="1"/>
      <w:marLeft w:val="0"/>
      <w:marRight w:val="0"/>
      <w:marTop w:val="0"/>
      <w:marBottom w:val="0"/>
      <w:divBdr>
        <w:top w:val="none" w:sz="0" w:space="0" w:color="auto"/>
        <w:left w:val="none" w:sz="0" w:space="0" w:color="auto"/>
        <w:bottom w:val="none" w:sz="0" w:space="0" w:color="auto"/>
        <w:right w:val="none" w:sz="0" w:space="0" w:color="auto"/>
      </w:divBdr>
    </w:div>
    <w:div w:id="1877428495">
      <w:bodyDiv w:val="1"/>
      <w:marLeft w:val="0"/>
      <w:marRight w:val="0"/>
      <w:marTop w:val="0"/>
      <w:marBottom w:val="0"/>
      <w:divBdr>
        <w:top w:val="none" w:sz="0" w:space="0" w:color="auto"/>
        <w:left w:val="none" w:sz="0" w:space="0" w:color="auto"/>
        <w:bottom w:val="none" w:sz="0" w:space="0" w:color="auto"/>
        <w:right w:val="none" w:sz="0" w:space="0" w:color="auto"/>
      </w:divBdr>
    </w:div>
    <w:div w:id="1878854638">
      <w:bodyDiv w:val="1"/>
      <w:marLeft w:val="0"/>
      <w:marRight w:val="0"/>
      <w:marTop w:val="0"/>
      <w:marBottom w:val="0"/>
      <w:divBdr>
        <w:top w:val="none" w:sz="0" w:space="0" w:color="auto"/>
        <w:left w:val="none" w:sz="0" w:space="0" w:color="auto"/>
        <w:bottom w:val="none" w:sz="0" w:space="0" w:color="auto"/>
        <w:right w:val="none" w:sz="0" w:space="0" w:color="auto"/>
      </w:divBdr>
    </w:div>
    <w:div w:id="1881165041">
      <w:bodyDiv w:val="1"/>
      <w:marLeft w:val="0"/>
      <w:marRight w:val="0"/>
      <w:marTop w:val="0"/>
      <w:marBottom w:val="0"/>
      <w:divBdr>
        <w:top w:val="none" w:sz="0" w:space="0" w:color="auto"/>
        <w:left w:val="none" w:sz="0" w:space="0" w:color="auto"/>
        <w:bottom w:val="none" w:sz="0" w:space="0" w:color="auto"/>
        <w:right w:val="none" w:sz="0" w:space="0" w:color="auto"/>
      </w:divBdr>
    </w:div>
    <w:div w:id="1883008102">
      <w:bodyDiv w:val="1"/>
      <w:marLeft w:val="0"/>
      <w:marRight w:val="0"/>
      <w:marTop w:val="0"/>
      <w:marBottom w:val="0"/>
      <w:divBdr>
        <w:top w:val="none" w:sz="0" w:space="0" w:color="auto"/>
        <w:left w:val="none" w:sz="0" w:space="0" w:color="auto"/>
        <w:bottom w:val="none" w:sz="0" w:space="0" w:color="auto"/>
        <w:right w:val="none" w:sz="0" w:space="0" w:color="auto"/>
      </w:divBdr>
    </w:div>
    <w:div w:id="1883054559">
      <w:bodyDiv w:val="1"/>
      <w:marLeft w:val="0"/>
      <w:marRight w:val="0"/>
      <w:marTop w:val="0"/>
      <w:marBottom w:val="0"/>
      <w:divBdr>
        <w:top w:val="none" w:sz="0" w:space="0" w:color="auto"/>
        <w:left w:val="none" w:sz="0" w:space="0" w:color="auto"/>
        <w:bottom w:val="none" w:sz="0" w:space="0" w:color="auto"/>
        <w:right w:val="none" w:sz="0" w:space="0" w:color="auto"/>
      </w:divBdr>
    </w:div>
    <w:div w:id="1885369616">
      <w:bodyDiv w:val="1"/>
      <w:marLeft w:val="0"/>
      <w:marRight w:val="0"/>
      <w:marTop w:val="0"/>
      <w:marBottom w:val="0"/>
      <w:divBdr>
        <w:top w:val="none" w:sz="0" w:space="0" w:color="auto"/>
        <w:left w:val="none" w:sz="0" w:space="0" w:color="auto"/>
        <w:bottom w:val="none" w:sz="0" w:space="0" w:color="auto"/>
        <w:right w:val="none" w:sz="0" w:space="0" w:color="auto"/>
      </w:divBdr>
    </w:div>
    <w:div w:id="1886674576">
      <w:bodyDiv w:val="1"/>
      <w:marLeft w:val="0"/>
      <w:marRight w:val="0"/>
      <w:marTop w:val="0"/>
      <w:marBottom w:val="0"/>
      <w:divBdr>
        <w:top w:val="none" w:sz="0" w:space="0" w:color="auto"/>
        <w:left w:val="none" w:sz="0" w:space="0" w:color="auto"/>
        <w:bottom w:val="none" w:sz="0" w:space="0" w:color="auto"/>
        <w:right w:val="none" w:sz="0" w:space="0" w:color="auto"/>
      </w:divBdr>
    </w:div>
    <w:div w:id="1889102623">
      <w:bodyDiv w:val="1"/>
      <w:marLeft w:val="0"/>
      <w:marRight w:val="0"/>
      <w:marTop w:val="0"/>
      <w:marBottom w:val="0"/>
      <w:divBdr>
        <w:top w:val="none" w:sz="0" w:space="0" w:color="auto"/>
        <w:left w:val="none" w:sz="0" w:space="0" w:color="auto"/>
        <w:bottom w:val="none" w:sz="0" w:space="0" w:color="auto"/>
        <w:right w:val="none" w:sz="0" w:space="0" w:color="auto"/>
      </w:divBdr>
    </w:div>
    <w:div w:id="1893694269">
      <w:bodyDiv w:val="1"/>
      <w:marLeft w:val="0"/>
      <w:marRight w:val="0"/>
      <w:marTop w:val="0"/>
      <w:marBottom w:val="0"/>
      <w:divBdr>
        <w:top w:val="none" w:sz="0" w:space="0" w:color="auto"/>
        <w:left w:val="none" w:sz="0" w:space="0" w:color="auto"/>
        <w:bottom w:val="none" w:sz="0" w:space="0" w:color="auto"/>
        <w:right w:val="none" w:sz="0" w:space="0" w:color="auto"/>
      </w:divBdr>
    </w:div>
    <w:div w:id="1898008694">
      <w:bodyDiv w:val="1"/>
      <w:marLeft w:val="0"/>
      <w:marRight w:val="0"/>
      <w:marTop w:val="0"/>
      <w:marBottom w:val="0"/>
      <w:divBdr>
        <w:top w:val="none" w:sz="0" w:space="0" w:color="auto"/>
        <w:left w:val="none" w:sz="0" w:space="0" w:color="auto"/>
        <w:bottom w:val="none" w:sz="0" w:space="0" w:color="auto"/>
        <w:right w:val="none" w:sz="0" w:space="0" w:color="auto"/>
      </w:divBdr>
    </w:div>
    <w:div w:id="1903828986">
      <w:bodyDiv w:val="1"/>
      <w:marLeft w:val="0"/>
      <w:marRight w:val="0"/>
      <w:marTop w:val="0"/>
      <w:marBottom w:val="0"/>
      <w:divBdr>
        <w:top w:val="none" w:sz="0" w:space="0" w:color="auto"/>
        <w:left w:val="none" w:sz="0" w:space="0" w:color="auto"/>
        <w:bottom w:val="none" w:sz="0" w:space="0" w:color="auto"/>
        <w:right w:val="none" w:sz="0" w:space="0" w:color="auto"/>
      </w:divBdr>
    </w:div>
    <w:div w:id="1905139437">
      <w:bodyDiv w:val="1"/>
      <w:marLeft w:val="0"/>
      <w:marRight w:val="0"/>
      <w:marTop w:val="0"/>
      <w:marBottom w:val="0"/>
      <w:divBdr>
        <w:top w:val="none" w:sz="0" w:space="0" w:color="auto"/>
        <w:left w:val="none" w:sz="0" w:space="0" w:color="auto"/>
        <w:bottom w:val="none" w:sz="0" w:space="0" w:color="auto"/>
        <w:right w:val="none" w:sz="0" w:space="0" w:color="auto"/>
      </w:divBdr>
    </w:div>
    <w:div w:id="1905531075">
      <w:bodyDiv w:val="1"/>
      <w:marLeft w:val="0"/>
      <w:marRight w:val="0"/>
      <w:marTop w:val="0"/>
      <w:marBottom w:val="0"/>
      <w:divBdr>
        <w:top w:val="none" w:sz="0" w:space="0" w:color="auto"/>
        <w:left w:val="none" w:sz="0" w:space="0" w:color="auto"/>
        <w:bottom w:val="none" w:sz="0" w:space="0" w:color="auto"/>
        <w:right w:val="none" w:sz="0" w:space="0" w:color="auto"/>
      </w:divBdr>
    </w:div>
    <w:div w:id="1906530040">
      <w:bodyDiv w:val="1"/>
      <w:marLeft w:val="0"/>
      <w:marRight w:val="0"/>
      <w:marTop w:val="0"/>
      <w:marBottom w:val="0"/>
      <w:divBdr>
        <w:top w:val="none" w:sz="0" w:space="0" w:color="auto"/>
        <w:left w:val="none" w:sz="0" w:space="0" w:color="auto"/>
        <w:bottom w:val="none" w:sz="0" w:space="0" w:color="auto"/>
        <w:right w:val="none" w:sz="0" w:space="0" w:color="auto"/>
      </w:divBdr>
    </w:div>
    <w:div w:id="1907952555">
      <w:bodyDiv w:val="1"/>
      <w:marLeft w:val="0"/>
      <w:marRight w:val="0"/>
      <w:marTop w:val="0"/>
      <w:marBottom w:val="0"/>
      <w:divBdr>
        <w:top w:val="none" w:sz="0" w:space="0" w:color="auto"/>
        <w:left w:val="none" w:sz="0" w:space="0" w:color="auto"/>
        <w:bottom w:val="none" w:sz="0" w:space="0" w:color="auto"/>
        <w:right w:val="none" w:sz="0" w:space="0" w:color="auto"/>
      </w:divBdr>
    </w:div>
    <w:div w:id="1910114900">
      <w:bodyDiv w:val="1"/>
      <w:marLeft w:val="0"/>
      <w:marRight w:val="0"/>
      <w:marTop w:val="0"/>
      <w:marBottom w:val="0"/>
      <w:divBdr>
        <w:top w:val="none" w:sz="0" w:space="0" w:color="auto"/>
        <w:left w:val="none" w:sz="0" w:space="0" w:color="auto"/>
        <w:bottom w:val="none" w:sz="0" w:space="0" w:color="auto"/>
        <w:right w:val="none" w:sz="0" w:space="0" w:color="auto"/>
      </w:divBdr>
    </w:div>
    <w:div w:id="1911884816">
      <w:bodyDiv w:val="1"/>
      <w:marLeft w:val="0"/>
      <w:marRight w:val="0"/>
      <w:marTop w:val="0"/>
      <w:marBottom w:val="0"/>
      <w:divBdr>
        <w:top w:val="none" w:sz="0" w:space="0" w:color="auto"/>
        <w:left w:val="none" w:sz="0" w:space="0" w:color="auto"/>
        <w:bottom w:val="none" w:sz="0" w:space="0" w:color="auto"/>
        <w:right w:val="none" w:sz="0" w:space="0" w:color="auto"/>
      </w:divBdr>
    </w:div>
    <w:div w:id="1917204360">
      <w:bodyDiv w:val="1"/>
      <w:marLeft w:val="0"/>
      <w:marRight w:val="0"/>
      <w:marTop w:val="0"/>
      <w:marBottom w:val="0"/>
      <w:divBdr>
        <w:top w:val="none" w:sz="0" w:space="0" w:color="auto"/>
        <w:left w:val="none" w:sz="0" w:space="0" w:color="auto"/>
        <w:bottom w:val="none" w:sz="0" w:space="0" w:color="auto"/>
        <w:right w:val="none" w:sz="0" w:space="0" w:color="auto"/>
      </w:divBdr>
    </w:div>
    <w:div w:id="1918713188">
      <w:bodyDiv w:val="1"/>
      <w:marLeft w:val="0"/>
      <w:marRight w:val="0"/>
      <w:marTop w:val="0"/>
      <w:marBottom w:val="0"/>
      <w:divBdr>
        <w:top w:val="none" w:sz="0" w:space="0" w:color="auto"/>
        <w:left w:val="none" w:sz="0" w:space="0" w:color="auto"/>
        <w:bottom w:val="none" w:sz="0" w:space="0" w:color="auto"/>
        <w:right w:val="none" w:sz="0" w:space="0" w:color="auto"/>
      </w:divBdr>
    </w:div>
    <w:div w:id="1920559837">
      <w:bodyDiv w:val="1"/>
      <w:marLeft w:val="0"/>
      <w:marRight w:val="0"/>
      <w:marTop w:val="0"/>
      <w:marBottom w:val="0"/>
      <w:divBdr>
        <w:top w:val="none" w:sz="0" w:space="0" w:color="auto"/>
        <w:left w:val="none" w:sz="0" w:space="0" w:color="auto"/>
        <w:bottom w:val="none" w:sz="0" w:space="0" w:color="auto"/>
        <w:right w:val="none" w:sz="0" w:space="0" w:color="auto"/>
      </w:divBdr>
    </w:div>
    <w:div w:id="1921674102">
      <w:bodyDiv w:val="1"/>
      <w:marLeft w:val="0"/>
      <w:marRight w:val="0"/>
      <w:marTop w:val="0"/>
      <w:marBottom w:val="0"/>
      <w:divBdr>
        <w:top w:val="none" w:sz="0" w:space="0" w:color="auto"/>
        <w:left w:val="none" w:sz="0" w:space="0" w:color="auto"/>
        <w:bottom w:val="none" w:sz="0" w:space="0" w:color="auto"/>
        <w:right w:val="none" w:sz="0" w:space="0" w:color="auto"/>
      </w:divBdr>
    </w:div>
    <w:div w:id="1921796009">
      <w:bodyDiv w:val="1"/>
      <w:marLeft w:val="0"/>
      <w:marRight w:val="0"/>
      <w:marTop w:val="0"/>
      <w:marBottom w:val="0"/>
      <w:divBdr>
        <w:top w:val="none" w:sz="0" w:space="0" w:color="auto"/>
        <w:left w:val="none" w:sz="0" w:space="0" w:color="auto"/>
        <w:bottom w:val="none" w:sz="0" w:space="0" w:color="auto"/>
        <w:right w:val="none" w:sz="0" w:space="0" w:color="auto"/>
      </w:divBdr>
    </w:div>
    <w:div w:id="1925989675">
      <w:bodyDiv w:val="1"/>
      <w:marLeft w:val="0"/>
      <w:marRight w:val="0"/>
      <w:marTop w:val="0"/>
      <w:marBottom w:val="0"/>
      <w:divBdr>
        <w:top w:val="none" w:sz="0" w:space="0" w:color="auto"/>
        <w:left w:val="none" w:sz="0" w:space="0" w:color="auto"/>
        <w:bottom w:val="none" w:sz="0" w:space="0" w:color="auto"/>
        <w:right w:val="none" w:sz="0" w:space="0" w:color="auto"/>
      </w:divBdr>
    </w:div>
    <w:div w:id="1929343509">
      <w:bodyDiv w:val="1"/>
      <w:marLeft w:val="0"/>
      <w:marRight w:val="0"/>
      <w:marTop w:val="0"/>
      <w:marBottom w:val="0"/>
      <w:divBdr>
        <w:top w:val="none" w:sz="0" w:space="0" w:color="auto"/>
        <w:left w:val="none" w:sz="0" w:space="0" w:color="auto"/>
        <w:bottom w:val="none" w:sz="0" w:space="0" w:color="auto"/>
        <w:right w:val="none" w:sz="0" w:space="0" w:color="auto"/>
      </w:divBdr>
    </w:div>
    <w:div w:id="1930574579">
      <w:bodyDiv w:val="1"/>
      <w:marLeft w:val="0"/>
      <w:marRight w:val="0"/>
      <w:marTop w:val="0"/>
      <w:marBottom w:val="0"/>
      <w:divBdr>
        <w:top w:val="none" w:sz="0" w:space="0" w:color="auto"/>
        <w:left w:val="none" w:sz="0" w:space="0" w:color="auto"/>
        <w:bottom w:val="none" w:sz="0" w:space="0" w:color="auto"/>
        <w:right w:val="none" w:sz="0" w:space="0" w:color="auto"/>
      </w:divBdr>
    </w:div>
    <w:div w:id="1931546581">
      <w:bodyDiv w:val="1"/>
      <w:marLeft w:val="0"/>
      <w:marRight w:val="0"/>
      <w:marTop w:val="0"/>
      <w:marBottom w:val="0"/>
      <w:divBdr>
        <w:top w:val="none" w:sz="0" w:space="0" w:color="auto"/>
        <w:left w:val="none" w:sz="0" w:space="0" w:color="auto"/>
        <w:bottom w:val="none" w:sz="0" w:space="0" w:color="auto"/>
        <w:right w:val="none" w:sz="0" w:space="0" w:color="auto"/>
      </w:divBdr>
    </w:div>
    <w:div w:id="1932859270">
      <w:bodyDiv w:val="1"/>
      <w:marLeft w:val="0"/>
      <w:marRight w:val="0"/>
      <w:marTop w:val="0"/>
      <w:marBottom w:val="0"/>
      <w:divBdr>
        <w:top w:val="none" w:sz="0" w:space="0" w:color="auto"/>
        <w:left w:val="none" w:sz="0" w:space="0" w:color="auto"/>
        <w:bottom w:val="none" w:sz="0" w:space="0" w:color="auto"/>
        <w:right w:val="none" w:sz="0" w:space="0" w:color="auto"/>
      </w:divBdr>
    </w:div>
    <w:div w:id="1935242712">
      <w:bodyDiv w:val="1"/>
      <w:marLeft w:val="0"/>
      <w:marRight w:val="0"/>
      <w:marTop w:val="0"/>
      <w:marBottom w:val="0"/>
      <w:divBdr>
        <w:top w:val="none" w:sz="0" w:space="0" w:color="auto"/>
        <w:left w:val="none" w:sz="0" w:space="0" w:color="auto"/>
        <w:bottom w:val="none" w:sz="0" w:space="0" w:color="auto"/>
        <w:right w:val="none" w:sz="0" w:space="0" w:color="auto"/>
      </w:divBdr>
    </w:div>
    <w:div w:id="1935942713">
      <w:bodyDiv w:val="1"/>
      <w:marLeft w:val="0"/>
      <w:marRight w:val="0"/>
      <w:marTop w:val="0"/>
      <w:marBottom w:val="0"/>
      <w:divBdr>
        <w:top w:val="none" w:sz="0" w:space="0" w:color="auto"/>
        <w:left w:val="none" w:sz="0" w:space="0" w:color="auto"/>
        <w:bottom w:val="none" w:sz="0" w:space="0" w:color="auto"/>
        <w:right w:val="none" w:sz="0" w:space="0" w:color="auto"/>
      </w:divBdr>
    </w:div>
    <w:div w:id="1936741993">
      <w:bodyDiv w:val="1"/>
      <w:marLeft w:val="0"/>
      <w:marRight w:val="0"/>
      <w:marTop w:val="0"/>
      <w:marBottom w:val="0"/>
      <w:divBdr>
        <w:top w:val="none" w:sz="0" w:space="0" w:color="auto"/>
        <w:left w:val="none" w:sz="0" w:space="0" w:color="auto"/>
        <w:bottom w:val="none" w:sz="0" w:space="0" w:color="auto"/>
        <w:right w:val="none" w:sz="0" w:space="0" w:color="auto"/>
      </w:divBdr>
      <w:divsChild>
        <w:div w:id="4090788">
          <w:marLeft w:val="0"/>
          <w:marRight w:val="0"/>
          <w:marTop w:val="0"/>
          <w:marBottom w:val="0"/>
          <w:divBdr>
            <w:top w:val="none" w:sz="0" w:space="0" w:color="auto"/>
            <w:left w:val="none" w:sz="0" w:space="0" w:color="auto"/>
            <w:bottom w:val="none" w:sz="0" w:space="0" w:color="auto"/>
            <w:right w:val="none" w:sz="0" w:space="0" w:color="auto"/>
          </w:divBdr>
        </w:div>
        <w:div w:id="17245434">
          <w:marLeft w:val="0"/>
          <w:marRight w:val="0"/>
          <w:marTop w:val="0"/>
          <w:marBottom w:val="0"/>
          <w:divBdr>
            <w:top w:val="none" w:sz="0" w:space="0" w:color="auto"/>
            <w:left w:val="none" w:sz="0" w:space="0" w:color="auto"/>
            <w:bottom w:val="none" w:sz="0" w:space="0" w:color="auto"/>
            <w:right w:val="none" w:sz="0" w:space="0" w:color="auto"/>
          </w:divBdr>
        </w:div>
        <w:div w:id="33384815">
          <w:marLeft w:val="0"/>
          <w:marRight w:val="0"/>
          <w:marTop w:val="0"/>
          <w:marBottom w:val="0"/>
          <w:divBdr>
            <w:top w:val="none" w:sz="0" w:space="0" w:color="auto"/>
            <w:left w:val="none" w:sz="0" w:space="0" w:color="auto"/>
            <w:bottom w:val="none" w:sz="0" w:space="0" w:color="auto"/>
            <w:right w:val="none" w:sz="0" w:space="0" w:color="auto"/>
          </w:divBdr>
        </w:div>
        <w:div w:id="55670211">
          <w:marLeft w:val="0"/>
          <w:marRight w:val="0"/>
          <w:marTop w:val="0"/>
          <w:marBottom w:val="0"/>
          <w:divBdr>
            <w:top w:val="none" w:sz="0" w:space="0" w:color="auto"/>
            <w:left w:val="none" w:sz="0" w:space="0" w:color="auto"/>
            <w:bottom w:val="none" w:sz="0" w:space="0" w:color="auto"/>
            <w:right w:val="none" w:sz="0" w:space="0" w:color="auto"/>
          </w:divBdr>
        </w:div>
        <w:div w:id="71893362">
          <w:marLeft w:val="0"/>
          <w:marRight w:val="0"/>
          <w:marTop w:val="0"/>
          <w:marBottom w:val="0"/>
          <w:divBdr>
            <w:top w:val="none" w:sz="0" w:space="0" w:color="auto"/>
            <w:left w:val="none" w:sz="0" w:space="0" w:color="auto"/>
            <w:bottom w:val="none" w:sz="0" w:space="0" w:color="auto"/>
            <w:right w:val="none" w:sz="0" w:space="0" w:color="auto"/>
          </w:divBdr>
        </w:div>
        <w:div w:id="173883491">
          <w:marLeft w:val="0"/>
          <w:marRight w:val="0"/>
          <w:marTop w:val="0"/>
          <w:marBottom w:val="0"/>
          <w:divBdr>
            <w:top w:val="none" w:sz="0" w:space="0" w:color="auto"/>
            <w:left w:val="none" w:sz="0" w:space="0" w:color="auto"/>
            <w:bottom w:val="none" w:sz="0" w:space="0" w:color="auto"/>
            <w:right w:val="none" w:sz="0" w:space="0" w:color="auto"/>
          </w:divBdr>
        </w:div>
        <w:div w:id="184908390">
          <w:marLeft w:val="0"/>
          <w:marRight w:val="0"/>
          <w:marTop w:val="0"/>
          <w:marBottom w:val="0"/>
          <w:divBdr>
            <w:top w:val="none" w:sz="0" w:space="0" w:color="auto"/>
            <w:left w:val="none" w:sz="0" w:space="0" w:color="auto"/>
            <w:bottom w:val="none" w:sz="0" w:space="0" w:color="auto"/>
            <w:right w:val="none" w:sz="0" w:space="0" w:color="auto"/>
          </w:divBdr>
        </w:div>
        <w:div w:id="190463378">
          <w:marLeft w:val="0"/>
          <w:marRight w:val="0"/>
          <w:marTop w:val="0"/>
          <w:marBottom w:val="0"/>
          <w:divBdr>
            <w:top w:val="none" w:sz="0" w:space="0" w:color="auto"/>
            <w:left w:val="none" w:sz="0" w:space="0" w:color="auto"/>
            <w:bottom w:val="none" w:sz="0" w:space="0" w:color="auto"/>
            <w:right w:val="none" w:sz="0" w:space="0" w:color="auto"/>
          </w:divBdr>
        </w:div>
        <w:div w:id="291639181">
          <w:marLeft w:val="0"/>
          <w:marRight w:val="0"/>
          <w:marTop w:val="0"/>
          <w:marBottom w:val="0"/>
          <w:divBdr>
            <w:top w:val="none" w:sz="0" w:space="0" w:color="auto"/>
            <w:left w:val="none" w:sz="0" w:space="0" w:color="auto"/>
            <w:bottom w:val="none" w:sz="0" w:space="0" w:color="auto"/>
            <w:right w:val="none" w:sz="0" w:space="0" w:color="auto"/>
          </w:divBdr>
        </w:div>
        <w:div w:id="317344601">
          <w:marLeft w:val="0"/>
          <w:marRight w:val="0"/>
          <w:marTop w:val="0"/>
          <w:marBottom w:val="0"/>
          <w:divBdr>
            <w:top w:val="none" w:sz="0" w:space="0" w:color="auto"/>
            <w:left w:val="none" w:sz="0" w:space="0" w:color="auto"/>
            <w:bottom w:val="none" w:sz="0" w:space="0" w:color="auto"/>
            <w:right w:val="none" w:sz="0" w:space="0" w:color="auto"/>
          </w:divBdr>
        </w:div>
        <w:div w:id="343287977">
          <w:marLeft w:val="0"/>
          <w:marRight w:val="0"/>
          <w:marTop w:val="0"/>
          <w:marBottom w:val="0"/>
          <w:divBdr>
            <w:top w:val="none" w:sz="0" w:space="0" w:color="auto"/>
            <w:left w:val="none" w:sz="0" w:space="0" w:color="auto"/>
            <w:bottom w:val="none" w:sz="0" w:space="0" w:color="auto"/>
            <w:right w:val="none" w:sz="0" w:space="0" w:color="auto"/>
          </w:divBdr>
        </w:div>
        <w:div w:id="346559183">
          <w:marLeft w:val="0"/>
          <w:marRight w:val="0"/>
          <w:marTop w:val="0"/>
          <w:marBottom w:val="0"/>
          <w:divBdr>
            <w:top w:val="none" w:sz="0" w:space="0" w:color="auto"/>
            <w:left w:val="none" w:sz="0" w:space="0" w:color="auto"/>
            <w:bottom w:val="none" w:sz="0" w:space="0" w:color="auto"/>
            <w:right w:val="none" w:sz="0" w:space="0" w:color="auto"/>
          </w:divBdr>
        </w:div>
        <w:div w:id="370497378">
          <w:marLeft w:val="0"/>
          <w:marRight w:val="0"/>
          <w:marTop w:val="0"/>
          <w:marBottom w:val="0"/>
          <w:divBdr>
            <w:top w:val="none" w:sz="0" w:space="0" w:color="auto"/>
            <w:left w:val="none" w:sz="0" w:space="0" w:color="auto"/>
            <w:bottom w:val="none" w:sz="0" w:space="0" w:color="auto"/>
            <w:right w:val="none" w:sz="0" w:space="0" w:color="auto"/>
          </w:divBdr>
        </w:div>
        <w:div w:id="377317255">
          <w:marLeft w:val="0"/>
          <w:marRight w:val="0"/>
          <w:marTop w:val="0"/>
          <w:marBottom w:val="0"/>
          <w:divBdr>
            <w:top w:val="none" w:sz="0" w:space="0" w:color="auto"/>
            <w:left w:val="none" w:sz="0" w:space="0" w:color="auto"/>
            <w:bottom w:val="none" w:sz="0" w:space="0" w:color="auto"/>
            <w:right w:val="none" w:sz="0" w:space="0" w:color="auto"/>
          </w:divBdr>
        </w:div>
        <w:div w:id="402147296">
          <w:marLeft w:val="0"/>
          <w:marRight w:val="0"/>
          <w:marTop w:val="0"/>
          <w:marBottom w:val="0"/>
          <w:divBdr>
            <w:top w:val="none" w:sz="0" w:space="0" w:color="auto"/>
            <w:left w:val="none" w:sz="0" w:space="0" w:color="auto"/>
            <w:bottom w:val="none" w:sz="0" w:space="0" w:color="auto"/>
            <w:right w:val="none" w:sz="0" w:space="0" w:color="auto"/>
          </w:divBdr>
        </w:div>
        <w:div w:id="419185519">
          <w:marLeft w:val="0"/>
          <w:marRight w:val="0"/>
          <w:marTop w:val="0"/>
          <w:marBottom w:val="0"/>
          <w:divBdr>
            <w:top w:val="none" w:sz="0" w:space="0" w:color="auto"/>
            <w:left w:val="none" w:sz="0" w:space="0" w:color="auto"/>
            <w:bottom w:val="none" w:sz="0" w:space="0" w:color="auto"/>
            <w:right w:val="none" w:sz="0" w:space="0" w:color="auto"/>
          </w:divBdr>
        </w:div>
        <w:div w:id="434056991">
          <w:marLeft w:val="0"/>
          <w:marRight w:val="0"/>
          <w:marTop w:val="0"/>
          <w:marBottom w:val="0"/>
          <w:divBdr>
            <w:top w:val="none" w:sz="0" w:space="0" w:color="auto"/>
            <w:left w:val="none" w:sz="0" w:space="0" w:color="auto"/>
            <w:bottom w:val="none" w:sz="0" w:space="0" w:color="auto"/>
            <w:right w:val="none" w:sz="0" w:space="0" w:color="auto"/>
          </w:divBdr>
        </w:div>
        <w:div w:id="437528758">
          <w:marLeft w:val="0"/>
          <w:marRight w:val="0"/>
          <w:marTop w:val="0"/>
          <w:marBottom w:val="0"/>
          <w:divBdr>
            <w:top w:val="none" w:sz="0" w:space="0" w:color="auto"/>
            <w:left w:val="none" w:sz="0" w:space="0" w:color="auto"/>
            <w:bottom w:val="none" w:sz="0" w:space="0" w:color="auto"/>
            <w:right w:val="none" w:sz="0" w:space="0" w:color="auto"/>
          </w:divBdr>
        </w:div>
        <w:div w:id="437870911">
          <w:marLeft w:val="0"/>
          <w:marRight w:val="0"/>
          <w:marTop w:val="0"/>
          <w:marBottom w:val="0"/>
          <w:divBdr>
            <w:top w:val="none" w:sz="0" w:space="0" w:color="auto"/>
            <w:left w:val="none" w:sz="0" w:space="0" w:color="auto"/>
            <w:bottom w:val="none" w:sz="0" w:space="0" w:color="auto"/>
            <w:right w:val="none" w:sz="0" w:space="0" w:color="auto"/>
          </w:divBdr>
        </w:div>
        <w:div w:id="440338407">
          <w:marLeft w:val="0"/>
          <w:marRight w:val="0"/>
          <w:marTop w:val="0"/>
          <w:marBottom w:val="0"/>
          <w:divBdr>
            <w:top w:val="none" w:sz="0" w:space="0" w:color="auto"/>
            <w:left w:val="none" w:sz="0" w:space="0" w:color="auto"/>
            <w:bottom w:val="none" w:sz="0" w:space="0" w:color="auto"/>
            <w:right w:val="none" w:sz="0" w:space="0" w:color="auto"/>
          </w:divBdr>
        </w:div>
        <w:div w:id="443614711">
          <w:marLeft w:val="0"/>
          <w:marRight w:val="0"/>
          <w:marTop w:val="0"/>
          <w:marBottom w:val="0"/>
          <w:divBdr>
            <w:top w:val="none" w:sz="0" w:space="0" w:color="auto"/>
            <w:left w:val="none" w:sz="0" w:space="0" w:color="auto"/>
            <w:bottom w:val="none" w:sz="0" w:space="0" w:color="auto"/>
            <w:right w:val="none" w:sz="0" w:space="0" w:color="auto"/>
          </w:divBdr>
        </w:div>
        <w:div w:id="478302402">
          <w:marLeft w:val="0"/>
          <w:marRight w:val="0"/>
          <w:marTop w:val="0"/>
          <w:marBottom w:val="0"/>
          <w:divBdr>
            <w:top w:val="none" w:sz="0" w:space="0" w:color="auto"/>
            <w:left w:val="none" w:sz="0" w:space="0" w:color="auto"/>
            <w:bottom w:val="none" w:sz="0" w:space="0" w:color="auto"/>
            <w:right w:val="none" w:sz="0" w:space="0" w:color="auto"/>
          </w:divBdr>
        </w:div>
        <w:div w:id="498811434">
          <w:marLeft w:val="0"/>
          <w:marRight w:val="0"/>
          <w:marTop w:val="0"/>
          <w:marBottom w:val="0"/>
          <w:divBdr>
            <w:top w:val="none" w:sz="0" w:space="0" w:color="auto"/>
            <w:left w:val="none" w:sz="0" w:space="0" w:color="auto"/>
            <w:bottom w:val="none" w:sz="0" w:space="0" w:color="auto"/>
            <w:right w:val="none" w:sz="0" w:space="0" w:color="auto"/>
          </w:divBdr>
        </w:div>
        <w:div w:id="505094037">
          <w:marLeft w:val="0"/>
          <w:marRight w:val="0"/>
          <w:marTop w:val="0"/>
          <w:marBottom w:val="0"/>
          <w:divBdr>
            <w:top w:val="none" w:sz="0" w:space="0" w:color="auto"/>
            <w:left w:val="none" w:sz="0" w:space="0" w:color="auto"/>
            <w:bottom w:val="none" w:sz="0" w:space="0" w:color="auto"/>
            <w:right w:val="none" w:sz="0" w:space="0" w:color="auto"/>
          </w:divBdr>
        </w:div>
        <w:div w:id="519662400">
          <w:marLeft w:val="0"/>
          <w:marRight w:val="0"/>
          <w:marTop w:val="0"/>
          <w:marBottom w:val="0"/>
          <w:divBdr>
            <w:top w:val="none" w:sz="0" w:space="0" w:color="auto"/>
            <w:left w:val="none" w:sz="0" w:space="0" w:color="auto"/>
            <w:bottom w:val="none" w:sz="0" w:space="0" w:color="auto"/>
            <w:right w:val="none" w:sz="0" w:space="0" w:color="auto"/>
          </w:divBdr>
        </w:div>
        <w:div w:id="523785013">
          <w:marLeft w:val="0"/>
          <w:marRight w:val="0"/>
          <w:marTop w:val="0"/>
          <w:marBottom w:val="0"/>
          <w:divBdr>
            <w:top w:val="none" w:sz="0" w:space="0" w:color="auto"/>
            <w:left w:val="none" w:sz="0" w:space="0" w:color="auto"/>
            <w:bottom w:val="none" w:sz="0" w:space="0" w:color="auto"/>
            <w:right w:val="none" w:sz="0" w:space="0" w:color="auto"/>
          </w:divBdr>
        </w:div>
        <w:div w:id="533808281">
          <w:marLeft w:val="0"/>
          <w:marRight w:val="0"/>
          <w:marTop w:val="0"/>
          <w:marBottom w:val="0"/>
          <w:divBdr>
            <w:top w:val="none" w:sz="0" w:space="0" w:color="auto"/>
            <w:left w:val="none" w:sz="0" w:space="0" w:color="auto"/>
            <w:bottom w:val="none" w:sz="0" w:space="0" w:color="auto"/>
            <w:right w:val="none" w:sz="0" w:space="0" w:color="auto"/>
          </w:divBdr>
        </w:div>
        <w:div w:id="537478105">
          <w:marLeft w:val="0"/>
          <w:marRight w:val="0"/>
          <w:marTop w:val="0"/>
          <w:marBottom w:val="0"/>
          <w:divBdr>
            <w:top w:val="none" w:sz="0" w:space="0" w:color="auto"/>
            <w:left w:val="none" w:sz="0" w:space="0" w:color="auto"/>
            <w:bottom w:val="none" w:sz="0" w:space="0" w:color="auto"/>
            <w:right w:val="none" w:sz="0" w:space="0" w:color="auto"/>
          </w:divBdr>
        </w:div>
        <w:div w:id="538976580">
          <w:marLeft w:val="0"/>
          <w:marRight w:val="0"/>
          <w:marTop w:val="0"/>
          <w:marBottom w:val="0"/>
          <w:divBdr>
            <w:top w:val="none" w:sz="0" w:space="0" w:color="auto"/>
            <w:left w:val="none" w:sz="0" w:space="0" w:color="auto"/>
            <w:bottom w:val="none" w:sz="0" w:space="0" w:color="auto"/>
            <w:right w:val="none" w:sz="0" w:space="0" w:color="auto"/>
          </w:divBdr>
        </w:div>
        <w:div w:id="540747059">
          <w:marLeft w:val="0"/>
          <w:marRight w:val="0"/>
          <w:marTop w:val="0"/>
          <w:marBottom w:val="0"/>
          <w:divBdr>
            <w:top w:val="none" w:sz="0" w:space="0" w:color="auto"/>
            <w:left w:val="none" w:sz="0" w:space="0" w:color="auto"/>
            <w:bottom w:val="none" w:sz="0" w:space="0" w:color="auto"/>
            <w:right w:val="none" w:sz="0" w:space="0" w:color="auto"/>
          </w:divBdr>
        </w:div>
        <w:div w:id="542835927">
          <w:marLeft w:val="0"/>
          <w:marRight w:val="0"/>
          <w:marTop w:val="0"/>
          <w:marBottom w:val="0"/>
          <w:divBdr>
            <w:top w:val="none" w:sz="0" w:space="0" w:color="auto"/>
            <w:left w:val="none" w:sz="0" w:space="0" w:color="auto"/>
            <w:bottom w:val="none" w:sz="0" w:space="0" w:color="auto"/>
            <w:right w:val="none" w:sz="0" w:space="0" w:color="auto"/>
          </w:divBdr>
        </w:div>
        <w:div w:id="553153918">
          <w:marLeft w:val="0"/>
          <w:marRight w:val="0"/>
          <w:marTop w:val="0"/>
          <w:marBottom w:val="0"/>
          <w:divBdr>
            <w:top w:val="none" w:sz="0" w:space="0" w:color="auto"/>
            <w:left w:val="none" w:sz="0" w:space="0" w:color="auto"/>
            <w:bottom w:val="none" w:sz="0" w:space="0" w:color="auto"/>
            <w:right w:val="none" w:sz="0" w:space="0" w:color="auto"/>
          </w:divBdr>
        </w:div>
        <w:div w:id="591864510">
          <w:marLeft w:val="0"/>
          <w:marRight w:val="0"/>
          <w:marTop w:val="0"/>
          <w:marBottom w:val="0"/>
          <w:divBdr>
            <w:top w:val="none" w:sz="0" w:space="0" w:color="auto"/>
            <w:left w:val="none" w:sz="0" w:space="0" w:color="auto"/>
            <w:bottom w:val="none" w:sz="0" w:space="0" w:color="auto"/>
            <w:right w:val="none" w:sz="0" w:space="0" w:color="auto"/>
          </w:divBdr>
        </w:div>
        <w:div w:id="597252822">
          <w:marLeft w:val="0"/>
          <w:marRight w:val="0"/>
          <w:marTop w:val="0"/>
          <w:marBottom w:val="0"/>
          <w:divBdr>
            <w:top w:val="none" w:sz="0" w:space="0" w:color="auto"/>
            <w:left w:val="none" w:sz="0" w:space="0" w:color="auto"/>
            <w:bottom w:val="none" w:sz="0" w:space="0" w:color="auto"/>
            <w:right w:val="none" w:sz="0" w:space="0" w:color="auto"/>
          </w:divBdr>
        </w:div>
        <w:div w:id="601107010">
          <w:marLeft w:val="0"/>
          <w:marRight w:val="0"/>
          <w:marTop w:val="0"/>
          <w:marBottom w:val="0"/>
          <w:divBdr>
            <w:top w:val="none" w:sz="0" w:space="0" w:color="auto"/>
            <w:left w:val="none" w:sz="0" w:space="0" w:color="auto"/>
            <w:bottom w:val="none" w:sz="0" w:space="0" w:color="auto"/>
            <w:right w:val="none" w:sz="0" w:space="0" w:color="auto"/>
          </w:divBdr>
        </w:div>
        <w:div w:id="612060453">
          <w:marLeft w:val="0"/>
          <w:marRight w:val="0"/>
          <w:marTop w:val="0"/>
          <w:marBottom w:val="0"/>
          <w:divBdr>
            <w:top w:val="none" w:sz="0" w:space="0" w:color="auto"/>
            <w:left w:val="none" w:sz="0" w:space="0" w:color="auto"/>
            <w:bottom w:val="none" w:sz="0" w:space="0" w:color="auto"/>
            <w:right w:val="none" w:sz="0" w:space="0" w:color="auto"/>
          </w:divBdr>
        </w:div>
        <w:div w:id="628054362">
          <w:marLeft w:val="0"/>
          <w:marRight w:val="0"/>
          <w:marTop w:val="0"/>
          <w:marBottom w:val="0"/>
          <w:divBdr>
            <w:top w:val="none" w:sz="0" w:space="0" w:color="auto"/>
            <w:left w:val="none" w:sz="0" w:space="0" w:color="auto"/>
            <w:bottom w:val="none" w:sz="0" w:space="0" w:color="auto"/>
            <w:right w:val="none" w:sz="0" w:space="0" w:color="auto"/>
          </w:divBdr>
        </w:div>
        <w:div w:id="688290329">
          <w:marLeft w:val="0"/>
          <w:marRight w:val="0"/>
          <w:marTop w:val="0"/>
          <w:marBottom w:val="0"/>
          <w:divBdr>
            <w:top w:val="none" w:sz="0" w:space="0" w:color="auto"/>
            <w:left w:val="none" w:sz="0" w:space="0" w:color="auto"/>
            <w:bottom w:val="none" w:sz="0" w:space="0" w:color="auto"/>
            <w:right w:val="none" w:sz="0" w:space="0" w:color="auto"/>
          </w:divBdr>
        </w:div>
        <w:div w:id="692727954">
          <w:marLeft w:val="0"/>
          <w:marRight w:val="0"/>
          <w:marTop w:val="0"/>
          <w:marBottom w:val="0"/>
          <w:divBdr>
            <w:top w:val="none" w:sz="0" w:space="0" w:color="auto"/>
            <w:left w:val="none" w:sz="0" w:space="0" w:color="auto"/>
            <w:bottom w:val="none" w:sz="0" w:space="0" w:color="auto"/>
            <w:right w:val="none" w:sz="0" w:space="0" w:color="auto"/>
          </w:divBdr>
        </w:div>
        <w:div w:id="723287017">
          <w:marLeft w:val="0"/>
          <w:marRight w:val="0"/>
          <w:marTop w:val="0"/>
          <w:marBottom w:val="0"/>
          <w:divBdr>
            <w:top w:val="none" w:sz="0" w:space="0" w:color="auto"/>
            <w:left w:val="none" w:sz="0" w:space="0" w:color="auto"/>
            <w:bottom w:val="none" w:sz="0" w:space="0" w:color="auto"/>
            <w:right w:val="none" w:sz="0" w:space="0" w:color="auto"/>
          </w:divBdr>
        </w:div>
        <w:div w:id="724108301">
          <w:marLeft w:val="0"/>
          <w:marRight w:val="0"/>
          <w:marTop w:val="0"/>
          <w:marBottom w:val="0"/>
          <w:divBdr>
            <w:top w:val="none" w:sz="0" w:space="0" w:color="auto"/>
            <w:left w:val="none" w:sz="0" w:space="0" w:color="auto"/>
            <w:bottom w:val="none" w:sz="0" w:space="0" w:color="auto"/>
            <w:right w:val="none" w:sz="0" w:space="0" w:color="auto"/>
          </w:divBdr>
        </w:div>
        <w:div w:id="754088930">
          <w:marLeft w:val="0"/>
          <w:marRight w:val="0"/>
          <w:marTop w:val="0"/>
          <w:marBottom w:val="0"/>
          <w:divBdr>
            <w:top w:val="none" w:sz="0" w:space="0" w:color="auto"/>
            <w:left w:val="none" w:sz="0" w:space="0" w:color="auto"/>
            <w:bottom w:val="none" w:sz="0" w:space="0" w:color="auto"/>
            <w:right w:val="none" w:sz="0" w:space="0" w:color="auto"/>
          </w:divBdr>
        </w:div>
        <w:div w:id="759763309">
          <w:marLeft w:val="0"/>
          <w:marRight w:val="0"/>
          <w:marTop w:val="0"/>
          <w:marBottom w:val="0"/>
          <w:divBdr>
            <w:top w:val="none" w:sz="0" w:space="0" w:color="auto"/>
            <w:left w:val="none" w:sz="0" w:space="0" w:color="auto"/>
            <w:bottom w:val="none" w:sz="0" w:space="0" w:color="auto"/>
            <w:right w:val="none" w:sz="0" w:space="0" w:color="auto"/>
          </w:divBdr>
        </w:div>
        <w:div w:id="775711844">
          <w:marLeft w:val="0"/>
          <w:marRight w:val="0"/>
          <w:marTop w:val="0"/>
          <w:marBottom w:val="0"/>
          <w:divBdr>
            <w:top w:val="none" w:sz="0" w:space="0" w:color="auto"/>
            <w:left w:val="none" w:sz="0" w:space="0" w:color="auto"/>
            <w:bottom w:val="none" w:sz="0" w:space="0" w:color="auto"/>
            <w:right w:val="none" w:sz="0" w:space="0" w:color="auto"/>
          </w:divBdr>
        </w:div>
        <w:div w:id="791048584">
          <w:marLeft w:val="0"/>
          <w:marRight w:val="0"/>
          <w:marTop w:val="0"/>
          <w:marBottom w:val="0"/>
          <w:divBdr>
            <w:top w:val="none" w:sz="0" w:space="0" w:color="auto"/>
            <w:left w:val="none" w:sz="0" w:space="0" w:color="auto"/>
            <w:bottom w:val="none" w:sz="0" w:space="0" w:color="auto"/>
            <w:right w:val="none" w:sz="0" w:space="0" w:color="auto"/>
          </w:divBdr>
        </w:div>
        <w:div w:id="810439060">
          <w:marLeft w:val="0"/>
          <w:marRight w:val="0"/>
          <w:marTop w:val="0"/>
          <w:marBottom w:val="0"/>
          <w:divBdr>
            <w:top w:val="none" w:sz="0" w:space="0" w:color="auto"/>
            <w:left w:val="none" w:sz="0" w:space="0" w:color="auto"/>
            <w:bottom w:val="none" w:sz="0" w:space="0" w:color="auto"/>
            <w:right w:val="none" w:sz="0" w:space="0" w:color="auto"/>
          </w:divBdr>
        </w:div>
        <w:div w:id="812260706">
          <w:marLeft w:val="0"/>
          <w:marRight w:val="0"/>
          <w:marTop w:val="0"/>
          <w:marBottom w:val="0"/>
          <w:divBdr>
            <w:top w:val="none" w:sz="0" w:space="0" w:color="auto"/>
            <w:left w:val="none" w:sz="0" w:space="0" w:color="auto"/>
            <w:bottom w:val="none" w:sz="0" w:space="0" w:color="auto"/>
            <w:right w:val="none" w:sz="0" w:space="0" w:color="auto"/>
          </w:divBdr>
        </w:div>
        <w:div w:id="828793736">
          <w:marLeft w:val="0"/>
          <w:marRight w:val="0"/>
          <w:marTop w:val="0"/>
          <w:marBottom w:val="0"/>
          <w:divBdr>
            <w:top w:val="none" w:sz="0" w:space="0" w:color="auto"/>
            <w:left w:val="none" w:sz="0" w:space="0" w:color="auto"/>
            <w:bottom w:val="none" w:sz="0" w:space="0" w:color="auto"/>
            <w:right w:val="none" w:sz="0" w:space="0" w:color="auto"/>
          </w:divBdr>
        </w:div>
        <w:div w:id="832379327">
          <w:marLeft w:val="0"/>
          <w:marRight w:val="0"/>
          <w:marTop w:val="0"/>
          <w:marBottom w:val="0"/>
          <w:divBdr>
            <w:top w:val="none" w:sz="0" w:space="0" w:color="auto"/>
            <w:left w:val="none" w:sz="0" w:space="0" w:color="auto"/>
            <w:bottom w:val="none" w:sz="0" w:space="0" w:color="auto"/>
            <w:right w:val="none" w:sz="0" w:space="0" w:color="auto"/>
          </w:divBdr>
        </w:div>
        <w:div w:id="836073474">
          <w:marLeft w:val="0"/>
          <w:marRight w:val="0"/>
          <w:marTop w:val="0"/>
          <w:marBottom w:val="0"/>
          <w:divBdr>
            <w:top w:val="none" w:sz="0" w:space="0" w:color="auto"/>
            <w:left w:val="none" w:sz="0" w:space="0" w:color="auto"/>
            <w:bottom w:val="none" w:sz="0" w:space="0" w:color="auto"/>
            <w:right w:val="none" w:sz="0" w:space="0" w:color="auto"/>
          </w:divBdr>
        </w:div>
        <w:div w:id="857818321">
          <w:marLeft w:val="0"/>
          <w:marRight w:val="0"/>
          <w:marTop w:val="0"/>
          <w:marBottom w:val="0"/>
          <w:divBdr>
            <w:top w:val="none" w:sz="0" w:space="0" w:color="auto"/>
            <w:left w:val="none" w:sz="0" w:space="0" w:color="auto"/>
            <w:bottom w:val="none" w:sz="0" w:space="0" w:color="auto"/>
            <w:right w:val="none" w:sz="0" w:space="0" w:color="auto"/>
          </w:divBdr>
        </w:div>
        <w:div w:id="858348083">
          <w:marLeft w:val="0"/>
          <w:marRight w:val="0"/>
          <w:marTop w:val="0"/>
          <w:marBottom w:val="0"/>
          <w:divBdr>
            <w:top w:val="none" w:sz="0" w:space="0" w:color="auto"/>
            <w:left w:val="none" w:sz="0" w:space="0" w:color="auto"/>
            <w:bottom w:val="none" w:sz="0" w:space="0" w:color="auto"/>
            <w:right w:val="none" w:sz="0" w:space="0" w:color="auto"/>
          </w:divBdr>
        </w:div>
        <w:div w:id="870385822">
          <w:marLeft w:val="0"/>
          <w:marRight w:val="0"/>
          <w:marTop w:val="0"/>
          <w:marBottom w:val="0"/>
          <w:divBdr>
            <w:top w:val="none" w:sz="0" w:space="0" w:color="auto"/>
            <w:left w:val="none" w:sz="0" w:space="0" w:color="auto"/>
            <w:bottom w:val="none" w:sz="0" w:space="0" w:color="auto"/>
            <w:right w:val="none" w:sz="0" w:space="0" w:color="auto"/>
          </w:divBdr>
        </w:div>
        <w:div w:id="895093888">
          <w:marLeft w:val="0"/>
          <w:marRight w:val="0"/>
          <w:marTop w:val="0"/>
          <w:marBottom w:val="0"/>
          <w:divBdr>
            <w:top w:val="none" w:sz="0" w:space="0" w:color="auto"/>
            <w:left w:val="none" w:sz="0" w:space="0" w:color="auto"/>
            <w:bottom w:val="none" w:sz="0" w:space="0" w:color="auto"/>
            <w:right w:val="none" w:sz="0" w:space="0" w:color="auto"/>
          </w:divBdr>
        </w:div>
        <w:div w:id="928536360">
          <w:marLeft w:val="0"/>
          <w:marRight w:val="0"/>
          <w:marTop w:val="0"/>
          <w:marBottom w:val="0"/>
          <w:divBdr>
            <w:top w:val="none" w:sz="0" w:space="0" w:color="auto"/>
            <w:left w:val="none" w:sz="0" w:space="0" w:color="auto"/>
            <w:bottom w:val="none" w:sz="0" w:space="0" w:color="auto"/>
            <w:right w:val="none" w:sz="0" w:space="0" w:color="auto"/>
          </w:divBdr>
        </w:div>
        <w:div w:id="960651955">
          <w:marLeft w:val="0"/>
          <w:marRight w:val="0"/>
          <w:marTop w:val="0"/>
          <w:marBottom w:val="0"/>
          <w:divBdr>
            <w:top w:val="none" w:sz="0" w:space="0" w:color="auto"/>
            <w:left w:val="none" w:sz="0" w:space="0" w:color="auto"/>
            <w:bottom w:val="none" w:sz="0" w:space="0" w:color="auto"/>
            <w:right w:val="none" w:sz="0" w:space="0" w:color="auto"/>
          </w:divBdr>
        </w:div>
        <w:div w:id="979189733">
          <w:marLeft w:val="0"/>
          <w:marRight w:val="0"/>
          <w:marTop w:val="0"/>
          <w:marBottom w:val="0"/>
          <w:divBdr>
            <w:top w:val="none" w:sz="0" w:space="0" w:color="auto"/>
            <w:left w:val="none" w:sz="0" w:space="0" w:color="auto"/>
            <w:bottom w:val="none" w:sz="0" w:space="0" w:color="auto"/>
            <w:right w:val="none" w:sz="0" w:space="0" w:color="auto"/>
          </w:divBdr>
        </w:div>
        <w:div w:id="986856478">
          <w:marLeft w:val="0"/>
          <w:marRight w:val="0"/>
          <w:marTop w:val="0"/>
          <w:marBottom w:val="0"/>
          <w:divBdr>
            <w:top w:val="none" w:sz="0" w:space="0" w:color="auto"/>
            <w:left w:val="none" w:sz="0" w:space="0" w:color="auto"/>
            <w:bottom w:val="none" w:sz="0" w:space="0" w:color="auto"/>
            <w:right w:val="none" w:sz="0" w:space="0" w:color="auto"/>
          </w:divBdr>
        </w:div>
        <w:div w:id="1002509758">
          <w:marLeft w:val="0"/>
          <w:marRight w:val="0"/>
          <w:marTop w:val="0"/>
          <w:marBottom w:val="0"/>
          <w:divBdr>
            <w:top w:val="none" w:sz="0" w:space="0" w:color="auto"/>
            <w:left w:val="none" w:sz="0" w:space="0" w:color="auto"/>
            <w:bottom w:val="none" w:sz="0" w:space="0" w:color="auto"/>
            <w:right w:val="none" w:sz="0" w:space="0" w:color="auto"/>
          </w:divBdr>
        </w:div>
        <w:div w:id="1019237333">
          <w:marLeft w:val="0"/>
          <w:marRight w:val="0"/>
          <w:marTop w:val="0"/>
          <w:marBottom w:val="0"/>
          <w:divBdr>
            <w:top w:val="none" w:sz="0" w:space="0" w:color="auto"/>
            <w:left w:val="none" w:sz="0" w:space="0" w:color="auto"/>
            <w:bottom w:val="none" w:sz="0" w:space="0" w:color="auto"/>
            <w:right w:val="none" w:sz="0" w:space="0" w:color="auto"/>
          </w:divBdr>
        </w:div>
        <w:div w:id="1023555527">
          <w:marLeft w:val="0"/>
          <w:marRight w:val="0"/>
          <w:marTop w:val="0"/>
          <w:marBottom w:val="0"/>
          <w:divBdr>
            <w:top w:val="none" w:sz="0" w:space="0" w:color="auto"/>
            <w:left w:val="none" w:sz="0" w:space="0" w:color="auto"/>
            <w:bottom w:val="none" w:sz="0" w:space="0" w:color="auto"/>
            <w:right w:val="none" w:sz="0" w:space="0" w:color="auto"/>
          </w:divBdr>
        </w:div>
        <w:div w:id="1031613719">
          <w:marLeft w:val="0"/>
          <w:marRight w:val="0"/>
          <w:marTop w:val="0"/>
          <w:marBottom w:val="0"/>
          <w:divBdr>
            <w:top w:val="none" w:sz="0" w:space="0" w:color="auto"/>
            <w:left w:val="none" w:sz="0" w:space="0" w:color="auto"/>
            <w:bottom w:val="none" w:sz="0" w:space="0" w:color="auto"/>
            <w:right w:val="none" w:sz="0" w:space="0" w:color="auto"/>
          </w:divBdr>
        </w:div>
        <w:div w:id="1041321067">
          <w:marLeft w:val="0"/>
          <w:marRight w:val="0"/>
          <w:marTop w:val="0"/>
          <w:marBottom w:val="0"/>
          <w:divBdr>
            <w:top w:val="none" w:sz="0" w:space="0" w:color="auto"/>
            <w:left w:val="none" w:sz="0" w:space="0" w:color="auto"/>
            <w:bottom w:val="none" w:sz="0" w:space="0" w:color="auto"/>
            <w:right w:val="none" w:sz="0" w:space="0" w:color="auto"/>
          </w:divBdr>
        </w:div>
        <w:div w:id="1049299353">
          <w:marLeft w:val="0"/>
          <w:marRight w:val="0"/>
          <w:marTop w:val="0"/>
          <w:marBottom w:val="0"/>
          <w:divBdr>
            <w:top w:val="none" w:sz="0" w:space="0" w:color="auto"/>
            <w:left w:val="none" w:sz="0" w:space="0" w:color="auto"/>
            <w:bottom w:val="none" w:sz="0" w:space="0" w:color="auto"/>
            <w:right w:val="none" w:sz="0" w:space="0" w:color="auto"/>
          </w:divBdr>
        </w:div>
        <w:div w:id="1072701680">
          <w:marLeft w:val="0"/>
          <w:marRight w:val="0"/>
          <w:marTop w:val="0"/>
          <w:marBottom w:val="0"/>
          <w:divBdr>
            <w:top w:val="none" w:sz="0" w:space="0" w:color="auto"/>
            <w:left w:val="none" w:sz="0" w:space="0" w:color="auto"/>
            <w:bottom w:val="none" w:sz="0" w:space="0" w:color="auto"/>
            <w:right w:val="none" w:sz="0" w:space="0" w:color="auto"/>
          </w:divBdr>
        </w:div>
        <w:div w:id="1114712713">
          <w:marLeft w:val="0"/>
          <w:marRight w:val="0"/>
          <w:marTop w:val="0"/>
          <w:marBottom w:val="0"/>
          <w:divBdr>
            <w:top w:val="none" w:sz="0" w:space="0" w:color="auto"/>
            <w:left w:val="none" w:sz="0" w:space="0" w:color="auto"/>
            <w:bottom w:val="none" w:sz="0" w:space="0" w:color="auto"/>
            <w:right w:val="none" w:sz="0" w:space="0" w:color="auto"/>
          </w:divBdr>
        </w:div>
        <w:div w:id="1140347680">
          <w:marLeft w:val="0"/>
          <w:marRight w:val="0"/>
          <w:marTop w:val="0"/>
          <w:marBottom w:val="0"/>
          <w:divBdr>
            <w:top w:val="none" w:sz="0" w:space="0" w:color="auto"/>
            <w:left w:val="none" w:sz="0" w:space="0" w:color="auto"/>
            <w:bottom w:val="none" w:sz="0" w:space="0" w:color="auto"/>
            <w:right w:val="none" w:sz="0" w:space="0" w:color="auto"/>
          </w:divBdr>
        </w:div>
        <w:div w:id="1140418502">
          <w:marLeft w:val="0"/>
          <w:marRight w:val="0"/>
          <w:marTop w:val="0"/>
          <w:marBottom w:val="0"/>
          <w:divBdr>
            <w:top w:val="none" w:sz="0" w:space="0" w:color="auto"/>
            <w:left w:val="none" w:sz="0" w:space="0" w:color="auto"/>
            <w:bottom w:val="none" w:sz="0" w:space="0" w:color="auto"/>
            <w:right w:val="none" w:sz="0" w:space="0" w:color="auto"/>
          </w:divBdr>
        </w:div>
        <w:div w:id="1144784086">
          <w:marLeft w:val="0"/>
          <w:marRight w:val="0"/>
          <w:marTop w:val="0"/>
          <w:marBottom w:val="0"/>
          <w:divBdr>
            <w:top w:val="none" w:sz="0" w:space="0" w:color="auto"/>
            <w:left w:val="none" w:sz="0" w:space="0" w:color="auto"/>
            <w:bottom w:val="none" w:sz="0" w:space="0" w:color="auto"/>
            <w:right w:val="none" w:sz="0" w:space="0" w:color="auto"/>
          </w:divBdr>
        </w:div>
        <w:div w:id="1177767985">
          <w:marLeft w:val="0"/>
          <w:marRight w:val="0"/>
          <w:marTop w:val="0"/>
          <w:marBottom w:val="0"/>
          <w:divBdr>
            <w:top w:val="none" w:sz="0" w:space="0" w:color="auto"/>
            <w:left w:val="none" w:sz="0" w:space="0" w:color="auto"/>
            <w:bottom w:val="none" w:sz="0" w:space="0" w:color="auto"/>
            <w:right w:val="none" w:sz="0" w:space="0" w:color="auto"/>
          </w:divBdr>
        </w:div>
        <w:div w:id="1183319994">
          <w:marLeft w:val="0"/>
          <w:marRight w:val="0"/>
          <w:marTop w:val="0"/>
          <w:marBottom w:val="0"/>
          <w:divBdr>
            <w:top w:val="none" w:sz="0" w:space="0" w:color="auto"/>
            <w:left w:val="none" w:sz="0" w:space="0" w:color="auto"/>
            <w:bottom w:val="none" w:sz="0" w:space="0" w:color="auto"/>
            <w:right w:val="none" w:sz="0" w:space="0" w:color="auto"/>
          </w:divBdr>
        </w:div>
        <w:div w:id="1189441998">
          <w:marLeft w:val="0"/>
          <w:marRight w:val="0"/>
          <w:marTop w:val="0"/>
          <w:marBottom w:val="0"/>
          <w:divBdr>
            <w:top w:val="none" w:sz="0" w:space="0" w:color="auto"/>
            <w:left w:val="none" w:sz="0" w:space="0" w:color="auto"/>
            <w:bottom w:val="none" w:sz="0" w:space="0" w:color="auto"/>
            <w:right w:val="none" w:sz="0" w:space="0" w:color="auto"/>
          </w:divBdr>
        </w:div>
        <w:div w:id="1189559816">
          <w:marLeft w:val="0"/>
          <w:marRight w:val="0"/>
          <w:marTop w:val="0"/>
          <w:marBottom w:val="0"/>
          <w:divBdr>
            <w:top w:val="none" w:sz="0" w:space="0" w:color="auto"/>
            <w:left w:val="none" w:sz="0" w:space="0" w:color="auto"/>
            <w:bottom w:val="none" w:sz="0" w:space="0" w:color="auto"/>
            <w:right w:val="none" w:sz="0" w:space="0" w:color="auto"/>
          </w:divBdr>
        </w:div>
        <w:div w:id="1189904150">
          <w:marLeft w:val="0"/>
          <w:marRight w:val="0"/>
          <w:marTop w:val="0"/>
          <w:marBottom w:val="0"/>
          <w:divBdr>
            <w:top w:val="none" w:sz="0" w:space="0" w:color="auto"/>
            <w:left w:val="none" w:sz="0" w:space="0" w:color="auto"/>
            <w:bottom w:val="none" w:sz="0" w:space="0" w:color="auto"/>
            <w:right w:val="none" w:sz="0" w:space="0" w:color="auto"/>
          </w:divBdr>
        </w:div>
        <w:div w:id="1191257006">
          <w:marLeft w:val="0"/>
          <w:marRight w:val="0"/>
          <w:marTop w:val="0"/>
          <w:marBottom w:val="0"/>
          <w:divBdr>
            <w:top w:val="none" w:sz="0" w:space="0" w:color="auto"/>
            <w:left w:val="none" w:sz="0" w:space="0" w:color="auto"/>
            <w:bottom w:val="none" w:sz="0" w:space="0" w:color="auto"/>
            <w:right w:val="none" w:sz="0" w:space="0" w:color="auto"/>
          </w:divBdr>
        </w:div>
        <w:div w:id="1194462985">
          <w:marLeft w:val="0"/>
          <w:marRight w:val="0"/>
          <w:marTop w:val="0"/>
          <w:marBottom w:val="0"/>
          <w:divBdr>
            <w:top w:val="none" w:sz="0" w:space="0" w:color="auto"/>
            <w:left w:val="none" w:sz="0" w:space="0" w:color="auto"/>
            <w:bottom w:val="none" w:sz="0" w:space="0" w:color="auto"/>
            <w:right w:val="none" w:sz="0" w:space="0" w:color="auto"/>
          </w:divBdr>
        </w:div>
        <w:div w:id="1198815090">
          <w:marLeft w:val="0"/>
          <w:marRight w:val="0"/>
          <w:marTop w:val="0"/>
          <w:marBottom w:val="0"/>
          <w:divBdr>
            <w:top w:val="none" w:sz="0" w:space="0" w:color="auto"/>
            <w:left w:val="none" w:sz="0" w:space="0" w:color="auto"/>
            <w:bottom w:val="none" w:sz="0" w:space="0" w:color="auto"/>
            <w:right w:val="none" w:sz="0" w:space="0" w:color="auto"/>
          </w:divBdr>
        </w:div>
        <w:div w:id="1199315245">
          <w:marLeft w:val="0"/>
          <w:marRight w:val="0"/>
          <w:marTop w:val="0"/>
          <w:marBottom w:val="0"/>
          <w:divBdr>
            <w:top w:val="none" w:sz="0" w:space="0" w:color="auto"/>
            <w:left w:val="none" w:sz="0" w:space="0" w:color="auto"/>
            <w:bottom w:val="none" w:sz="0" w:space="0" w:color="auto"/>
            <w:right w:val="none" w:sz="0" w:space="0" w:color="auto"/>
          </w:divBdr>
        </w:div>
        <w:div w:id="1208487917">
          <w:marLeft w:val="0"/>
          <w:marRight w:val="0"/>
          <w:marTop w:val="0"/>
          <w:marBottom w:val="0"/>
          <w:divBdr>
            <w:top w:val="none" w:sz="0" w:space="0" w:color="auto"/>
            <w:left w:val="none" w:sz="0" w:space="0" w:color="auto"/>
            <w:bottom w:val="none" w:sz="0" w:space="0" w:color="auto"/>
            <w:right w:val="none" w:sz="0" w:space="0" w:color="auto"/>
          </w:divBdr>
        </w:div>
        <w:div w:id="1225019301">
          <w:marLeft w:val="0"/>
          <w:marRight w:val="0"/>
          <w:marTop w:val="0"/>
          <w:marBottom w:val="0"/>
          <w:divBdr>
            <w:top w:val="none" w:sz="0" w:space="0" w:color="auto"/>
            <w:left w:val="none" w:sz="0" w:space="0" w:color="auto"/>
            <w:bottom w:val="none" w:sz="0" w:space="0" w:color="auto"/>
            <w:right w:val="none" w:sz="0" w:space="0" w:color="auto"/>
          </w:divBdr>
        </w:div>
        <w:div w:id="1229416442">
          <w:marLeft w:val="0"/>
          <w:marRight w:val="0"/>
          <w:marTop w:val="0"/>
          <w:marBottom w:val="0"/>
          <w:divBdr>
            <w:top w:val="none" w:sz="0" w:space="0" w:color="auto"/>
            <w:left w:val="none" w:sz="0" w:space="0" w:color="auto"/>
            <w:bottom w:val="none" w:sz="0" w:space="0" w:color="auto"/>
            <w:right w:val="none" w:sz="0" w:space="0" w:color="auto"/>
          </w:divBdr>
        </w:div>
        <w:div w:id="1245804051">
          <w:marLeft w:val="0"/>
          <w:marRight w:val="0"/>
          <w:marTop w:val="0"/>
          <w:marBottom w:val="0"/>
          <w:divBdr>
            <w:top w:val="none" w:sz="0" w:space="0" w:color="auto"/>
            <w:left w:val="none" w:sz="0" w:space="0" w:color="auto"/>
            <w:bottom w:val="none" w:sz="0" w:space="0" w:color="auto"/>
            <w:right w:val="none" w:sz="0" w:space="0" w:color="auto"/>
          </w:divBdr>
        </w:div>
        <w:div w:id="1247424233">
          <w:marLeft w:val="0"/>
          <w:marRight w:val="0"/>
          <w:marTop w:val="0"/>
          <w:marBottom w:val="0"/>
          <w:divBdr>
            <w:top w:val="none" w:sz="0" w:space="0" w:color="auto"/>
            <w:left w:val="none" w:sz="0" w:space="0" w:color="auto"/>
            <w:bottom w:val="none" w:sz="0" w:space="0" w:color="auto"/>
            <w:right w:val="none" w:sz="0" w:space="0" w:color="auto"/>
          </w:divBdr>
        </w:div>
        <w:div w:id="1282882582">
          <w:marLeft w:val="0"/>
          <w:marRight w:val="0"/>
          <w:marTop w:val="0"/>
          <w:marBottom w:val="0"/>
          <w:divBdr>
            <w:top w:val="none" w:sz="0" w:space="0" w:color="auto"/>
            <w:left w:val="none" w:sz="0" w:space="0" w:color="auto"/>
            <w:bottom w:val="none" w:sz="0" w:space="0" w:color="auto"/>
            <w:right w:val="none" w:sz="0" w:space="0" w:color="auto"/>
          </w:divBdr>
        </w:div>
        <w:div w:id="1304967956">
          <w:marLeft w:val="0"/>
          <w:marRight w:val="0"/>
          <w:marTop w:val="0"/>
          <w:marBottom w:val="0"/>
          <w:divBdr>
            <w:top w:val="none" w:sz="0" w:space="0" w:color="auto"/>
            <w:left w:val="none" w:sz="0" w:space="0" w:color="auto"/>
            <w:bottom w:val="none" w:sz="0" w:space="0" w:color="auto"/>
            <w:right w:val="none" w:sz="0" w:space="0" w:color="auto"/>
          </w:divBdr>
        </w:div>
        <w:div w:id="1390496871">
          <w:marLeft w:val="0"/>
          <w:marRight w:val="0"/>
          <w:marTop w:val="0"/>
          <w:marBottom w:val="0"/>
          <w:divBdr>
            <w:top w:val="none" w:sz="0" w:space="0" w:color="auto"/>
            <w:left w:val="none" w:sz="0" w:space="0" w:color="auto"/>
            <w:bottom w:val="none" w:sz="0" w:space="0" w:color="auto"/>
            <w:right w:val="none" w:sz="0" w:space="0" w:color="auto"/>
          </w:divBdr>
        </w:div>
        <w:div w:id="1398091534">
          <w:marLeft w:val="0"/>
          <w:marRight w:val="0"/>
          <w:marTop w:val="0"/>
          <w:marBottom w:val="0"/>
          <w:divBdr>
            <w:top w:val="none" w:sz="0" w:space="0" w:color="auto"/>
            <w:left w:val="none" w:sz="0" w:space="0" w:color="auto"/>
            <w:bottom w:val="none" w:sz="0" w:space="0" w:color="auto"/>
            <w:right w:val="none" w:sz="0" w:space="0" w:color="auto"/>
          </w:divBdr>
        </w:div>
        <w:div w:id="1416780416">
          <w:marLeft w:val="0"/>
          <w:marRight w:val="0"/>
          <w:marTop w:val="0"/>
          <w:marBottom w:val="0"/>
          <w:divBdr>
            <w:top w:val="none" w:sz="0" w:space="0" w:color="auto"/>
            <w:left w:val="none" w:sz="0" w:space="0" w:color="auto"/>
            <w:bottom w:val="none" w:sz="0" w:space="0" w:color="auto"/>
            <w:right w:val="none" w:sz="0" w:space="0" w:color="auto"/>
          </w:divBdr>
        </w:div>
        <w:div w:id="1420254055">
          <w:marLeft w:val="0"/>
          <w:marRight w:val="0"/>
          <w:marTop w:val="0"/>
          <w:marBottom w:val="0"/>
          <w:divBdr>
            <w:top w:val="none" w:sz="0" w:space="0" w:color="auto"/>
            <w:left w:val="none" w:sz="0" w:space="0" w:color="auto"/>
            <w:bottom w:val="none" w:sz="0" w:space="0" w:color="auto"/>
            <w:right w:val="none" w:sz="0" w:space="0" w:color="auto"/>
          </w:divBdr>
        </w:div>
        <w:div w:id="1421295908">
          <w:marLeft w:val="0"/>
          <w:marRight w:val="0"/>
          <w:marTop w:val="0"/>
          <w:marBottom w:val="0"/>
          <w:divBdr>
            <w:top w:val="none" w:sz="0" w:space="0" w:color="auto"/>
            <w:left w:val="none" w:sz="0" w:space="0" w:color="auto"/>
            <w:bottom w:val="none" w:sz="0" w:space="0" w:color="auto"/>
            <w:right w:val="none" w:sz="0" w:space="0" w:color="auto"/>
          </w:divBdr>
        </w:div>
        <w:div w:id="1473984815">
          <w:marLeft w:val="0"/>
          <w:marRight w:val="0"/>
          <w:marTop w:val="0"/>
          <w:marBottom w:val="0"/>
          <w:divBdr>
            <w:top w:val="none" w:sz="0" w:space="0" w:color="auto"/>
            <w:left w:val="none" w:sz="0" w:space="0" w:color="auto"/>
            <w:bottom w:val="none" w:sz="0" w:space="0" w:color="auto"/>
            <w:right w:val="none" w:sz="0" w:space="0" w:color="auto"/>
          </w:divBdr>
        </w:div>
        <w:div w:id="1488285400">
          <w:marLeft w:val="0"/>
          <w:marRight w:val="0"/>
          <w:marTop w:val="0"/>
          <w:marBottom w:val="0"/>
          <w:divBdr>
            <w:top w:val="none" w:sz="0" w:space="0" w:color="auto"/>
            <w:left w:val="none" w:sz="0" w:space="0" w:color="auto"/>
            <w:bottom w:val="none" w:sz="0" w:space="0" w:color="auto"/>
            <w:right w:val="none" w:sz="0" w:space="0" w:color="auto"/>
          </w:divBdr>
        </w:div>
        <w:div w:id="1534341883">
          <w:marLeft w:val="0"/>
          <w:marRight w:val="0"/>
          <w:marTop w:val="0"/>
          <w:marBottom w:val="0"/>
          <w:divBdr>
            <w:top w:val="none" w:sz="0" w:space="0" w:color="auto"/>
            <w:left w:val="none" w:sz="0" w:space="0" w:color="auto"/>
            <w:bottom w:val="none" w:sz="0" w:space="0" w:color="auto"/>
            <w:right w:val="none" w:sz="0" w:space="0" w:color="auto"/>
          </w:divBdr>
        </w:div>
        <w:div w:id="1555963424">
          <w:marLeft w:val="0"/>
          <w:marRight w:val="0"/>
          <w:marTop w:val="0"/>
          <w:marBottom w:val="0"/>
          <w:divBdr>
            <w:top w:val="none" w:sz="0" w:space="0" w:color="auto"/>
            <w:left w:val="none" w:sz="0" w:space="0" w:color="auto"/>
            <w:bottom w:val="none" w:sz="0" w:space="0" w:color="auto"/>
            <w:right w:val="none" w:sz="0" w:space="0" w:color="auto"/>
          </w:divBdr>
        </w:div>
        <w:div w:id="1563560895">
          <w:marLeft w:val="0"/>
          <w:marRight w:val="0"/>
          <w:marTop w:val="0"/>
          <w:marBottom w:val="0"/>
          <w:divBdr>
            <w:top w:val="none" w:sz="0" w:space="0" w:color="auto"/>
            <w:left w:val="none" w:sz="0" w:space="0" w:color="auto"/>
            <w:bottom w:val="none" w:sz="0" w:space="0" w:color="auto"/>
            <w:right w:val="none" w:sz="0" w:space="0" w:color="auto"/>
          </w:divBdr>
        </w:div>
        <w:div w:id="1676179715">
          <w:marLeft w:val="0"/>
          <w:marRight w:val="0"/>
          <w:marTop w:val="0"/>
          <w:marBottom w:val="0"/>
          <w:divBdr>
            <w:top w:val="none" w:sz="0" w:space="0" w:color="auto"/>
            <w:left w:val="none" w:sz="0" w:space="0" w:color="auto"/>
            <w:bottom w:val="none" w:sz="0" w:space="0" w:color="auto"/>
            <w:right w:val="none" w:sz="0" w:space="0" w:color="auto"/>
          </w:divBdr>
        </w:div>
        <w:div w:id="1681349521">
          <w:marLeft w:val="0"/>
          <w:marRight w:val="0"/>
          <w:marTop w:val="0"/>
          <w:marBottom w:val="0"/>
          <w:divBdr>
            <w:top w:val="none" w:sz="0" w:space="0" w:color="auto"/>
            <w:left w:val="none" w:sz="0" w:space="0" w:color="auto"/>
            <w:bottom w:val="none" w:sz="0" w:space="0" w:color="auto"/>
            <w:right w:val="none" w:sz="0" w:space="0" w:color="auto"/>
          </w:divBdr>
        </w:div>
        <w:div w:id="1696614267">
          <w:marLeft w:val="0"/>
          <w:marRight w:val="0"/>
          <w:marTop w:val="0"/>
          <w:marBottom w:val="0"/>
          <w:divBdr>
            <w:top w:val="none" w:sz="0" w:space="0" w:color="auto"/>
            <w:left w:val="none" w:sz="0" w:space="0" w:color="auto"/>
            <w:bottom w:val="none" w:sz="0" w:space="0" w:color="auto"/>
            <w:right w:val="none" w:sz="0" w:space="0" w:color="auto"/>
          </w:divBdr>
        </w:div>
        <w:div w:id="1704862743">
          <w:marLeft w:val="0"/>
          <w:marRight w:val="0"/>
          <w:marTop w:val="0"/>
          <w:marBottom w:val="0"/>
          <w:divBdr>
            <w:top w:val="none" w:sz="0" w:space="0" w:color="auto"/>
            <w:left w:val="none" w:sz="0" w:space="0" w:color="auto"/>
            <w:bottom w:val="none" w:sz="0" w:space="0" w:color="auto"/>
            <w:right w:val="none" w:sz="0" w:space="0" w:color="auto"/>
          </w:divBdr>
        </w:div>
        <w:div w:id="1710643211">
          <w:marLeft w:val="0"/>
          <w:marRight w:val="0"/>
          <w:marTop w:val="0"/>
          <w:marBottom w:val="0"/>
          <w:divBdr>
            <w:top w:val="none" w:sz="0" w:space="0" w:color="auto"/>
            <w:left w:val="none" w:sz="0" w:space="0" w:color="auto"/>
            <w:bottom w:val="none" w:sz="0" w:space="0" w:color="auto"/>
            <w:right w:val="none" w:sz="0" w:space="0" w:color="auto"/>
          </w:divBdr>
        </w:div>
        <w:div w:id="1723209545">
          <w:marLeft w:val="0"/>
          <w:marRight w:val="0"/>
          <w:marTop w:val="0"/>
          <w:marBottom w:val="0"/>
          <w:divBdr>
            <w:top w:val="none" w:sz="0" w:space="0" w:color="auto"/>
            <w:left w:val="none" w:sz="0" w:space="0" w:color="auto"/>
            <w:bottom w:val="none" w:sz="0" w:space="0" w:color="auto"/>
            <w:right w:val="none" w:sz="0" w:space="0" w:color="auto"/>
          </w:divBdr>
        </w:div>
        <w:div w:id="1725985872">
          <w:marLeft w:val="0"/>
          <w:marRight w:val="0"/>
          <w:marTop w:val="0"/>
          <w:marBottom w:val="0"/>
          <w:divBdr>
            <w:top w:val="none" w:sz="0" w:space="0" w:color="auto"/>
            <w:left w:val="none" w:sz="0" w:space="0" w:color="auto"/>
            <w:bottom w:val="none" w:sz="0" w:space="0" w:color="auto"/>
            <w:right w:val="none" w:sz="0" w:space="0" w:color="auto"/>
          </w:divBdr>
        </w:div>
        <w:div w:id="1738093977">
          <w:marLeft w:val="0"/>
          <w:marRight w:val="0"/>
          <w:marTop w:val="0"/>
          <w:marBottom w:val="0"/>
          <w:divBdr>
            <w:top w:val="none" w:sz="0" w:space="0" w:color="auto"/>
            <w:left w:val="none" w:sz="0" w:space="0" w:color="auto"/>
            <w:bottom w:val="none" w:sz="0" w:space="0" w:color="auto"/>
            <w:right w:val="none" w:sz="0" w:space="0" w:color="auto"/>
          </w:divBdr>
        </w:div>
        <w:div w:id="1749615019">
          <w:marLeft w:val="0"/>
          <w:marRight w:val="0"/>
          <w:marTop w:val="0"/>
          <w:marBottom w:val="0"/>
          <w:divBdr>
            <w:top w:val="none" w:sz="0" w:space="0" w:color="auto"/>
            <w:left w:val="none" w:sz="0" w:space="0" w:color="auto"/>
            <w:bottom w:val="none" w:sz="0" w:space="0" w:color="auto"/>
            <w:right w:val="none" w:sz="0" w:space="0" w:color="auto"/>
          </w:divBdr>
        </w:div>
        <w:div w:id="1755467292">
          <w:marLeft w:val="0"/>
          <w:marRight w:val="0"/>
          <w:marTop w:val="0"/>
          <w:marBottom w:val="0"/>
          <w:divBdr>
            <w:top w:val="none" w:sz="0" w:space="0" w:color="auto"/>
            <w:left w:val="none" w:sz="0" w:space="0" w:color="auto"/>
            <w:bottom w:val="none" w:sz="0" w:space="0" w:color="auto"/>
            <w:right w:val="none" w:sz="0" w:space="0" w:color="auto"/>
          </w:divBdr>
        </w:div>
        <w:div w:id="1758860821">
          <w:marLeft w:val="0"/>
          <w:marRight w:val="0"/>
          <w:marTop w:val="0"/>
          <w:marBottom w:val="0"/>
          <w:divBdr>
            <w:top w:val="none" w:sz="0" w:space="0" w:color="auto"/>
            <w:left w:val="none" w:sz="0" w:space="0" w:color="auto"/>
            <w:bottom w:val="none" w:sz="0" w:space="0" w:color="auto"/>
            <w:right w:val="none" w:sz="0" w:space="0" w:color="auto"/>
          </w:divBdr>
        </w:div>
        <w:div w:id="1775982087">
          <w:marLeft w:val="0"/>
          <w:marRight w:val="0"/>
          <w:marTop w:val="0"/>
          <w:marBottom w:val="0"/>
          <w:divBdr>
            <w:top w:val="none" w:sz="0" w:space="0" w:color="auto"/>
            <w:left w:val="none" w:sz="0" w:space="0" w:color="auto"/>
            <w:bottom w:val="none" w:sz="0" w:space="0" w:color="auto"/>
            <w:right w:val="none" w:sz="0" w:space="0" w:color="auto"/>
          </w:divBdr>
        </w:div>
        <w:div w:id="1779254348">
          <w:marLeft w:val="0"/>
          <w:marRight w:val="0"/>
          <w:marTop w:val="0"/>
          <w:marBottom w:val="0"/>
          <w:divBdr>
            <w:top w:val="none" w:sz="0" w:space="0" w:color="auto"/>
            <w:left w:val="none" w:sz="0" w:space="0" w:color="auto"/>
            <w:bottom w:val="none" w:sz="0" w:space="0" w:color="auto"/>
            <w:right w:val="none" w:sz="0" w:space="0" w:color="auto"/>
          </w:divBdr>
        </w:div>
        <w:div w:id="1785467387">
          <w:marLeft w:val="0"/>
          <w:marRight w:val="0"/>
          <w:marTop w:val="0"/>
          <w:marBottom w:val="0"/>
          <w:divBdr>
            <w:top w:val="none" w:sz="0" w:space="0" w:color="auto"/>
            <w:left w:val="none" w:sz="0" w:space="0" w:color="auto"/>
            <w:bottom w:val="none" w:sz="0" w:space="0" w:color="auto"/>
            <w:right w:val="none" w:sz="0" w:space="0" w:color="auto"/>
          </w:divBdr>
        </w:div>
        <w:div w:id="1797335794">
          <w:marLeft w:val="0"/>
          <w:marRight w:val="0"/>
          <w:marTop w:val="0"/>
          <w:marBottom w:val="0"/>
          <w:divBdr>
            <w:top w:val="none" w:sz="0" w:space="0" w:color="auto"/>
            <w:left w:val="none" w:sz="0" w:space="0" w:color="auto"/>
            <w:bottom w:val="none" w:sz="0" w:space="0" w:color="auto"/>
            <w:right w:val="none" w:sz="0" w:space="0" w:color="auto"/>
          </w:divBdr>
        </w:div>
        <w:div w:id="1810315439">
          <w:marLeft w:val="0"/>
          <w:marRight w:val="0"/>
          <w:marTop w:val="0"/>
          <w:marBottom w:val="0"/>
          <w:divBdr>
            <w:top w:val="none" w:sz="0" w:space="0" w:color="auto"/>
            <w:left w:val="none" w:sz="0" w:space="0" w:color="auto"/>
            <w:bottom w:val="none" w:sz="0" w:space="0" w:color="auto"/>
            <w:right w:val="none" w:sz="0" w:space="0" w:color="auto"/>
          </w:divBdr>
        </w:div>
        <w:div w:id="1817454295">
          <w:marLeft w:val="0"/>
          <w:marRight w:val="0"/>
          <w:marTop w:val="0"/>
          <w:marBottom w:val="0"/>
          <w:divBdr>
            <w:top w:val="none" w:sz="0" w:space="0" w:color="auto"/>
            <w:left w:val="none" w:sz="0" w:space="0" w:color="auto"/>
            <w:bottom w:val="none" w:sz="0" w:space="0" w:color="auto"/>
            <w:right w:val="none" w:sz="0" w:space="0" w:color="auto"/>
          </w:divBdr>
        </w:div>
        <w:div w:id="1826239149">
          <w:marLeft w:val="0"/>
          <w:marRight w:val="0"/>
          <w:marTop w:val="0"/>
          <w:marBottom w:val="0"/>
          <w:divBdr>
            <w:top w:val="none" w:sz="0" w:space="0" w:color="auto"/>
            <w:left w:val="none" w:sz="0" w:space="0" w:color="auto"/>
            <w:bottom w:val="none" w:sz="0" w:space="0" w:color="auto"/>
            <w:right w:val="none" w:sz="0" w:space="0" w:color="auto"/>
          </w:divBdr>
        </w:div>
        <w:div w:id="1851218400">
          <w:marLeft w:val="0"/>
          <w:marRight w:val="0"/>
          <w:marTop w:val="0"/>
          <w:marBottom w:val="0"/>
          <w:divBdr>
            <w:top w:val="none" w:sz="0" w:space="0" w:color="auto"/>
            <w:left w:val="none" w:sz="0" w:space="0" w:color="auto"/>
            <w:bottom w:val="none" w:sz="0" w:space="0" w:color="auto"/>
            <w:right w:val="none" w:sz="0" w:space="0" w:color="auto"/>
          </w:divBdr>
        </w:div>
        <w:div w:id="1852181249">
          <w:marLeft w:val="0"/>
          <w:marRight w:val="0"/>
          <w:marTop w:val="0"/>
          <w:marBottom w:val="0"/>
          <w:divBdr>
            <w:top w:val="none" w:sz="0" w:space="0" w:color="auto"/>
            <w:left w:val="none" w:sz="0" w:space="0" w:color="auto"/>
            <w:bottom w:val="none" w:sz="0" w:space="0" w:color="auto"/>
            <w:right w:val="none" w:sz="0" w:space="0" w:color="auto"/>
          </w:divBdr>
        </w:div>
        <w:div w:id="1896576846">
          <w:marLeft w:val="0"/>
          <w:marRight w:val="0"/>
          <w:marTop w:val="0"/>
          <w:marBottom w:val="0"/>
          <w:divBdr>
            <w:top w:val="none" w:sz="0" w:space="0" w:color="auto"/>
            <w:left w:val="none" w:sz="0" w:space="0" w:color="auto"/>
            <w:bottom w:val="none" w:sz="0" w:space="0" w:color="auto"/>
            <w:right w:val="none" w:sz="0" w:space="0" w:color="auto"/>
          </w:divBdr>
        </w:div>
        <w:div w:id="1956979890">
          <w:marLeft w:val="0"/>
          <w:marRight w:val="0"/>
          <w:marTop w:val="0"/>
          <w:marBottom w:val="0"/>
          <w:divBdr>
            <w:top w:val="none" w:sz="0" w:space="0" w:color="auto"/>
            <w:left w:val="none" w:sz="0" w:space="0" w:color="auto"/>
            <w:bottom w:val="none" w:sz="0" w:space="0" w:color="auto"/>
            <w:right w:val="none" w:sz="0" w:space="0" w:color="auto"/>
          </w:divBdr>
        </w:div>
        <w:div w:id="2006086729">
          <w:marLeft w:val="0"/>
          <w:marRight w:val="0"/>
          <w:marTop w:val="0"/>
          <w:marBottom w:val="0"/>
          <w:divBdr>
            <w:top w:val="none" w:sz="0" w:space="0" w:color="auto"/>
            <w:left w:val="none" w:sz="0" w:space="0" w:color="auto"/>
            <w:bottom w:val="none" w:sz="0" w:space="0" w:color="auto"/>
            <w:right w:val="none" w:sz="0" w:space="0" w:color="auto"/>
          </w:divBdr>
        </w:div>
        <w:div w:id="2017733492">
          <w:marLeft w:val="0"/>
          <w:marRight w:val="0"/>
          <w:marTop w:val="0"/>
          <w:marBottom w:val="0"/>
          <w:divBdr>
            <w:top w:val="none" w:sz="0" w:space="0" w:color="auto"/>
            <w:left w:val="none" w:sz="0" w:space="0" w:color="auto"/>
            <w:bottom w:val="none" w:sz="0" w:space="0" w:color="auto"/>
            <w:right w:val="none" w:sz="0" w:space="0" w:color="auto"/>
          </w:divBdr>
        </w:div>
        <w:div w:id="2036928058">
          <w:marLeft w:val="0"/>
          <w:marRight w:val="0"/>
          <w:marTop w:val="0"/>
          <w:marBottom w:val="0"/>
          <w:divBdr>
            <w:top w:val="none" w:sz="0" w:space="0" w:color="auto"/>
            <w:left w:val="none" w:sz="0" w:space="0" w:color="auto"/>
            <w:bottom w:val="none" w:sz="0" w:space="0" w:color="auto"/>
            <w:right w:val="none" w:sz="0" w:space="0" w:color="auto"/>
          </w:divBdr>
        </w:div>
        <w:div w:id="2093313786">
          <w:marLeft w:val="0"/>
          <w:marRight w:val="0"/>
          <w:marTop w:val="0"/>
          <w:marBottom w:val="0"/>
          <w:divBdr>
            <w:top w:val="none" w:sz="0" w:space="0" w:color="auto"/>
            <w:left w:val="none" w:sz="0" w:space="0" w:color="auto"/>
            <w:bottom w:val="none" w:sz="0" w:space="0" w:color="auto"/>
            <w:right w:val="none" w:sz="0" w:space="0" w:color="auto"/>
          </w:divBdr>
        </w:div>
        <w:div w:id="2116830156">
          <w:marLeft w:val="0"/>
          <w:marRight w:val="0"/>
          <w:marTop w:val="0"/>
          <w:marBottom w:val="0"/>
          <w:divBdr>
            <w:top w:val="none" w:sz="0" w:space="0" w:color="auto"/>
            <w:left w:val="none" w:sz="0" w:space="0" w:color="auto"/>
            <w:bottom w:val="none" w:sz="0" w:space="0" w:color="auto"/>
            <w:right w:val="none" w:sz="0" w:space="0" w:color="auto"/>
          </w:divBdr>
        </w:div>
        <w:div w:id="2129658154">
          <w:marLeft w:val="0"/>
          <w:marRight w:val="0"/>
          <w:marTop w:val="0"/>
          <w:marBottom w:val="0"/>
          <w:divBdr>
            <w:top w:val="none" w:sz="0" w:space="0" w:color="auto"/>
            <w:left w:val="none" w:sz="0" w:space="0" w:color="auto"/>
            <w:bottom w:val="none" w:sz="0" w:space="0" w:color="auto"/>
            <w:right w:val="none" w:sz="0" w:space="0" w:color="auto"/>
          </w:divBdr>
        </w:div>
      </w:divsChild>
    </w:div>
    <w:div w:id="1937980500">
      <w:bodyDiv w:val="1"/>
      <w:marLeft w:val="0"/>
      <w:marRight w:val="0"/>
      <w:marTop w:val="0"/>
      <w:marBottom w:val="0"/>
      <w:divBdr>
        <w:top w:val="none" w:sz="0" w:space="0" w:color="auto"/>
        <w:left w:val="none" w:sz="0" w:space="0" w:color="auto"/>
        <w:bottom w:val="none" w:sz="0" w:space="0" w:color="auto"/>
        <w:right w:val="none" w:sz="0" w:space="0" w:color="auto"/>
      </w:divBdr>
    </w:div>
    <w:div w:id="1940062997">
      <w:bodyDiv w:val="1"/>
      <w:marLeft w:val="0"/>
      <w:marRight w:val="0"/>
      <w:marTop w:val="0"/>
      <w:marBottom w:val="0"/>
      <w:divBdr>
        <w:top w:val="none" w:sz="0" w:space="0" w:color="auto"/>
        <w:left w:val="none" w:sz="0" w:space="0" w:color="auto"/>
        <w:bottom w:val="none" w:sz="0" w:space="0" w:color="auto"/>
        <w:right w:val="none" w:sz="0" w:space="0" w:color="auto"/>
      </w:divBdr>
    </w:div>
    <w:div w:id="1942101535">
      <w:bodyDiv w:val="1"/>
      <w:marLeft w:val="0"/>
      <w:marRight w:val="0"/>
      <w:marTop w:val="0"/>
      <w:marBottom w:val="0"/>
      <w:divBdr>
        <w:top w:val="none" w:sz="0" w:space="0" w:color="auto"/>
        <w:left w:val="none" w:sz="0" w:space="0" w:color="auto"/>
        <w:bottom w:val="none" w:sz="0" w:space="0" w:color="auto"/>
        <w:right w:val="none" w:sz="0" w:space="0" w:color="auto"/>
      </w:divBdr>
    </w:div>
    <w:div w:id="1942175363">
      <w:bodyDiv w:val="1"/>
      <w:marLeft w:val="0"/>
      <w:marRight w:val="0"/>
      <w:marTop w:val="0"/>
      <w:marBottom w:val="0"/>
      <w:divBdr>
        <w:top w:val="none" w:sz="0" w:space="0" w:color="auto"/>
        <w:left w:val="none" w:sz="0" w:space="0" w:color="auto"/>
        <w:bottom w:val="none" w:sz="0" w:space="0" w:color="auto"/>
        <w:right w:val="none" w:sz="0" w:space="0" w:color="auto"/>
      </w:divBdr>
    </w:div>
    <w:div w:id="1945919414">
      <w:bodyDiv w:val="1"/>
      <w:marLeft w:val="0"/>
      <w:marRight w:val="0"/>
      <w:marTop w:val="0"/>
      <w:marBottom w:val="0"/>
      <w:divBdr>
        <w:top w:val="none" w:sz="0" w:space="0" w:color="auto"/>
        <w:left w:val="none" w:sz="0" w:space="0" w:color="auto"/>
        <w:bottom w:val="none" w:sz="0" w:space="0" w:color="auto"/>
        <w:right w:val="none" w:sz="0" w:space="0" w:color="auto"/>
      </w:divBdr>
    </w:div>
    <w:div w:id="1949388309">
      <w:bodyDiv w:val="1"/>
      <w:marLeft w:val="0"/>
      <w:marRight w:val="0"/>
      <w:marTop w:val="0"/>
      <w:marBottom w:val="0"/>
      <w:divBdr>
        <w:top w:val="none" w:sz="0" w:space="0" w:color="auto"/>
        <w:left w:val="none" w:sz="0" w:space="0" w:color="auto"/>
        <w:bottom w:val="none" w:sz="0" w:space="0" w:color="auto"/>
        <w:right w:val="none" w:sz="0" w:space="0" w:color="auto"/>
      </w:divBdr>
    </w:div>
    <w:div w:id="1949779478">
      <w:bodyDiv w:val="1"/>
      <w:marLeft w:val="0"/>
      <w:marRight w:val="0"/>
      <w:marTop w:val="0"/>
      <w:marBottom w:val="0"/>
      <w:divBdr>
        <w:top w:val="none" w:sz="0" w:space="0" w:color="auto"/>
        <w:left w:val="none" w:sz="0" w:space="0" w:color="auto"/>
        <w:bottom w:val="none" w:sz="0" w:space="0" w:color="auto"/>
        <w:right w:val="none" w:sz="0" w:space="0" w:color="auto"/>
      </w:divBdr>
    </w:div>
    <w:div w:id="1951550048">
      <w:bodyDiv w:val="1"/>
      <w:marLeft w:val="0"/>
      <w:marRight w:val="0"/>
      <w:marTop w:val="0"/>
      <w:marBottom w:val="0"/>
      <w:divBdr>
        <w:top w:val="none" w:sz="0" w:space="0" w:color="auto"/>
        <w:left w:val="none" w:sz="0" w:space="0" w:color="auto"/>
        <w:bottom w:val="none" w:sz="0" w:space="0" w:color="auto"/>
        <w:right w:val="none" w:sz="0" w:space="0" w:color="auto"/>
      </w:divBdr>
    </w:div>
    <w:div w:id="1952323968">
      <w:bodyDiv w:val="1"/>
      <w:marLeft w:val="0"/>
      <w:marRight w:val="0"/>
      <w:marTop w:val="0"/>
      <w:marBottom w:val="0"/>
      <w:divBdr>
        <w:top w:val="none" w:sz="0" w:space="0" w:color="auto"/>
        <w:left w:val="none" w:sz="0" w:space="0" w:color="auto"/>
        <w:bottom w:val="none" w:sz="0" w:space="0" w:color="auto"/>
        <w:right w:val="none" w:sz="0" w:space="0" w:color="auto"/>
      </w:divBdr>
    </w:div>
    <w:div w:id="1955743322">
      <w:bodyDiv w:val="1"/>
      <w:marLeft w:val="0"/>
      <w:marRight w:val="0"/>
      <w:marTop w:val="0"/>
      <w:marBottom w:val="0"/>
      <w:divBdr>
        <w:top w:val="none" w:sz="0" w:space="0" w:color="auto"/>
        <w:left w:val="none" w:sz="0" w:space="0" w:color="auto"/>
        <w:bottom w:val="none" w:sz="0" w:space="0" w:color="auto"/>
        <w:right w:val="none" w:sz="0" w:space="0" w:color="auto"/>
      </w:divBdr>
    </w:div>
    <w:div w:id="1955940840">
      <w:bodyDiv w:val="1"/>
      <w:marLeft w:val="0"/>
      <w:marRight w:val="0"/>
      <w:marTop w:val="0"/>
      <w:marBottom w:val="0"/>
      <w:divBdr>
        <w:top w:val="none" w:sz="0" w:space="0" w:color="auto"/>
        <w:left w:val="none" w:sz="0" w:space="0" w:color="auto"/>
        <w:bottom w:val="none" w:sz="0" w:space="0" w:color="auto"/>
        <w:right w:val="none" w:sz="0" w:space="0" w:color="auto"/>
      </w:divBdr>
    </w:div>
    <w:div w:id="1958835196">
      <w:bodyDiv w:val="1"/>
      <w:marLeft w:val="0"/>
      <w:marRight w:val="0"/>
      <w:marTop w:val="0"/>
      <w:marBottom w:val="0"/>
      <w:divBdr>
        <w:top w:val="none" w:sz="0" w:space="0" w:color="auto"/>
        <w:left w:val="none" w:sz="0" w:space="0" w:color="auto"/>
        <w:bottom w:val="none" w:sz="0" w:space="0" w:color="auto"/>
        <w:right w:val="none" w:sz="0" w:space="0" w:color="auto"/>
      </w:divBdr>
    </w:div>
    <w:div w:id="1960405510">
      <w:bodyDiv w:val="1"/>
      <w:marLeft w:val="0"/>
      <w:marRight w:val="0"/>
      <w:marTop w:val="0"/>
      <w:marBottom w:val="0"/>
      <w:divBdr>
        <w:top w:val="none" w:sz="0" w:space="0" w:color="auto"/>
        <w:left w:val="none" w:sz="0" w:space="0" w:color="auto"/>
        <w:bottom w:val="none" w:sz="0" w:space="0" w:color="auto"/>
        <w:right w:val="none" w:sz="0" w:space="0" w:color="auto"/>
      </w:divBdr>
    </w:div>
    <w:div w:id="1960721356">
      <w:bodyDiv w:val="1"/>
      <w:marLeft w:val="0"/>
      <w:marRight w:val="0"/>
      <w:marTop w:val="0"/>
      <w:marBottom w:val="0"/>
      <w:divBdr>
        <w:top w:val="none" w:sz="0" w:space="0" w:color="auto"/>
        <w:left w:val="none" w:sz="0" w:space="0" w:color="auto"/>
        <w:bottom w:val="none" w:sz="0" w:space="0" w:color="auto"/>
        <w:right w:val="none" w:sz="0" w:space="0" w:color="auto"/>
      </w:divBdr>
    </w:div>
    <w:div w:id="1962764648">
      <w:bodyDiv w:val="1"/>
      <w:marLeft w:val="0"/>
      <w:marRight w:val="0"/>
      <w:marTop w:val="0"/>
      <w:marBottom w:val="0"/>
      <w:divBdr>
        <w:top w:val="none" w:sz="0" w:space="0" w:color="auto"/>
        <w:left w:val="none" w:sz="0" w:space="0" w:color="auto"/>
        <w:bottom w:val="none" w:sz="0" w:space="0" w:color="auto"/>
        <w:right w:val="none" w:sz="0" w:space="0" w:color="auto"/>
      </w:divBdr>
    </w:div>
    <w:div w:id="1963225551">
      <w:bodyDiv w:val="1"/>
      <w:marLeft w:val="0"/>
      <w:marRight w:val="0"/>
      <w:marTop w:val="0"/>
      <w:marBottom w:val="0"/>
      <w:divBdr>
        <w:top w:val="none" w:sz="0" w:space="0" w:color="auto"/>
        <w:left w:val="none" w:sz="0" w:space="0" w:color="auto"/>
        <w:bottom w:val="none" w:sz="0" w:space="0" w:color="auto"/>
        <w:right w:val="none" w:sz="0" w:space="0" w:color="auto"/>
      </w:divBdr>
    </w:div>
    <w:div w:id="1963730804">
      <w:bodyDiv w:val="1"/>
      <w:marLeft w:val="0"/>
      <w:marRight w:val="0"/>
      <w:marTop w:val="0"/>
      <w:marBottom w:val="0"/>
      <w:divBdr>
        <w:top w:val="none" w:sz="0" w:space="0" w:color="auto"/>
        <w:left w:val="none" w:sz="0" w:space="0" w:color="auto"/>
        <w:bottom w:val="none" w:sz="0" w:space="0" w:color="auto"/>
        <w:right w:val="none" w:sz="0" w:space="0" w:color="auto"/>
      </w:divBdr>
    </w:div>
    <w:div w:id="1964654061">
      <w:bodyDiv w:val="1"/>
      <w:marLeft w:val="0"/>
      <w:marRight w:val="0"/>
      <w:marTop w:val="0"/>
      <w:marBottom w:val="0"/>
      <w:divBdr>
        <w:top w:val="none" w:sz="0" w:space="0" w:color="auto"/>
        <w:left w:val="none" w:sz="0" w:space="0" w:color="auto"/>
        <w:bottom w:val="none" w:sz="0" w:space="0" w:color="auto"/>
        <w:right w:val="none" w:sz="0" w:space="0" w:color="auto"/>
      </w:divBdr>
    </w:div>
    <w:div w:id="1964922197">
      <w:bodyDiv w:val="1"/>
      <w:marLeft w:val="0"/>
      <w:marRight w:val="0"/>
      <w:marTop w:val="0"/>
      <w:marBottom w:val="0"/>
      <w:divBdr>
        <w:top w:val="none" w:sz="0" w:space="0" w:color="auto"/>
        <w:left w:val="none" w:sz="0" w:space="0" w:color="auto"/>
        <w:bottom w:val="none" w:sz="0" w:space="0" w:color="auto"/>
        <w:right w:val="none" w:sz="0" w:space="0" w:color="auto"/>
      </w:divBdr>
    </w:div>
    <w:div w:id="1967226428">
      <w:bodyDiv w:val="1"/>
      <w:marLeft w:val="0"/>
      <w:marRight w:val="0"/>
      <w:marTop w:val="0"/>
      <w:marBottom w:val="0"/>
      <w:divBdr>
        <w:top w:val="none" w:sz="0" w:space="0" w:color="auto"/>
        <w:left w:val="none" w:sz="0" w:space="0" w:color="auto"/>
        <w:bottom w:val="none" w:sz="0" w:space="0" w:color="auto"/>
        <w:right w:val="none" w:sz="0" w:space="0" w:color="auto"/>
      </w:divBdr>
    </w:div>
    <w:div w:id="1967613584">
      <w:bodyDiv w:val="1"/>
      <w:marLeft w:val="0"/>
      <w:marRight w:val="0"/>
      <w:marTop w:val="0"/>
      <w:marBottom w:val="0"/>
      <w:divBdr>
        <w:top w:val="none" w:sz="0" w:space="0" w:color="auto"/>
        <w:left w:val="none" w:sz="0" w:space="0" w:color="auto"/>
        <w:bottom w:val="none" w:sz="0" w:space="0" w:color="auto"/>
        <w:right w:val="none" w:sz="0" w:space="0" w:color="auto"/>
      </w:divBdr>
    </w:div>
    <w:div w:id="1968269944">
      <w:bodyDiv w:val="1"/>
      <w:marLeft w:val="0"/>
      <w:marRight w:val="0"/>
      <w:marTop w:val="0"/>
      <w:marBottom w:val="0"/>
      <w:divBdr>
        <w:top w:val="none" w:sz="0" w:space="0" w:color="auto"/>
        <w:left w:val="none" w:sz="0" w:space="0" w:color="auto"/>
        <w:bottom w:val="none" w:sz="0" w:space="0" w:color="auto"/>
        <w:right w:val="none" w:sz="0" w:space="0" w:color="auto"/>
      </w:divBdr>
    </w:div>
    <w:div w:id="1969165713">
      <w:bodyDiv w:val="1"/>
      <w:marLeft w:val="0"/>
      <w:marRight w:val="0"/>
      <w:marTop w:val="0"/>
      <w:marBottom w:val="0"/>
      <w:divBdr>
        <w:top w:val="none" w:sz="0" w:space="0" w:color="auto"/>
        <w:left w:val="none" w:sz="0" w:space="0" w:color="auto"/>
        <w:bottom w:val="none" w:sz="0" w:space="0" w:color="auto"/>
        <w:right w:val="none" w:sz="0" w:space="0" w:color="auto"/>
      </w:divBdr>
    </w:div>
    <w:div w:id="1971354086">
      <w:bodyDiv w:val="1"/>
      <w:marLeft w:val="0"/>
      <w:marRight w:val="0"/>
      <w:marTop w:val="0"/>
      <w:marBottom w:val="0"/>
      <w:divBdr>
        <w:top w:val="none" w:sz="0" w:space="0" w:color="auto"/>
        <w:left w:val="none" w:sz="0" w:space="0" w:color="auto"/>
        <w:bottom w:val="none" w:sz="0" w:space="0" w:color="auto"/>
        <w:right w:val="none" w:sz="0" w:space="0" w:color="auto"/>
      </w:divBdr>
    </w:div>
    <w:div w:id="1971781866">
      <w:bodyDiv w:val="1"/>
      <w:marLeft w:val="0"/>
      <w:marRight w:val="0"/>
      <w:marTop w:val="0"/>
      <w:marBottom w:val="0"/>
      <w:divBdr>
        <w:top w:val="none" w:sz="0" w:space="0" w:color="auto"/>
        <w:left w:val="none" w:sz="0" w:space="0" w:color="auto"/>
        <w:bottom w:val="none" w:sz="0" w:space="0" w:color="auto"/>
        <w:right w:val="none" w:sz="0" w:space="0" w:color="auto"/>
      </w:divBdr>
    </w:div>
    <w:div w:id="1972977794">
      <w:bodyDiv w:val="1"/>
      <w:marLeft w:val="0"/>
      <w:marRight w:val="0"/>
      <w:marTop w:val="0"/>
      <w:marBottom w:val="0"/>
      <w:divBdr>
        <w:top w:val="none" w:sz="0" w:space="0" w:color="auto"/>
        <w:left w:val="none" w:sz="0" w:space="0" w:color="auto"/>
        <w:bottom w:val="none" w:sz="0" w:space="0" w:color="auto"/>
        <w:right w:val="none" w:sz="0" w:space="0" w:color="auto"/>
      </w:divBdr>
    </w:div>
    <w:div w:id="1974289720">
      <w:bodyDiv w:val="1"/>
      <w:marLeft w:val="0"/>
      <w:marRight w:val="0"/>
      <w:marTop w:val="0"/>
      <w:marBottom w:val="0"/>
      <w:divBdr>
        <w:top w:val="none" w:sz="0" w:space="0" w:color="auto"/>
        <w:left w:val="none" w:sz="0" w:space="0" w:color="auto"/>
        <w:bottom w:val="none" w:sz="0" w:space="0" w:color="auto"/>
        <w:right w:val="none" w:sz="0" w:space="0" w:color="auto"/>
      </w:divBdr>
    </w:div>
    <w:div w:id="1977948912">
      <w:bodyDiv w:val="1"/>
      <w:marLeft w:val="0"/>
      <w:marRight w:val="0"/>
      <w:marTop w:val="0"/>
      <w:marBottom w:val="0"/>
      <w:divBdr>
        <w:top w:val="none" w:sz="0" w:space="0" w:color="auto"/>
        <w:left w:val="none" w:sz="0" w:space="0" w:color="auto"/>
        <w:bottom w:val="none" w:sz="0" w:space="0" w:color="auto"/>
        <w:right w:val="none" w:sz="0" w:space="0" w:color="auto"/>
      </w:divBdr>
    </w:div>
    <w:div w:id="1981760922">
      <w:bodyDiv w:val="1"/>
      <w:marLeft w:val="0"/>
      <w:marRight w:val="0"/>
      <w:marTop w:val="0"/>
      <w:marBottom w:val="0"/>
      <w:divBdr>
        <w:top w:val="none" w:sz="0" w:space="0" w:color="auto"/>
        <w:left w:val="none" w:sz="0" w:space="0" w:color="auto"/>
        <w:bottom w:val="none" w:sz="0" w:space="0" w:color="auto"/>
        <w:right w:val="none" w:sz="0" w:space="0" w:color="auto"/>
      </w:divBdr>
    </w:div>
    <w:div w:id="1984193611">
      <w:bodyDiv w:val="1"/>
      <w:marLeft w:val="0"/>
      <w:marRight w:val="0"/>
      <w:marTop w:val="0"/>
      <w:marBottom w:val="0"/>
      <w:divBdr>
        <w:top w:val="none" w:sz="0" w:space="0" w:color="auto"/>
        <w:left w:val="none" w:sz="0" w:space="0" w:color="auto"/>
        <w:bottom w:val="none" w:sz="0" w:space="0" w:color="auto"/>
        <w:right w:val="none" w:sz="0" w:space="0" w:color="auto"/>
      </w:divBdr>
    </w:div>
    <w:div w:id="1986012193">
      <w:bodyDiv w:val="1"/>
      <w:marLeft w:val="0"/>
      <w:marRight w:val="0"/>
      <w:marTop w:val="0"/>
      <w:marBottom w:val="0"/>
      <w:divBdr>
        <w:top w:val="none" w:sz="0" w:space="0" w:color="auto"/>
        <w:left w:val="none" w:sz="0" w:space="0" w:color="auto"/>
        <w:bottom w:val="none" w:sz="0" w:space="0" w:color="auto"/>
        <w:right w:val="none" w:sz="0" w:space="0" w:color="auto"/>
      </w:divBdr>
    </w:div>
    <w:div w:id="1986543372">
      <w:bodyDiv w:val="1"/>
      <w:marLeft w:val="0"/>
      <w:marRight w:val="0"/>
      <w:marTop w:val="0"/>
      <w:marBottom w:val="0"/>
      <w:divBdr>
        <w:top w:val="none" w:sz="0" w:space="0" w:color="auto"/>
        <w:left w:val="none" w:sz="0" w:space="0" w:color="auto"/>
        <w:bottom w:val="none" w:sz="0" w:space="0" w:color="auto"/>
        <w:right w:val="none" w:sz="0" w:space="0" w:color="auto"/>
      </w:divBdr>
    </w:div>
    <w:div w:id="1986544809">
      <w:bodyDiv w:val="1"/>
      <w:marLeft w:val="0"/>
      <w:marRight w:val="0"/>
      <w:marTop w:val="0"/>
      <w:marBottom w:val="0"/>
      <w:divBdr>
        <w:top w:val="none" w:sz="0" w:space="0" w:color="auto"/>
        <w:left w:val="none" w:sz="0" w:space="0" w:color="auto"/>
        <w:bottom w:val="none" w:sz="0" w:space="0" w:color="auto"/>
        <w:right w:val="none" w:sz="0" w:space="0" w:color="auto"/>
      </w:divBdr>
    </w:div>
    <w:div w:id="1991009428">
      <w:bodyDiv w:val="1"/>
      <w:marLeft w:val="0"/>
      <w:marRight w:val="0"/>
      <w:marTop w:val="0"/>
      <w:marBottom w:val="0"/>
      <w:divBdr>
        <w:top w:val="none" w:sz="0" w:space="0" w:color="auto"/>
        <w:left w:val="none" w:sz="0" w:space="0" w:color="auto"/>
        <w:bottom w:val="none" w:sz="0" w:space="0" w:color="auto"/>
        <w:right w:val="none" w:sz="0" w:space="0" w:color="auto"/>
      </w:divBdr>
    </w:div>
    <w:div w:id="1993438209">
      <w:bodyDiv w:val="1"/>
      <w:marLeft w:val="0"/>
      <w:marRight w:val="0"/>
      <w:marTop w:val="0"/>
      <w:marBottom w:val="0"/>
      <w:divBdr>
        <w:top w:val="none" w:sz="0" w:space="0" w:color="auto"/>
        <w:left w:val="none" w:sz="0" w:space="0" w:color="auto"/>
        <w:bottom w:val="none" w:sz="0" w:space="0" w:color="auto"/>
        <w:right w:val="none" w:sz="0" w:space="0" w:color="auto"/>
      </w:divBdr>
    </w:div>
    <w:div w:id="1996640052">
      <w:bodyDiv w:val="1"/>
      <w:marLeft w:val="0"/>
      <w:marRight w:val="0"/>
      <w:marTop w:val="0"/>
      <w:marBottom w:val="0"/>
      <w:divBdr>
        <w:top w:val="none" w:sz="0" w:space="0" w:color="auto"/>
        <w:left w:val="none" w:sz="0" w:space="0" w:color="auto"/>
        <w:bottom w:val="none" w:sz="0" w:space="0" w:color="auto"/>
        <w:right w:val="none" w:sz="0" w:space="0" w:color="auto"/>
      </w:divBdr>
    </w:div>
    <w:div w:id="1997220649">
      <w:bodyDiv w:val="1"/>
      <w:marLeft w:val="0"/>
      <w:marRight w:val="0"/>
      <w:marTop w:val="0"/>
      <w:marBottom w:val="0"/>
      <w:divBdr>
        <w:top w:val="none" w:sz="0" w:space="0" w:color="auto"/>
        <w:left w:val="none" w:sz="0" w:space="0" w:color="auto"/>
        <w:bottom w:val="none" w:sz="0" w:space="0" w:color="auto"/>
        <w:right w:val="none" w:sz="0" w:space="0" w:color="auto"/>
      </w:divBdr>
    </w:div>
    <w:div w:id="1997681864">
      <w:bodyDiv w:val="1"/>
      <w:marLeft w:val="0"/>
      <w:marRight w:val="0"/>
      <w:marTop w:val="0"/>
      <w:marBottom w:val="0"/>
      <w:divBdr>
        <w:top w:val="none" w:sz="0" w:space="0" w:color="auto"/>
        <w:left w:val="none" w:sz="0" w:space="0" w:color="auto"/>
        <w:bottom w:val="none" w:sz="0" w:space="0" w:color="auto"/>
        <w:right w:val="none" w:sz="0" w:space="0" w:color="auto"/>
      </w:divBdr>
    </w:div>
    <w:div w:id="2002387561">
      <w:bodyDiv w:val="1"/>
      <w:marLeft w:val="0"/>
      <w:marRight w:val="0"/>
      <w:marTop w:val="0"/>
      <w:marBottom w:val="0"/>
      <w:divBdr>
        <w:top w:val="none" w:sz="0" w:space="0" w:color="auto"/>
        <w:left w:val="none" w:sz="0" w:space="0" w:color="auto"/>
        <w:bottom w:val="none" w:sz="0" w:space="0" w:color="auto"/>
        <w:right w:val="none" w:sz="0" w:space="0" w:color="auto"/>
      </w:divBdr>
    </w:div>
    <w:div w:id="2004317093">
      <w:bodyDiv w:val="1"/>
      <w:marLeft w:val="0"/>
      <w:marRight w:val="0"/>
      <w:marTop w:val="0"/>
      <w:marBottom w:val="0"/>
      <w:divBdr>
        <w:top w:val="none" w:sz="0" w:space="0" w:color="auto"/>
        <w:left w:val="none" w:sz="0" w:space="0" w:color="auto"/>
        <w:bottom w:val="none" w:sz="0" w:space="0" w:color="auto"/>
        <w:right w:val="none" w:sz="0" w:space="0" w:color="auto"/>
      </w:divBdr>
    </w:div>
    <w:div w:id="2007123926">
      <w:bodyDiv w:val="1"/>
      <w:marLeft w:val="0"/>
      <w:marRight w:val="0"/>
      <w:marTop w:val="0"/>
      <w:marBottom w:val="0"/>
      <w:divBdr>
        <w:top w:val="none" w:sz="0" w:space="0" w:color="auto"/>
        <w:left w:val="none" w:sz="0" w:space="0" w:color="auto"/>
        <w:bottom w:val="none" w:sz="0" w:space="0" w:color="auto"/>
        <w:right w:val="none" w:sz="0" w:space="0" w:color="auto"/>
      </w:divBdr>
    </w:div>
    <w:div w:id="2008054601">
      <w:bodyDiv w:val="1"/>
      <w:marLeft w:val="0"/>
      <w:marRight w:val="0"/>
      <w:marTop w:val="0"/>
      <w:marBottom w:val="0"/>
      <w:divBdr>
        <w:top w:val="none" w:sz="0" w:space="0" w:color="auto"/>
        <w:left w:val="none" w:sz="0" w:space="0" w:color="auto"/>
        <w:bottom w:val="none" w:sz="0" w:space="0" w:color="auto"/>
        <w:right w:val="none" w:sz="0" w:space="0" w:color="auto"/>
      </w:divBdr>
    </w:div>
    <w:div w:id="2009554043">
      <w:bodyDiv w:val="1"/>
      <w:marLeft w:val="0"/>
      <w:marRight w:val="0"/>
      <w:marTop w:val="0"/>
      <w:marBottom w:val="0"/>
      <w:divBdr>
        <w:top w:val="none" w:sz="0" w:space="0" w:color="auto"/>
        <w:left w:val="none" w:sz="0" w:space="0" w:color="auto"/>
        <w:bottom w:val="none" w:sz="0" w:space="0" w:color="auto"/>
        <w:right w:val="none" w:sz="0" w:space="0" w:color="auto"/>
      </w:divBdr>
    </w:div>
    <w:div w:id="2012946098">
      <w:bodyDiv w:val="1"/>
      <w:marLeft w:val="0"/>
      <w:marRight w:val="0"/>
      <w:marTop w:val="0"/>
      <w:marBottom w:val="0"/>
      <w:divBdr>
        <w:top w:val="none" w:sz="0" w:space="0" w:color="auto"/>
        <w:left w:val="none" w:sz="0" w:space="0" w:color="auto"/>
        <w:bottom w:val="none" w:sz="0" w:space="0" w:color="auto"/>
        <w:right w:val="none" w:sz="0" w:space="0" w:color="auto"/>
      </w:divBdr>
    </w:div>
    <w:div w:id="2014918621">
      <w:bodyDiv w:val="1"/>
      <w:marLeft w:val="0"/>
      <w:marRight w:val="0"/>
      <w:marTop w:val="0"/>
      <w:marBottom w:val="0"/>
      <w:divBdr>
        <w:top w:val="none" w:sz="0" w:space="0" w:color="auto"/>
        <w:left w:val="none" w:sz="0" w:space="0" w:color="auto"/>
        <w:bottom w:val="none" w:sz="0" w:space="0" w:color="auto"/>
        <w:right w:val="none" w:sz="0" w:space="0" w:color="auto"/>
      </w:divBdr>
    </w:div>
    <w:div w:id="2020279561">
      <w:bodyDiv w:val="1"/>
      <w:marLeft w:val="0"/>
      <w:marRight w:val="0"/>
      <w:marTop w:val="0"/>
      <w:marBottom w:val="0"/>
      <w:divBdr>
        <w:top w:val="none" w:sz="0" w:space="0" w:color="auto"/>
        <w:left w:val="none" w:sz="0" w:space="0" w:color="auto"/>
        <w:bottom w:val="none" w:sz="0" w:space="0" w:color="auto"/>
        <w:right w:val="none" w:sz="0" w:space="0" w:color="auto"/>
      </w:divBdr>
      <w:divsChild>
        <w:div w:id="1878276527">
          <w:marLeft w:val="0"/>
          <w:marRight w:val="0"/>
          <w:marTop w:val="0"/>
          <w:marBottom w:val="0"/>
          <w:divBdr>
            <w:top w:val="none" w:sz="0" w:space="0" w:color="auto"/>
            <w:left w:val="none" w:sz="0" w:space="0" w:color="auto"/>
            <w:bottom w:val="none" w:sz="0" w:space="0" w:color="auto"/>
            <w:right w:val="none" w:sz="0" w:space="0" w:color="auto"/>
          </w:divBdr>
        </w:div>
      </w:divsChild>
    </w:div>
    <w:div w:id="2024553784">
      <w:bodyDiv w:val="1"/>
      <w:marLeft w:val="0"/>
      <w:marRight w:val="0"/>
      <w:marTop w:val="0"/>
      <w:marBottom w:val="0"/>
      <w:divBdr>
        <w:top w:val="none" w:sz="0" w:space="0" w:color="auto"/>
        <w:left w:val="none" w:sz="0" w:space="0" w:color="auto"/>
        <w:bottom w:val="none" w:sz="0" w:space="0" w:color="auto"/>
        <w:right w:val="none" w:sz="0" w:space="0" w:color="auto"/>
      </w:divBdr>
    </w:div>
    <w:div w:id="2024746573">
      <w:bodyDiv w:val="1"/>
      <w:marLeft w:val="0"/>
      <w:marRight w:val="0"/>
      <w:marTop w:val="0"/>
      <w:marBottom w:val="0"/>
      <w:divBdr>
        <w:top w:val="none" w:sz="0" w:space="0" w:color="auto"/>
        <w:left w:val="none" w:sz="0" w:space="0" w:color="auto"/>
        <w:bottom w:val="none" w:sz="0" w:space="0" w:color="auto"/>
        <w:right w:val="none" w:sz="0" w:space="0" w:color="auto"/>
      </w:divBdr>
    </w:div>
    <w:div w:id="2031759810">
      <w:bodyDiv w:val="1"/>
      <w:marLeft w:val="0"/>
      <w:marRight w:val="0"/>
      <w:marTop w:val="0"/>
      <w:marBottom w:val="0"/>
      <w:divBdr>
        <w:top w:val="none" w:sz="0" w:space="0" w:color="auto"/>
        <w:left w:val="none" w:sz="0" w:space="0" w:color="auto"/>
        <w:bottom w:val="none" w:sz="0" w:space="0" w:color="auto"/>
        <w:right w:val="none" w:sz="0" w:space="0" w:color="auto"/>
      </w:divBdr>
    </w:div>
    <w:div w:id="2031879268">
      <w:bodyDiv w:val="1"/>
      <w:marLeft w:val="0"/>
      <w:marRight w:val="0"/>
      <w:marTop w:val="0"/>
      <w:marBottom w:val="0"/>
      <w:divBdr>
        <w:top w:val="none" w:sz="0" w:space="0" w:color="auto"/>
        <w:left w:val="none" w:sz="0" w:space="0" w:color="auto"/>
        <w:bottom w:val="none" w:sz="0" w:space="0" w:color="auto"/>
        <w:right w:val="none" w:sz="0" w:space="0" w:color="auto"/>
      </w:divBdr>
    </w:div>
    <w:div w:id="2032105386">
      <w:bodyDiv w:val="1"/>
      <w:marLeft w:val="0"/>
      <w:marRight w:val="0"/>
      <w:marTop w:val="0"/>
      <w:marBottom w:val="0"/>
      <w:divBdr>
        <w:top w:val="none" w:sz="0" w:space="0" w:color="auto"/>
        <w:left w:val="none" w:sz="0" w:space="0" w:color="auto"/>
        <w:bottom w:val="none" w:sz="0" w:space="0" w:color="auto"/>
        <w:right w:val="none" w:sz="0" w:space="0" w:color="auto"/>
      </w:divBdr>
    </w:div>
    <w:div w:id="2035576163">
      <w:bodyDiv w:val="1"/>
      <w:marLeft w:val="0"/>
      <w:marRight w:val="0"/>
      <w:marTop w:val="0"/>
      <w:marBottom w:val="0"/>
      <w:divBdr>
        <w:top w:val="none" w:sz="0" w:space="0" w:color="auto"/>
        <w:left w:val="none" w:sz="0" w:space="0" w:color="auto"/>
        <w:bottom w:val="none" w:sz="0" w:space="0" w:color="auto"/>
        <w:right w:val="none" w:sz="0" w:space="0" w:color="auto"/>
      </w:divBdr>
    </w:div>
    <w:div w:id="2036732389">
      <w:bodyDiv w:val="1"/>
      <w:marLeft w:val="0"/>
      <w:marRight w:val="0"/>
      <w:marTop w:val="0"/>
      <w:marBottom w:val="0"/>
      <w:divBdr>
        <w:top w:val="none" w:sz="0" w:space="0" w:color="auto"/>
        <w:left w:val="none" w:sz="0" w:space="0" w:color="auto"/>
        <w:bottom w:val="none" w:sz="0" w:space="0" w:color="auto"/>
        <w:right w:val="none" w:sz="0" w:space="0" w:color="auto"/>
      </w:divBdr>
    </w:div>
    <w:div w:id="2037150926">
      <w:bodyDiv w:val="1"/>
      <w:marLeft w:val="0"/>
      <w:marRight w:val="0"/>
      <w:marTop w:val="0"/>
      <w:marBottom w:val="0"/>
      <w:divBdr>
        <w:top w:val="none" w:sz="0" w:space="0" w:color="auto"/>
        <w:left w:val="none" w:sz="0" w:space="0" w:color="auto"/>
        <w:bottom w:val="none" w:sz="0" w:space="0" w:color="auto"/>
        <w:right w:val="none" w:sz="0" w:space="0" w:color="auto"/>
      </w:divBdr>
    </w:div>
    <w:div w:id="2039621000">
      <w:bodyDiv w:val="1"/>
      <w:marLeft w:val="0"/>
      <w:marRight w:val="0"/>
      <w:marTop w:val="0"/>
      <w:marBottom w:val="0"/>
      <w:divBdr>
        <w:top w:val="none" w:sz="0" w:space="0" w:color="auto"/>
        <w:left w:val="none" w:sz="0" w:space="0" w:color="auto"/>
        <w:bottom w:val="none" w:sz="0" w:space="0" w:color="auto"/>
        <w:right w:val="none" w:sz="0" w:space="0" w:color="auto"/>
      </w:divBdr>
    </w:div>
    <w:div w:id="2044549486">
      <w:bodyDiv w:val="1"/>
      <w:marLeft w:val="0"/>
      <w:marRight w:val="0"/>
      <w:marTop w:val="0"/>
      <w:marBottom w:val="0"/>
      <w:divBdr>
        <w:top w:val="none" w:sz="0" w:space="0" w:color="auto"/>
        <w:left w:val="none" w:sz="0" w:space="0" w:color="auto"/>
        <w:bottom w:val="none" w:sz="0" w:space="0" w:color="auto"/>
        <w:right w:val="none" w:sz="0" w:space="0" w:color="auto"/>
      </w:divBdr>
    </w:div>
    <w:div w:id="2045321125">
      <w:bodyDiv w:val="1"/>
      <w:marLeft w:val="0"/>
      <w:marRight w:val="0"/>
      <w:marTop w:val="0"/>
      <w:marBottom w:val="0"/>
      <w:divBdr>
        <w:top w:val="none" w:sz="0" w:space="0" w:color="auto"/>
        <w:left w:val="none" w:sz="0" w:space="0" w:color="auto"/>
        <w:bottom w:val="none" w:sz="0" w:space="0" w:color="auto"/>
        <w:right w:val="none" w:sz="0" w:space="0" w:color="auto"/>
      </w:divBdr>
    </w:div>
    <w:div w:id="2047638379">
      <w:bodyDiv w:val="1"/>
      <w:marLeft w:val="0"/>
      <w:marRight w:val="0"/>
      <w:marTop w:val="0"/>
      <w:marBottom w:val="0"/>
      <w:divBdr>
        <w:top w:val="none" w:sz="0" w:space="0" w:color="auto"/>
        <w:left w:val="none" w:sz="0" w:space="0" w:color="auto"/>
        <w:bottom w:val="none" w:sz="0" w:space="0" w:color="auto"/>
        <w:right w:val="none" w:sz="0" w:space="0" w:color="auto"/>
      </w:divBdr>
    </w:div>
    <w:div w:id="2047833600">
      <w:bodyDiv w:val="1"/>
      <w:marLeft w:val="0"/>
      <w:marRight w:val="0"/>
      <w:marTop w:val="0"/>
      <w:marBottom w:val="0"/>
      <w:divBdr>
        <w:top w:val="none" w:sz="0" w:space="0" w:color="auto"/>
        <w:left w:val="none" w:sz="0" w:space="0" w:color="auto"/>
        <w:bottom w:val="none" w:sz="0" w:space="0" w:color="auto"/>
        <w:right w:val="none" w:sz="0" w:space="0" w:color="auto"/>
      </w:divBdr>
    </w:div>
    <w:div w:id="2052873079">
      <w:bodyDiv w:val="1"/>
      <w:marLeft w:val="0"/>
      <w:marRight w:val="0"/>
      <w:marTop w:val="0"/>
      <w:marBottom w:val="0"/>
      <w:divBdr>
        <w:top w:val="none" w:sz="0" w:space="0" w:color="auto"/>
        <w:left w:val="none" w:sz="0" w:space="0" w:color="auto"/>
        <w:bottom w:val="none" w:sz="0" w:space="0" w:color="auto"/>
        <w:right w:val="none" w:sz="0" w:space="0" w:color="auto"/>
      </w:divBdr>
    </w:div>
    <w:div w:id="2055425289">
      <w:bodyDiv w:val="1"/>
      <w:marLeft w:val="0"/>
      <w:marRight w:val="0"/>
      <w:marTop w:val="0"/>
      <w:marBottom w:val="0"/>
      <w:divBdr>
        <w:top w:val="none" w:sz="0" w:space="0" w:color="auto"/>
        <w:left w:val="none" w:sz="0" w:space="0" w:color="auto"/>
        <w:bottom w:val="none" w:sz="0" w:space="0" w:color="auto"/>
        <w:right w:val="none" w:sz="0" w:space="0" w:color="auto"/>
      </w:divBdr>
    </w:div>
    <w:div w:id="2057776048">
      <w:bodyDiv w:val="1"/>
      <w:marLeft w:val="0"/>
      <w:marRight w:val="0"/>
      <w:marTop w:val="0"/>
      <w:marBottom w:val="0"/>
      <w:divBdr>
        <w:top w:val="none" w:sz="0" w:space="0" w:color="auto"/>
        <w:left w:val="none" w:sz="0" w:space="0" w:color="auto"/>
        <w:bottom w:val="none" w:sz="0" w:space="0" w:color="auto"/>
        <w:right w:val="none" w:sz="0" w:space="0" w:color="auto"/>
      </w:divBdr>
    </w:div>
    <w:div w:id="2058780194">
      <w:bodyDiv w:val="1"/>
      <w:marLeft w:val="0"/>
      <w:marRight w:val="0"/>
      <w:marTop w:val="0"/>
      <w:marBottom w:val="0"/>
      <w:divBdr>
        <w:top w:val="none" w:sz="0" w:space="0" w:color="auto"/>
        <w:left w:val="none" w:sz="0" w:space="0" w:color="auto"/>
        <w:bottom w:val="none" w:sz="0" w:space="0" w:color="auto"/>
        <w:right w:val="none" w:sz="0" w:space="0" w:color="auto"/>
      </w:divBdr>
    </w:div>
    <w:div w:id="2063170656">
      <w:bodyDiv w:val="1"/>
      <w:marLeft w:val="0"/>
      <w:marRight w:val="0"/>
      <w:marTop w:val="0"/>
      <w:marBottom w:val="0"/>
      <w:divBdr>
        <w:top w:val="none" w:sz="0" w:space="0" w:color="auto"/>
        <w:left w:val="none" w:sz="0" w:space="0" w:color="auto"/>
        <w:bottom w:val="none" w:sz="0" w:space="0" w:color="auto"/>
        <w:right w:val="none" w:sz="0" w:space="0" w:color="auto"/>
      </w:divBdr>
    </w:div>
    <w:div w:id="2064870173">
      <w:bodyDiv w:val="1"/>
      <w:marLeft w:val="0"/>
      <w:marRight w:val="0"/>
      <w:marTop w:val="0"/>
      <w:marBottom w:val="0"/>
      <w:divBdr>
        <w:top w:val="none" w:sz="0" w:space="0" w:color="auto"/>
        <w:left w:val="none" w:sz="0" w:space="0" w:color="auto"/>
        <w:bottom w:val="none" w:sz="0" w:space="0" w:color="auto"/>
        <w:right w:val="none" w:sz="0" w:space="0" w:color="auto"/>
      </w:divBdr>
    </w:div>
    <w:div w:id="2066443352">
      <w:bodyDiv w:val="1"/>
      <w:marLeft w:val="0"/>
      <w:marRight w:val="0"/>
      <w:marTop w:val="0"/>
      <w:marBottom w:val="0"/>
      <w:divBdr>
        <w:top w:val="none" w:sz="0" w:space="0" w:color="auto"/>
        <w:left w:val="none" w:sz="0" w:space="0" w:color="auto"/>
        <w:bottom w:val="none" w:sz="0" w:space="0" w:color="auto"/>
        <w:right w:val="none" w:sz="0" w:space="0" w:color="auto"/>
      </w:divBdr>
    </w:div>
    <w:div w:id="2068064551">
      <w:bodyDiv w:val="1"/>
      <w:marLeft w:val="0"/>
      <w:marRight w:val="0"/>
      <w:marTop w:val="0"/>
      <w:marBottom w:val="0"/>
      <w:divBdr>
        <w:top w:val="none" w:sz="0" w:space="0" w:color="auto"/>
        <w:left w:val="none" w:sz="0" w:space="0" w:color="auto"/>
        <w:bottom w:val="none" w:sz="0" w:space="0" w:color="auto"/>
        <w:right w:val="none" w:sz="0" w:space="0" w:color="auto"/>
      </w:divBdr>
    </w:div>
    <w:div w:id="2073889085">
      <w:bodyDiv w:val="1"/>
      <w:marLeft w:val="0"/>
      <w:marRight w:val="0"/>
      <w:marTop w:val="0"/>
      <w:marBottom w:val="0"/>
      <w:divBdr>
        <w:top w:val="none" w:sz="0" w:space="0" w:color="auto"/>
        <w:left w:val="none" w:sz="0" w:space="0" w:color="auto"/>
        <w:bottom w:val="none" w:sz="0" w:space="0" w:color="auto"/>
        <w:right w:val="none" w:sz="0" w:space="0" w:color="auto"/>
      </w:divBdr>
    </w:div>
    <w:div w:id="2076394623">
      <w:bodyDiv w:val="1"/>
      <w:marLeft w:val="0"/>
      <w:marRight w:val="0"/>
      <w:marTop w:val="0"/>
      <w:marBottom w:val="0"/>
      <w:divBdr>
        <w:top w:val="none" w:sz="0" w:space="0" w:color="auto"/>
        <w:left w:val="none" w:sz="0" w:space="0" w:color="auto"/>
        <w:bottom w:val="none" w:sz="0" w:space="0" w:color="auto"/>
        <w:right w:val="none" w:sz="0" w:space="0" w:color="auto"/>
      </w:divBdr>
    </w:div>
    <w:div w:id="2078746464">
      <w:bodyDiv w:val="1"/>
      <w:marLeft w:val="0"/>
      <w:marRight w:val="0"/>
      <w:marTop w:val="0"/>
      <w:marBottom w:val="0"/>
      <w:divBdr>
        <w:top w:val="none" w:sz="0" w:space="0" w:color="auto"/>
        <w:left w:val="none" w:sz="0" w:space="0" w:color="auto"/>
        <w:bottom w:val="none" w:sz="0" w:space="0" w:color="auto"/>
        <w:right w:val="none" w:sz="0" w:space="0" w:color="auto"/>
      </w:divBdr>
    </w:div>
    <w:div w:id="2080518875">
      <w:bodyDiv w:val="1"/>
      <w:marLeft w:val="0"/>
      <w:marRight w:val="0"/>
      <w:marTop w:val="0"/>
      <w:marBottom w:val="0"/>
      <w:divBdr>
        <w:top w:val="none" w:sz="0" w:space="0" w:color="auto"/>
        <w:left w:val="none" w:sz="0" w:space="0" w:color="auto"/>
        <w:bottom w:val="none" w:sz="0" w:space="0" w:color="auto"/>
        <w:right w:val="none" w:sz="0" w:space="0" w:color="auto"/>
      </w:divBdr>
    </w:div>
    <w:div w:id="2085374127">
      <w:bodyDiv w:val="1"/>
      <w:marLeft w:val="0"/>
      <w:marRight w:val="0"/>
      <w:marTop w:val="0"/>
      <w:marBottom w:val="0"/>
      <w:divBdr>
        <w:top w:val="none" w:sz="0" w:space="0" w:color="auto"/>
        <w:left w:val="none" w:sz="0" w:space="0" w:color="auto"/>
        <w:bottom w:val="none" w:sz="0" w:space="0" w:color="auto"/>
        <w:right w:val="none" w:sz="0" w:space="0" w:color="auto"/>
      </w:divBdr>
    </w:div>
    <w:div w:id="2086418472">
      <w:bodyDiv w:val="1"/>
      <w:marLeft w:val="0"/>
      <w:marRight w:val="0"/>
      <w:marTop w:val="0"/>
      <w:marBottom w:val="0"/>
      <w:divBdr>
        <w:top w:val="none" w:sz="0" w:space="0" w:color="auto"/>
        <w:left w:val="none" w:sz="0" w:space="0" w:color="auto"/>
        <w:bottom w:val="none" w:sz="0" w:space="0" w:color="auto"/>
        <w:right w:val="none" w:sz="0" w:space="0" w:color="auto"/>
      </w:divBdr>
    </w:div>
    <w:div w:id="2087722677">
      <w:bodyDiv w:val="1"/>
      <w:marLeft w:val="0"/>
      <w:marRight w:val="0"/>
      <w:marTop w:val="0"/>
      <w:marBottom w:val="0"/>
      <w:divBdr>
        <w:top w:val="none" w:sz="0" w:space="0" w:color="auto"/>
        <w:left w:val="none" w:sz="0" w:space="0" w:color="auto"/>
        <w:bottom w:val="none" w:sz="0" w:space="0" w:color="auto"/>
        <w:right w:val="none" w:sz="0" w:space="0" w:color="auto"/>
      </w:divBdr>
    </w:div>
    <w:div w:id="2087797276">
      <w:bodyDiv w:val="1"/>
      <w:marLeft w:val="0"/>
      <w:marRight w:val="0"/>
      <w:marTop w:val="0"/>
      <w:marBottom w:val="0"/>
      <w:divBdr>
        <w:top w:val="none" w:sz="0" w:space="0" w:color="auto"/>
        <w:left w:val="none" w:sz="0" w:space="0" w:color="auto"/>
        <w:bottom w:val="none" w:sz="0" w:space="0" w:color="auto"/>
        <w:right w:val="none" w:sz="0" w:space="0" w:color="auto"/>
      </w:divBdr>
    </w:div>
    <w:div w:id="2088576114">
      <w:bodyDiv w:val="1"/>
      <w:marLeft w:val="0"/>
      <w:marRight w:val="0"/>
      <w:marTop w:val="0"/>
      <w:marBottom w:val="0"/>
      <w:divBdr>
        <w:top w:val="none" w:sz="0" w:space="0" w:color="auto"/>
        <w:left w:val="none" w:sz="0" w:space="0" w:color="auto"/>
        <w:bottom w:val="none" w:sz="0" w:space="0" w:color="auto"/>
        <w:right w:val="none" w:sz="0" w:space="0" w:color="auto"/>
      </w:divBdr>
    </w:div>
    <w:div w:id="2089885212">
      <w:bodyDiv w:val="1"/>
      <w:marLeft w:val="0"/>
      <w:marRight w:val="0"/>
      <w:marTop w:val="0"/>
      <w:marBottom w:val="0"/>
      <w:divBdr>
        <w:top w:val="none" w:sz="0" w:space="0" w:color="auto"/>
        <w:left w:val="none" w:sz="0" w:space="0" w:color="auto"/>
        <w:bottom w:val="none" w:sz="0" w:space="0" w:color="auto"/>
        <w:right w:val="none" w:sz="0" w:space="0" w:color="auto"/>
      </w:divBdr>
    </w:div>
    <w:div w:id="2092576419">
      <w:bodyDiv w:val="1"/>
      <w:marLeft w:val="0"/>
      <w:marRight w:val="0"/>
      <w:marTop w:val="0"/>
      <w:marBottom w:val="0"/>
      <w:divBdr>
        <w:top w:val="none" w:sz="0" w:space="0" w:color="auto"/>
        <w:left w:val="none" w:sz="0" w:space="0" w:color="auto"/>
        <w:bottom w:val="none" w:sz="0" w:space="0" w:color="auto"/>
        <w:right w:val="none" w:sz="0" w:space="0" w:color="auto"/>
      </w:divBdr>
    </w:div>
    <w:div w:id="2097051941">
      <w:bodyDiv w:val="1"/>
      <w:marLeft w:val="0"/>
      <w:marRight w:val="0"/>
      <w:marTop w:val="0"/>
      <w:marBottom w:val="0"/>
      <w:divBdr>
        <w:top w:val="none" w:sz="0" w:space="0" w:color="auto"/>
        <w:left w:val="none" w:sz="0" w:space="0" w:color="auto"/>
        <w:bottom w:val="none" w:sz="0" w:space="0" w:color="auto"/>
        <w:right w:val="none" w:sz="0" w:space="0" w:color="auto"/>
      </w:divBdr>
    </w:div>
    <w:div w:id="2098553593">
      <w:bodyDiv w:val="1"/>
      <w:marLeft w:val="0"/>
      <w:marRight w:val="0"/>
      <w:marTop w:val="0"/>
      <w:marBottom w:val="0"/>
      <w:divBdr>
        <w:top w:val="none" w:sz="0" w:space="0" w:color="auto"/>
        <w:left w:val="none" w:sz="0" w:space="0" w:color="auto"/>
        <w:bottom w:val="none" w:sz="0" w:space="0" w:color="auto"/>
        <w:right w:val="none" w:sz="0" w:space="0" w:color="auto"/>
      </w:divBdr>
    </w:div>
    <w:div w:id="2110924466">
      <w:bodyDiv w:val="1"/>
      <w:marLeft w:val="0"/>
      <w:marRight w:val="0"/>
      <w:marTop w:val="0"/>
      <w:marBottom w:val="0"/>
      <w:divBdr>
        <w:top w:val="none" w:sz="0" w:space="0" w:color="auto"/>
        <w:left w:val="none" w:sz="0" w:space="0" w:color="auto"/>
        <w:bottom w:val="none" w:sz="0" w:space="0" w:color="auto"/>
        <w:right w:val="none" w:sz="0" w:space="0" w:color="auto"/>
      </w:divBdr>
    </w:div>
    <w:div w:id="2111583878">
      <w:bodyDiv w:val="1"/>
      <w:marLeft w:val="0"/>
      <w:marRight w:val="0"/>
      <w:marTop w:val="0"/>
      <w:marBottom w:val="0"/>
      <w:divBdr>
        <w:top w:val="none" w:sz="0" w:space="0" w:color="auto"/>
        <w:left w:val="none" w:sz="0" w:space="0" w:color="auto"/>
        <w:bottom w:val="none" w:sz="0" w:space="0" w:color="auto"/>
        <w:right w:val="none" w:sz="0" w:space="0" w:color="auto"/>
      </w:divBdr>
    </w:div>
    <w:div w:id="2114082707">
      <w:bodyDiv w:val="1"/>
      <w:marLeft w:val="0"/>
      <w:marRight w:val="0"/>
      <w:marTop w:val="0"/>
      <w:marBottom w:val="0"/>
      <w:divBdr>
        <w:top w:val="none" w:sz="0" w:space="0" w:color="auto"/>
        <w:left w:val="none" w:sz="0" w:space="0" w:color="auto"/>
        <w:bottom w:val="none" w:sz="0" w:space="0" w:color="auto"/>
        <w:right w:val="none" w:sz="0" w:space="0" w:color="auto"/>
      </w:divBdr>
    </w:div>
    <w:div w:id="2116175007">
      <w:bodyDiv w:val="1"/>
      <w:marLeft w:val="0"/>
      <w:marRight w:val="0"/>
      <w:marTop w:val="0"/>
      <w:marBottom w:val="0"/>
      <w:divBdr>
        <w:top w:val="none" w:sz="0" w:space="0" w:color="auto"/>
        <w:left w:val="none" w:sz="0" w:space="0" w:color="auto"/>
        <w:bottom w:val="none" w:sz="0" w:space="0" w:color="auto"/>
        <w:right w:val="none" w:sz="0" w:space="0" w:color="auto"/>
      </w:divBdr>
    </w:div>
    <w:div w:id="2116900903">
      <w:bodyDiv w:val="1"/>
      <w:marLeft w:val="0"/>
      <w:marRight w:val="0"/>
      <w:marTop w:val="0"/>
      <w:marBottom w:val="0"/>
      <w:divBdr>
        <w:top w:val="none" w:sz="0" w:space="0" w:color="auto"/>
        <w:left w:val="none" w:sz="0" w:space="0" w:color="auto"/>
        <w:bottom w:val="none" w:sz="0" w:space="0" w:color="auto"/>
        <w:right w:val="none" w:sz="0" w:space="0" w:color="auto"/>
      </w:divBdr>
    </w:div>
    <w:div w:id="2119831037">
      <w:bodyDiv w:val="1"/>
      <w:marLeft w:val="0"/>
      <w:marRight w:val="0"/>
      <w:marTop w:val="0"/>
      <w:marBottom w:val="0"/>
      <w:divBdr>
        <w:top w:val="none" w:sz="0" w:space="0" w:color="auto"/>
        <w:left w:val="none" w:sz="0" w:space="0" w:color="auto"/>
        <w:bottom w:val="none" w:sz="0" w:space="0" w:color="auto"/>
        <w:right w:val="none" w:sz="0" w:space="0" w:color="auto"/>
      </w:divBdr>
    </w:div>
    <w:div w:id="2120877809">
      <w:bodyDiv w:val="1"/>
      <w:marLeft w:val="0"/>
      <w:marRight w:val="0"/>
      <w:marTop w:val="0"/>
      <w:marBottom w:val="0"/>
      <w:divBdr>
        <w:top w:val="none" w:sz="0" w:space="0" w:color="auto"/>
        <w:left w:val="none" w:sz="0" w:space="0" w:color="auto"/>
        <w:bottom w:val="none" w:sz="0" w:space="0" w:color="auto"/>
        <w:right w:val="none" w:sz="0" w:space="0" w:color="auto"/>
      </w:divBdr>
    </w:div>
    <w:div w:id="2124104872">
      <w:bodyDiv w:val="1"/>
      <w:marLeft w:val="0"/>
      <w:marRight w:val="0"/>
      <w:marTop w:val="0"/>
      <w:marBottom w:val="0"/>
      <w:divBdr>
        <w:top w:val="none" w:sz="0" w:space="0" w:color="auto"/>
        <w:left w:val="none" w:sz="0" w:space="0" w:color="auto"/>
        <w:bottom w:val="none" w:sz="0" w:space="0" w:color="auto"/>
        <w:right w:val="none" w:sz="0" w:space="0" w:color="auto"/>
      </w:divBdr>
    </w:div>
    <w:div w:id="2128349458">
      <w:bodyDiv w:val="1"/>
      <w:marLeft w:val="0"/>
      <w:marRight w:val="0"/>
      <w:marTop w:val="0"/>
      <w:marBottom w:val="0"/>
      <w:divBdr>
        <w:top w:val="none" w:sz="0" w:space="0" w:color="auto"/>
        <w:left w:val="none" w:sz="0" w:space="0" w:color="auto"/>
        <w:bottom w:val="none" w:sz="0" w:space="0" w:color="auto"/>
        <w:right w:val="none" w:sz="0" w:space="0" w:color="auto"/>
      </w:divBdr>
    </w:div>
    <w:div w:id="2131125676">
      <w:bodyDiv w:val="1"/>
      <w:marLeft w:val="0"/>
      <w:marRight w:val="0"/>
      <w:marTop w:val="0"/>
      <w:marBottom w:val="0"/>
      <w:divBdr>
        <w:top w:val="none" w:sz="0" w:space="0" w:color="auto"/>
        <w:left w:val="none" w:sz="0" w:space="0" w:color="auto"/>
        <w:bottom w:val="none" w:sz="0" w:space="0" w:color="auto"/>
        <w:right w:val="none" w:sz="0" w:space="0" w:color="auto"/>
      </w:divBdr>
    </w:div>
    <w:div w:id="2134247162">
      <w:bodyDiv w:val="1"/>
      <w:marLeft w:val="0"/>
      <w:marRight w:val="0"/>
      <w:marTop w:val="0"/>
      <w:marBottom w:val="0"/>
      <w:divBdr>
        <w:top w:val="none" w:sz="0" w:space="0" w:color="auto"/>
        <w:left w:val="none" w:sz="0" w:space="0" w:color="auto"/>
        <w:bottom w:val="none" w:sz="0" w:space="0" w:color="auto"/>
        <w:right w:val="none" w:sz="0" w:space="0" w:color="auto"/>
      </w:divBdr>
    </w:div>
    <w:div w:id="2134707771">
      <w:bodyDiv w:val="1"/>
      <w:marLeft w:val="0"/>
      <w:marRight w:val="0"/>
      <w:marTop w:val="0"/>
      <w:marBottom w:val="0"/>
      <w:divBdr>
        <w:top w:val="none" w:sz="0" w:space="0" w:color="auto"/>
        <w:left w:val="none" w:sz="0" w:space="0" w:color="auto"/>
        <w:bottom w:val="none" w:sz="0" w:space="0" w:color="auto"/>
        <w:right w:val="none" w:sz="0" w:space="0" w:color="auto"/>
      </w:divBdr>
    </w:div>
    <w:div w:id="2135246247">
      <w:bodyDiv w:val="1"/>
      <w:marLeft w:val="0"/>
      <w:marRight w:val="0"/>
      <w:marTop w:val="0"/>
      <w:marBottom w:val="0"/>
      <w:divBdr>
        <w:top w:val="none" w:sz="0" w:space="0" w:color="auto"/>
        <w:left w:val="none" w:sz="0" w:space="0" w:color="auto"/>
        <w:bottom w:val="none" w:sz="0" w:space="0" w:color="auto"/>
        <w:right w:val="none" w:sz="0" w:space="0" w:color="auto"/>
      </w:divBdr>
    </w:div>
    <w:div w:id="2135561872">
      <w:bodyDiv w:val="1"/>
      <w:marLeft w:val="0"/>
      <w:marRight w:val="0"/>
      <w:marTop w:val="0"/>
      <w:marBottom w:val="0"/>
      <w:divBdr>
        <w:top w:val="none" w:sz="0" w:space="0" w:color="auto"/>
        <w:left w:val="none" w:sz="0" w:space="0" w:color="auto"/>
        <w:bottom w:val="none" w:sz="0" w:space="0" w:color="auto"/>
        <w:right w:val="none" w:sz="0" w:space="0" w:color="auto"/>
      </w:divBdr>
    </w:div>
    <w:div w:id="2138524076">
      <w:bodyDiv w:val="1"/>
      <w:marLeft w:val="0"/>
      <w:marRight w:val="0"/>
      <w:marTop w:val="0"/>
      <w:marBottom w:val="0"/>
      <w:divBdr>
        <w:top w:val="none" w:sz="0" w:space="0" w:color="auto"/>
        <w:left w:val="none" w:sz="0" w:space="0" w:color="auto"/>
        <w:bottom w:val="none" w:sz="0" w:space="0" w:color="auto"/>
        <w:right w:val="none" w:sz="0" w:space="0" w:color="auto"/>
      </w:divBdr>
    </w:div>
    <w:div w:id="2139568823">
      <w:bodyDiv w:val="1"/>
      <w:marLeft w:val="0"/>
      <w:marRight w:val="0"/>
      <w:marTop w:val="0"/>
      <w:marBottom w:val="0"/>
      <w:divBdr>
        <w:top w:val="none" w:sz="0" w:space="0" w:color="auto"/>
        <w:left w:val="none" w:sz="0" w:space="0" w:color="auto"/>
        <w:bottom w:val="none" w:sz="0" w:space="0" w:color="auto"/>
        <w:right w:val="none" w:sz="0" w:space="0" w:color="auto"/>
      </w:divBdr>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
    <w:div w:id="2146774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hyperlink" Target="https://www.fca.org.uk/news/press-releases/fca-finalises-rules-new-type-fund-designed-invest-efficiently-long-term-assets" TargetMode="External"/><Relationship Id="rId21" Type="http://schemas.openxmlformats.org/officeDocument/2006/relationships/chart" Target="charts/chart5.xml"/><Relationship Id="rId34" Type="http://schemas.openxmlformats.org/officeDocument/2006/relationships/image" Target="media/image1.png"/><Relationship Id="rId42" Type="http://schemas.openxmlformats.org/officeDocument/2006/relationships/hyperlink" Target="https://www.iosco.org/news/pdf/IOSCONEWS622.pdf" TargetMode="External"/><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mailto:bulletin@sebi.gov.in" TargetMode="External"/><Relationship Id="rId29" Type="http://schemas.openxmlformats.org/officeDocument/2006/relationships/chart" Target="charts/chart13.xml"/><Relationship Id="rId11" Type="http://schemas.openxmlformats.org/officeDocument/2006/relationships/settings" Target="settings.xml"/><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hyperlink" Target="https://www.sec.gov/news/press-release/2021-212" TargetMode="External"/><Relationship Id="rId40" Type="http://schemas.openxmlformats.org/officeDocument/2006/relationships/hyperlink" Target="https://www.fca.org.uk/news/press-releases/young-investors-driven-competition-hype" TargetMode="External"/><Relationship Id="rId45" Type="http://schemas.openxmlformats.org/officeDocument/2006/relationships/hyperlink" Target="https://www.sebi.gov.in/reports-and-statistics.html" TargetMode="External"/><Relationship Id="rId5" Type="http://schemas.openxmlformats.org/officeDocument/2006/relationships/customXml" Target="../customXml/item5.xml"/><Relationship Id="rId15" Type="http://schemas.openxmlformats.org/officeDocument/2006/relationships/hyperlink" Target="https://www.sebi.gov.in/reports-and-statistics.html" TargetMode="Externa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hyperlink" Target="https://www.sec.gov/news/press-release/2021-209" TargetMode="External"/><Relationship Id="rId49" Type="http://schemas.openxmlformats.org/officeDocument/2006/relationships/footer" Target="footer2.xml"/><Relationship Id="rId10" Type="http://schemas.openxmlformats.org/officeDocument/2006/relationships/styles" Target="styles.xml"/><Relationship Id="rId19" Type="http://schemas.openxmlformats.org/officeDocument/2006/relationships/chart" Target="charts/chart3.xml"/><Relationship Id="rId31" Type="http://schemas.openxmlformats.org/officeDocument/2006/relationships/chart" Target="charts/chart15.xml"/><Relationship Id="rId44" Type="http://schemas.openxmlformats.org/officeDocument/2006/relationships/hyperlink" Target="https://www.fsb.org/2021/10/fsb-publishes-final-report-with-policy-proposals-to-enhance-money-market-fund-resilience/"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8.xml"/><Relationship Id="rId43" Type="http://schemas.openxmlformats.org/officeDocument/2006/relationships/hyperlink" Target="https://www.fsb.org/2021/10/policy-proposals-to-enhance-money-market-fund-resilience-final-report/" TargetMode="External"/><Relationship Id="rId48" Type="http://schemas.openxmlformats.org/officeDocument/2006/relationships/footer" Target="footer1.xml"/><Relationship Id="rId8" Type="http://schemas.openxmlformats.org/officeDocument/2006/relationships/customXml" Target="../customXml/item8.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hyperlink" Target="https://www.sec.gov/Archives/edgar/data/1174610/000168386321006058/0001683863-21-006058-index.htm" TargetMode="External"/><Relationship Id="rId46" Type="http://schemas.openxmlformats.org/officeDocument/2006/relationships/header" Target="header1.xml"/><Relationship Id="rId20" Type="http://schemas.openxmlformats.org/officeDocument/2006/relationships/chart" Target="charts/chart4.xml"/><Relationship Id="rId41" Type="http://schemas.openxmlformats.org/officeDocument/2006/relationships/hyperlink" Target="https://www.iosco.org/news/pdf/IOSCONEWS620.pdf"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1" Type="http://schemas.openxmlformats.org/officeDocument/2006/relationships/hyperlink" Target="https://www1.nseindia.com/live_market/content/live_watch/tender_offer/tender_offer.h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3.bin"/></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embeddings/oleObject4.bin"/></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embeddings/oleObject5.bin"/></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D:\SUMIT%20DATA\01.%20Monthly\00.%20Working\ref\Bulletin_Charts%20Prasad%20(First%201).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D:\SUMIT%20DATA\01.%20Monthly\00.%20Working\ref\Bulletin_Charts.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D:\SUMIT%20DATA\01.%20Monthly\00.%20Working\ref\Bulletin_Charts.xlsx" TargetMode="External"/></Relationships>
</file>

<file path=word/charts/_rels/chart16.xml.rels><?xml version="1.0" encoding="UTF-8" standalone="yes"?>
<Relationships xmlns="http://schemas.openxmlformats.org/package/2006/relationships"><Relationship Id="rId2" Type="http://schemas.openxmlformats.org/officeDocument/2006/relationships/oleObject" Target="file:///D:\SUMIT%20DATA\01.%20Monthly\00.%20Working\ref\Bulletin_Charts%20Prasad%20(Last%203).xlsx" TargetMode="External"/><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D:\vimal%20backup\SEBI%20WORK%203-%20DEPA1\2021-22%20DEPA1\DEPA1%20Bulletin%20-GMR\2021%2011%20GMR\2021%2011%20GMR%20NEW.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D:\vimal%20backup\SEBI%20WORK%203-%20DEPA1\2021-22%20DEPA1\DEPA1%20Bulletin%20-GMR\2021%2011%20GMR\2021%2011%20GMR%20NEW.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oleObject" Target="file:///C:\Users\1512\OneDrive\DEPA-1\SEBI%20Bulletin\Copy%20of%20CMR%20Aug%20202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2494\Documents\Bulletin\October\CMR%20Aug%202021.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'data (2)'!$E$1</c:f>
              <c:strCache>
                <c:ptCount val="1"/>
                <c:pt idx="0">
                  <c:v>NSE </c:v>
                </c:pt>
              </c:strCache>
            </c:strRef>
          </c:tx>
          <c:spPr>
            <a:ln w="28575" cap="rnd">
              <a:solidFill>
                <a:schemeClr val="accent1"/>
              </a:solidFill>
              <a:round/>
            </a:ln>
            <a:effectLst/>
          </c:spPr>
          <c:marker>
            <c:symbol val="none"/>
          </c:marker>
          <c:cat>
            <c:numRef>
              <c:f>'data (2)'!$D$2:$D$248</c:f>
              <c:numCache>
                <c:formatCode>d\-mmm\-yy</c:formatCode>
                <c:ptCount val="247"/>
                <c:pt idx="0">
                  <c:v>44137</c:v>
                </c:pt>
                <c:pt idx="1">
                  <c:v>44138</c:v>
                </c:pt>
                <c:pt idx="2">
                  <c:v>44139</c:v>
                </c:pt>
                <c:pt idx="3">
                  <c:v>44140</c:v>
                </c:pt>
                <c:pt idx="4">
                  <c:v>44141</c:v>
                </c:pt>
                <c:pt idx="5">
                  <c:v>44144</c:v>
                </c:pt>
                <c:pt idx="6">
                  <c:v>44145</c:v>
                </c:pt>
                <c:pt idx="7">
                  <c:v>44146</c:v>
                </c:pt>
                <c:pt idx="8">
                  <c:v>44147</c:v>
                </c:pt>
                <c:pt idx="9">
                  <c:v>44148</c:v>
                </c:pt>
                <c:pt idx="10">
                  <c:v>44149</c:v>
                </c:pt>
                <c:pt idx="11">
                  <c:v>44152</c:v>
                </c:pt>
                <c:pt idx="12">
                  <c:v>44153</c:v>
                </c:pt>
                <c:pt idx="13">
                  <c:v>44154</c:v>
                </c:pt>
                <c:pt idx="14">
                  <c:v>44155</c:v>
                </c:pt>
                <c:pt idx="15">
                  <c:v>44158</c:v>
                </c:pt>
                <c:pt idx="16">
                  <c:v>44159</c:v>
                </c:pt>
                <c:pt idx="17">
                  <c:v>44160</c:v>
                </c:pt>
                <c:pt idx="18">
                  <c:v>44161</c:v>
                </c:pt>
                <c:pt idx="19">
                  <c:v>44162</c:v>
                </c:pt>
                <c:pt idx="20">
                  <c:v>44166</c:v>
                </c:pt>
                <c:pt idx="21">
                  <c:v>44167</c:v>
                </c:pt>
                <c:pt idx="22">
                  <c:v>44168</c:v>
                </c:pt>
                <c:pt idx="23">
                  <c:v>44169</c:v>
                </c:pt>
                <c:pt idx="24">
                  <c:v>44172</c:v>
                </c:pt>
                <c:pt idx="25">
                  <c:v>44173</c:v>
                </c:pt>
                <c:pt idx="26">
                  <c:v>44174</c:v>
                </c:pt>
                <c:pt idx="27">
                  <c:v>44175</c:v>
                </c:pt>
                <c:pt idx="28">
                  <c:v>44176</c:v>
                </c:pt>
                <c:pt idx="29">
                  <c:v>44179</c:v>
                </c:pt>
                <c:pt idx="30">
                  <c:v>44180</c:v>
                </c:pt>
                <c:pt idx="31">
                  <c:v>44181</c:v>
                </c:pt>
                <c:pt idx="32">
                  <c:v>44182</c:v>
                </c:pt>
                <c:pt idx="33">
                  <c:v>44183</c:v>
                </c:pt>
                <c:pt idx="34">
                  <c:v>44186</c:v>
                </c:pt>
                <c:pt idx="35">
                  <c:v>44187</c:v>
                </c:pt>
                <c:pt idx="36">
                  <c:v>44188</c:v>
                </c:pt>
                <c:pt idx="37">
                  <c:v>44189</c:v>
                </c:pt>
                <c:pt idx="38">
                  <c:v>44193</c:v>
                </c:pt>
                <c:pt idx="39">
                  <c:v>44194</c:v>
                </c:pt>
                <c:pt idx="40">
                  <c:v>44195</c:v>
                </c:pt>
                <c:pt idx="41">
                  <c:v>44196</c:v>
                </c:pt>
                <c:pt idx="42">
                  <c:v>44197</c:v>
                </c:pt>
                <c:pt idx="43">
                  <c:v>44200</c:v>
                </c:pt>
                <c:pt idx="44">
                  <c:v>44201</c:v>
                </c:pt>
                <c:pt idx="45">
                  <c:v>44202</c:v>
                </c:pt>
                <c:pt idx="46">
                  <c:v>44203</c:v>
                </c:pt>
                <c:pt idx="47">
                  <c:v>44204</c:v>
                </c:pt>
                <c:pt idx="48">
                  <c:v>44207</c:v>
                </c:pt>
                <c:pt idx="49">
                  <c:v>44208</c:v>
                </c:pt>
                <c:pt idx="50">
                  <c:v>44209</c:v>
                </c:pt>
                <c:pt idx="51">
                  <c:v>44210</c:v>
                </c:pt>
                <c:pt idx="52">
                  <c:v>44211</c:v>
                </c:pt>
                <c:pt idx="53">
                  <c:v>44214</c:v>
                </c:pt>
                <c:pt idx="54">
                  <c:v>44215</c:v>
                </c:pt>
                <c:pt idx="55">
                  <c:v>44216</c:v>
                </c:pt>
                <c:pt idx="56">
                  <c:v>44217</c:v>
                </c:pt>
                <c:pt idx="57">
                  <c:v>44218</c:v>
                </c:pt>
                <c:pt idx="58">
                  <c:v>44221</c:v>
                </c:pt>
                <c:pt idx="59">
                  <c:v>44223</c:v>
                </c:pt>
                <c:pt idx="60">
                  <c:v>44224</c:v>
                </c:pt>
                <c:pt idx="61">
                  <c:v>44225</c:v>
                </c:pt>
                <c:pt idx="62">
                  <c:v>44228</c:v>
                </c:pt>
                <c:pt idx="63">
                  <c:v>44229</c:v>
                </c:pt>
                <c:pt idx="64">
                  <c:v>44230</c:v>
                </c:pt>
                <c:pt idx="65">
                  <c:v>44231</c:v>
                </c:pt>
                <c:pt idx="66">
                  <c:v>44232</c:v>
                </c:pt>
                <c:pt idx="67">
                  <c:v>44235</c:v>
                </c:pt>
                <c:pt idx="68">
                  <c:v>44236</c:v>
                </c:pt>
                <c:pt idx="69">
                  <c:v>44237</c:v>
                </c:pt>
                <c:pt idx="70">
                  <c:v>44238</c:v>
                </c:pt>
                <c:pt idx="71">
                  <c:v>44239</c:v>
                </c:pt>
                <c:pt idx="72">
                  <c:v>44242</c:v>
                </c:pt>
                <c:pt idx="73">
                  <c:v>44243</c:v>
                </c:pt>
                <c:pt idx="74">
                  <c:v>44244</c:v>
                </c:pt>
                <c:pt idx="75">
                  <c:v>44245</c:v>
                </c:pt>
                <c:pt idx="76">
                  <c:v>44246</c:v>
                </c:pt>
                <c:pt idx="77">
                  <c:v>44249</c:v>
                </c:pt>
                <c:pt idx="78">
                  <c:v>44250</c:v>
                </c:pt>
                <c:pt idx="79">
                  <c:v>44251</c:v>
                </c:pt>
                <c:pt idx="80">
                  <c:v>44252</c:v>
                </c:pt>
                <c:pt idx="81">
                  <c:v>44253</c:v>
                </c:pt>
                <c:pt idx="82">
                  <c:v>44256</c:v>
                </c:pt>
                <c:pt idx="83">
                  <c:v>44257</c:v>
                </c:pt>
                <c:pt idx="84">
                  <c:v>44258</c:v>
                </c:pt>
                <c:pt idx="85">
                  <c:v>44259</c:v>
                </c:pt>
                <c:pt idx="86">
                  <c:v>44260</c:v>
                </c:pt>
                <c:pt idx="87">
                  <c:v>44263</c:v>
                </c:pt>
                <c:pt idx="88">
                  <c:v>44264</c:v>
                </c:pt>
                <c:pt idx="89">
                  <c:v>44265</c:v>
                </c:pt>
                <c:pt idx="90">
                  <c:v>44267</c:v>
                </c:pt>
                <c:pt idx="91">
                  <c:v>44270</c:v>
                </c:pt>
                <c:pt idx="92">
                  <c:v>44271</c:v>
                </c:pt>
                <c:pt idx="93">
                  <c:v>44272</c:v>
                </c:pt>
                <c:pt idx="94">
                  <c:v>44273</c:v>
                </c:pt>
                <c:pt idx="95">
                  <c:v>44274</c:v>
                </c:pt>
                <c:pt idx="96">
                  <c:v>44277</c:v>
                </c:pt>
                <c:pt idx="97">
                  <c:v>44278</c:v>
                </c:pt>
                <c:pt idx="98">
                  <c:v>44279</c:v>
                </c:pt>
                <c:pt idx="99">
                  <c:v>44280</c:v>
                </c:pt>
                <c:pt idx="100">
                  <c:v>44281</c:v>
                </c:pt>
                <c:pt idx="101">
                  <c:v>44285</c:v>
                </c:pt>
                <c:pt idx="102">
                  <c:v>44286</c:v>
                </c:pt>
                <c:pt idx="103">
                  <c:v>44287</c:v>
                </c:pt>
                <c:pt idx="104">
                  <c:v>44291</c:v>
                </c:pt>
                <c:pt idx="105">
                  <c:v>44292</c:v>
                </c:pt>
                <c:pt idx="106">
                  <c:v>44293</c:v>
                </c:pt>
                <c:pt idx="107">
                  <c:v>44294</c:v>
                </c:pt>
                <c:pt idx="108">
                  <c:v>44295</c:v>
                </c:pt>
                <c:pt idx="109">
                  <c:v>44298</c:v>
                </c:pt>
                <c:pt idx="110">
                  <c:v>44299</c:v>
                </c:pt>
                <c:pt idx="111">
                  <c:v>44301</c:v>
                </c:pt>
                <c:pt idx="112">
                  <c:v>44302</c:v>
                </c:pt>
                <c:pt idx="113">
                  <c:v>44305</c:v>
                </c:pt>
                <c:pt idx="114">
                  <c:v>44306</c:v>
                </c:pt>
                <c:pt idx="115">
                  <c:v>44308</c:v>
                </c:pt>
                <c:pt idx="116">
                  <c:v>44309</c:v>
                </c:pt>
                <c:pt idx="117">
                  <c:v>44312</c:v>
                </c:pt>
                <c:pt idx="118">
                  <c:v>44313</c:v>
                </c:pt>
                <c:pt idx="119">
                  <c:v>44314</c:v>
                </c:pt>
                <c:pt idx="120">
                  <c:v>44315</c:v>
                </c:pt>
                <c:pt idx="121">
                  <c:v>44316</c:v>
                </c:pt>
                <c:pt idx="122">
                  <c:v>44319</c:v>
                </c:pt>
                <c:pt idx="123">
                  <c:v>44320</c:v>
                </c:pt>
                <c:pt idx="124">
                  <c:v>44321</c:v>
                </c:pt>
                <c:pt idx="125">
                  <c:v>44322</c:v>
                </c:pt>
                <c:pt idx="126">
                  <c:v>44323</c:v>
                </c:pt>
                <c:pt idx="127">
                  <c:v>44326</c:v>
                </c:pt>
                <c:pt idx="128">
                  <c:v>44327</c:v>
                </c:pt>
                <c:pt idx="129">
                  <c:v>44328</c:v>
                </c:pt>
                <c:pt idx="130">
                  <c:v>44330</c:v>
                </c:pt>
                <c:pt idx="131">
                  <c:v>44333</c:v>
                </c:pt>
                <c:pt idx="132">
                  <c:v>44334</c:v>
                </c:pt>
                <c:pt idx="133">
                  <c:v>44335</c:v>
                </c:pt>
                <c:pt idx="134">
                  <c:v>44336</c:v>
                </c:pt>
                <c:pt idx="135">
                  <c:v>44337</c:v>
                </c:pt>
                <c:pt idx="136">
                  <c:v>44340</c:v>
                </c:pt>
                <c:pt idx="137">
                  <c:v>44341</c:v>
                </c:pt>
                <c:pt idx="138">
                  <c:v>44342</c:v>
                </c:pt>
                <c:pt idx="139">
                  <c:v>44343</c:v>
                </c:pt>
                <c:pt idx="140">
                  <c:v>44344</c:v>
                </c:pt>
                <c:pt idx="141">
                  <c:v>44347</c:v>
                </c:pt>
                <c:pt idx="142">
                  <c:v>44348</c:v>
                </c:pt>
                <c:pt idx="143">
                  <c:v>44349</c:v>
                </c:pt>
                <c:pt idx="144">
                  <c:v>44350</c:v>
                </c:pt>
                <c:pt idx="145">
                  <c:v>44351</c:v>
                </c:pt>
                <c:pt idx="146">
                  <c:v>44354</c:v>
                </c:pt>
                <c:pt idx="147">
                  <c:v>44355</c:v>
                </c:pt>
                <c:pt idx="148">
                  <c:v>44356</c:v>
                </c:pt>
                <c:pt idx="149">
                  <c:v>44357</c:v>
                </c:pt>
                <c:pt idx="150">
                  <c:v>44358</c:v>
                </c:pt>
                <c:pt idx="151">
                  <c:v>44361</c:v>
                </c:pt>
                <c:pt idx="152">
                  <c:v>44362</c:v>
                </c:pt>
                <c:pt idx="153">
                  <c:v>44363</c:v>
                </c:pt>
                <c:pt idx="154">
                  <c:v>44364</c:v>
                </c:pt>
                <c:pt idx="155">
                  <c:v>44365</c:v>
                </c:pt>
                <c:pt idx="156">
                  <c:v>44368</c:v>
                </c:pt>
                <c:pt idx="157">
                  <c:v>44369</c:v>
                </c:pt>
                <c:pt idx="158">
                  <c:v>44370</c:v>
                </c:pt>
                <c:pt idx="159">
                  <c:v>44371</c:v>
                </c:pt>
                <c:pt idx="160">
                  <c:v>44372</c:v>
                </c:pt>
                <c:pt idx="161">
                  <c:v>44375</c:v>
                </c:pt>
                <c:pt idx="162">
                  <c:v>44376</c:v>
                </c:pt>
                <c:pt idx="163">
                  <c:v>44377</c:v>
                </c:pt>
                <c:pt idx="164">
                  <c:v>44378</c:v>
                </c:pt>
                <c:pt idx="165">
                  <c:v>44379</c:v>
                </c:pt>
                <c:pt idx="166">
                  <c:v>44382</c:v>
                </c:pt>
                <c:pt idx="167">
                  <c:v>44383</c:v>
                </c:pt>
                <c:pt idx="168">
                  <c:v>44384</c:v>
                </c:pt>
                <c:pt idx="169">
                  <c:v>44385</c:v>
                </c:pt>
                <c:pt idx="170">
                  <c:v>44386</c:v>
                </c:pt>
                <c:pt idx="171">
                  <c:v>44389</c:v>
                </c:pt>
                <c:pt idx="172">
                  <c:v>44390</c:v>
                </c:pt>
                <c:pt idx="173">
                  <c:v>44391</c:v>
                </c:pt>
                <c:pt idx="174">
                  <c:v>44392</c:v>
                </c:pt>
                <c:pt idx="175">
                  <c:v>44393</c:v>
                </c:pt>
                <c:pt idx="176">
                  <c:v>44396</c:v>
                </c:pt>
                <c:pt idx="177">
                  <c:v>44397</c:v>
                </c:pt>
                <c:pt idx="178">
                  <c:v>44399</c:v>
                </c:pt>
                <c:pt idx="179">
                  <c:v>44400</c:v>
                </c:pt>
                <c:pt idx="180">
                  <c:v>44403</c:v>
                </c:pt>
                <c:pt idx="181">
                  <c:v>44404</c:v>
                </c:pt>
                <c:pt idx="182">
                  <c:v>44405</c:v>
                </c:pt>
                <c:pt idx="183">
                  <c:v>44406</c:v>
                </c:pt>
                <c:pt idx="184">
                  <c:v>44407</c:v>
                </c:pt>
                <c:pt idx="185">
                  <c:v>44410</c:v>
                </c:pt>
                <c:pt idx="186">
                  <c:v>44411</c:v>
                </c:pt>
                <c:pt idx="187">
                  <c:v>44412</c:v>
                </c:pt>
                <c:pt idx="188">
                  <c:v>44413</c:v>
                </c:pt>
                <c:pt idx="189">
                  <c:v>44414</c:v>
                </c:pt>
                <c:pt idx="190">
                  <c:v>44417</c:v>
                </c:pt>
                <c:pt idx="191">
                  <c:v>44418</c:v>
                </c:pt>
                <c:pt idx="192">
                  <c:v>44419</c:v>
                </c:pt>
                <c:pt idx="193">
                  <c:v>44420</c:v>
                </c:pt>
                <c:pt idx="194">
                  <c:v>44421</c:v>
                </c:pt>
                <c:pt idx="195">
                  <c:v>44424</c:v>
                </c:pt>
                <c:pt idx="196">
                  <c:v>44425</c:v>
                </c:pt>
                <c:pt idx="197">
                  <c:v>44426</c:v>
                </c:pt>
                <c:pt idx="198">
                  <c:v>44428</c:v>
                </c:pt>
                <c:pt idx="199">
                  <c:v>44431</c:v>
                </c:pt>
                <c:pt idx="200">
                  <c:v>44432</c:v>
                </c:pt>
                <c:pt idx="201">
                  <c:v>44433</c:v>
                </c:pt>
                <c:pt idx="202">
                  <c:v>44434</c:v>
                </c:pt>
                <c:pt idx="203">
                  <c:v>44435</c:v>
                </c:pt>
                <c:pt idx="204">
                  <c:v>44438</c:v>
                </c:pt>
                <c:pt idx="205">
                  <c:v>44439</c:v>
                </c:pt>
                <c:pt idx="206">
                  <c:v>44440</c:v>
                </c:pt>
                <c:pt idx="207">
                  <c:v>44441</c:v>
                </c:pt>
                <c:pt idx="208">
                  <c:v>44442</c:v>
                </c:pt>
                <c:pt idx="209">
                  <c:v>44445</c:v>
                </c:pt>
                <c:pt idx="210">
                  <c:v>44446</c:v>
                </c:pt>
                <c:pt idx="211">
                  <c:v>44447</c:v>
                </c:pt>
                <c:pt idx="212">
                  <c:v>44448</c:v>
                </c:pt>
                <c:pt idx="213">
                  <c:v>44452</c:v>
                </c:pt>
                <c:pt idx="214">
                  <c:v>44453</c:v>
                </c:pt>
                <c:pt idx="215">
                  <c:v>44454</c:v>
                </c:pt>
                <c:pt idx="216">
                  <c:v>44455</c:v>
                </c:pt>
                <c:pt idx="217">
                  <c:v>44456</c:v>
                </c:pt>
                <c:pt idx="218">
                  <c:v>44459</c:v>
                </c:pt>
                <c:pt idx="219">
                  <c:v>44460</c:v>
                </c:pt>
                <c:pt idx="220">
                  <c:v>44461</c:v>
                </c:pt>
                <c:pt idx="221">
                  <c:v>44462</c:v>
                </c:pt>
                <c:pt idx="222">
                  <c:v>44463</c:v>
                </c:pt>
                <c:pt idx="223">
                  <c:v>44466</c:v>
                </c:pt>
                <c:pt idx="224">
                  <c:v>44467</c:v>
                </c:pt>
                <c:pt idx="225">
                  <c:v>44468</c:v>
                </c:pt>
                <c:pt idx="226">
                  <c:v>44469</c:v>
                </c:pt>
                <c:pt idx="227">
                  <c:v>44470</c:v>
                </c:pt>
                <c:pt idx="228">
                  <c:v>44473</c:v>
                </c:pt>
                <c:pt idx="229">
                  <c:v>44474</c:v>
                </c:pt>
                <c:pt idx="230">
                  <c:v>44475</c:v>
                </c:pt>
                <c:pt idx="231">
                  <c:v>44476</c:v>
                </c:pt>
                <c:pt idx="232">
                  <c:v>44477</c:v>
                </c:pt>
                <c:pt idx="233">
                  <c:v>44480</c:v>
                </c:pt>
                <c:pt idx="234">
                  <c:v>44481</c:v>
                </c:pt>
                <c:pt idx="235">
                  <c:v>44482</c:v>
                </c:pt>
                <c:pt idx="236">
                  <c:v>44483</c:v>
                </c:pt>
                <c:pt idx="237">
                  <c:v>44487</c:v>
                </c:pt>
                <c:pt idx="238">
                  <c:v>44488</c:v>
                </c:pt>
                <c:pt idx="239">
                  <c:v>44489</c:v>
                </c:pt>
                <c:pt idx="240">
                  <c:v>44490</c:v>
                </c:pt>
                <c:pt idx="241">
                  <c:v>44491</c:v>
                </c:pt>
                <c:pt idx="242">
                  <c:v>44494</c:v>
                </c:pt>
                <c:pt idx="243">
                  <c:v>44495</c:v>
                </c:pt>
                <c:pt idx="244">
                  <c:v>44496</c:v>
                </c:pt>
                <c:pt idx="245">
                  <c:v>44497</c:v>
                </c:pt>
                <c:pt idx="246">
                  <c:v>44498</c:v>
                </c:pt>
              </c:numCache>
            </c:numRef>
          </c:cat>
          <c:val>
            <c:numRef>
              <c:f>'data (2)'!$E$2:$E$248</c:f>
              <c:numCache>
                <c:formatCode>_ * #,##0.0_ ;_ * \-#,##0.0_ ;_ * "-"??_ ;_ @_ </c:formatCode>
                <c:ptCount val="247"/>
                <c:pt idx="0">
                  <c:v>100</c:v>
                </c:pt>
                <c:pt idx="1">
                  <c:v>101.23702240523089</c:v>
                </c:pt>
                <c:pt idx="2">
                  <c:v>102.05113482987193</c:v>
                </c:pt>
                <c:pt idx="3">
                  <c:v>103.86617705659796</c:v>
                </c:pt>
                <c:pt idx="4">
                  <c:v>105.09377289691194</c:v>
                </c:pt>
                <c:pt idx="5">
                  <c:v>106.78626977971831</c:v>
                </c:pt>
                <c:pt idx="6">
                  <c:v>108.2435310198258</c:v>
                </c:pt>
                <c:pt idx="7">
                  <c:v>109.25517282749816</c:v>
                </c:pt>
                <c:pt idx="8">
                  <c:v>108.75513640667916</c:v>
                </c:pt>
                <c:pt idx="9">
                  <c:v>109.00494037697692</c:v>
                </c:pt>
                <c:pt idx="10">
                  <c:v>109.52168752651224</c:v>
                </c:pt>
                <c:pt idx="11">
                  <c:v>110.3268018664599</c:v>
                </c:pt>
                <c:pt idx="12">
                  <c:v>110.87568503275736</c:v>
                </c:pt>
                <c:pt idx="13">
                  <c:v>109.44841740829457</c:v>
                </c:pt>
                <c:pt idx="14">
                  <c:v>110.19697235874084</c:v>
                </c:pt>
                <c:pt idx="15">
                  <c:v>110.77456370001249</c:v>
                </c:pt>
                <c:pt idx="16">
                  <c:v>111.87747179528934</c:v>
                </c:pt>
                <c:pt idx="17">
                  <c:v>110.19140211583539</c:v>
                </c:pt>
                <c:pt idx="18">
                  <c:v>111.29345325066525</c:v>
                </c:pt>
                <c:pt idx="19">
                  <c:v>111.13877188998346</c:v>
                </c:pt>
                <c:pt idx="20">
                  <c:v>112.33937347621723</c:v>
                </c:pt>
                <c:pt idx="21">
                  <c:v>112.37965061722579</c:v>
                </c:pt>
                <c:pt idx="22">
                  <c:v>112.55232814729439</c:v>
                </c:pt>
                <c:pt idx="23">
                  <c:v>113.62052934446814</c:v>
                </c:pt>
                <c:pt idx="24">
                  <c:v>114.45349489894299</c:v>
                </c:pt>
                <c:pt idx="25">
                  <c:v>114.77228418522348</c:v>
                </c:pt>
                <c:pt idx="26">
                  <c:v>115.93903583380114</c:v>
                </c:pt>
                <c:pt idx="27">
                  <c:v>115.50369992672992</c:v>
                </c:pt>
                <c:pt idx="28">
                  <c:v>115.8083493656351</c:v>
                </c:pt>
                <c:pt idx="29">
                  <c:v>116.18798284365192</c:v>
                </c:pt>
                <c:pt idx="30">
                  <c:v>116.27110800701001</c:v>
                </c:pt>
                <c:pt idx="31">
                  <c:v>117.25532708037868</c:v>
                </c:pt>
                <c:pt idx="32">
                  <c:v>117.7523641396332</c:v>
                </c:pt>
                <c:pt idx="33">
                  <c:v>117.92247078836083</c:v>
                </c:pt>
                <c:pt idx="34">
                  <c:v>114.21911621669108</c:v>
                </c:pt>
                <c:pt idx="35">
                  <c:v>115.40086467309106</c:v>
                </c:pt>
                <c:pt idx="36">
                  <c:v>116.55604735563435</c:v>
                </c:pt>
                <c:pt idx="37">
                  <c:v>117.82563425785088</c:v>
                </c:pt>
                <c:pt idx="38">
                  <c:v>118.88783673189569</c:v>
                </c:pt>
                <c:pt idx="39">
                  <c:v>119.39687123740809</c:v>
                </c:pt>
                <c:pt idx="40">
                  <c:v>119.81978121799793</c:v>
                </c:pt>
                <c:pt idx="41">
                  <c:v>119.81806729710394</c:v>
                </c:pt>
                <c:pt idx="42">
                  <c:v>120.13300026137297</c:v>
                </c:pt>
                <c:pt idx="43">
                  <c:v>121.11336301273019</c:v>
                </c:pt>
                <c:pt idx="44">
                  <c:v>121.68409867042591</c:v>
                </c:pt>
                <c:pt idx="45">
                  <c:v>121.22776723240342</c:v>
                </c:pt>
                <c:pt idx="46">
                  <c:v>121.15149775262127</c:v>
                </c:pt>
                <c:pt idx="47">
                  <c:v>122.95025773085447</c:v>
                </c:pt>
                <c:pt idx="48">
                  <c:v>124.12857834546651</c:v>
                </c:pt>
                <c:pt idx="49">
                  <c:v>124.8030062172481</c:v>
                </c:pt>
                <c:pt idx="50">
                  <c:v>124.81500366350596</c:v>
                </c:pt>
                <c:pt idx="51">
                  <c:v>125.07851900095557</c:v>
                </c:pt>
                <c:pt idx="52">
                  <c:v>123.69110003727785</c:v>
                </c:pt>
                <c:pt idx="53">
                  <c:v>122.38509231606422</c:v>
                </c:pt>
                <c:pt idx="54">
                  <c:v>124.44051194817111</c:v>
                </c:pt>
                <c:pt idx="55">
                  <c:v>125.49928658042796</c:v>
                </c:pt>
                <c:pt idx="56">
                  <c:v>125.03352857748858</c:v>
                </c:pt>
                <c:pt idx="57">
                  <c:v>123.16149848103767</c:v>
                </c:pt>
                <c:pt idx="58">
                  <c:v>122.0217410865402</c:v>
                </c:pt>
                <c:pt idx="59">
                  <c:v>119.6959504334078</c:v>
                </c:pt>
                <c:pt idx="60">
                  <c:v>118.41093824314544</c:v>
                </c:pt>
                <c:pt idx="61">
                  <c:v>116.84312910537619</c:v>
                </c:pt>
                <c:pt idx="62">
                  <c:v>122.38423535561724</c:v>
                </c:pt>
                <c:pt idx="63">
                  <c:v>125.52628083450817</c:v>
                </c:pt>
                <c:pt idx="64">
                  <c:v>126.74402162968177</c:v>
                </c:pt>
                <c:pt idx="65">
                  <c:v>127.64982882215078</c:v>
                </c:pt>
                <c:pt idx="66">
                  <c:v>127.89491950999009</c:v>
                </c:pt>
                <c:pt idx="67">
                  <c:v>129.5364272462005</c:v>
                </c:pt>
                <c:pt idx="68">
                  <c:v>129.48072481714613</c:v>
                </c:pt>
                <c:pt idx="69">
                  <c:v>129.45672992463039</c:v>
                </c:pt>
                <c:pt idx="70">
                  <c:v>130.02917950322006</c:v>
                </c:pt>
                <c:pt idx="71">
                  <c:v>129.943483458521</c:v>
                </c:pt>
                <c:pt idx="72">
                  <c:v>131.24092157526474</c:v>
                </c:pt>
                <c:pt idx="73">
                  <c:v>131.23020956967736</c:v>
                </c:pt>
                <c:pt idx="74">
                  <c:v>130.33425742234871</c:v>
                </c:pt>
                <c:pt idx="75">
                  <c:v>129.5634215002807</c:v>
                </c:pt>
                <c:pt idx="76">
                  <c:v>128.38767176700964</c:v>
                </c:pt>
                <c:pt idx="77">
                  <c:v>125.76494431899501</c:v>
                </c:pt>
                <c:pt idx="78">
                  <c:v>126.04002862247897</c:v>
                </c:pt>
                <c:pt idx="79">
                  <c:v>128.38981416812712</c:v>
                </c:pt>
                <c:pt idx="80">
                  <c:v>129.37831804373076</c:v>
                </c:pt>
                <c:pt idx="81">
                  <c:v>124.50906878393035</c:v>
                </c:pt>
                <c:pt idx="82">
                  <c:v>126.50064486273642</c:v>
                </c:pt>
                <c:pt idx="83">
                  <c:v>127.85078604697009</c:v>
                </c:pt>
                <c:pt idx="84">
                  <c:v>130.6487619063943</c:v>
                </c:pt>
                <c:pt idx="85">
                  <c:v>129.23606260953034</c:v>
                </c:pt>
                <c:pt idx="86">
                  <c:v>128.01360853189829</c:v>
                </c:pt>
                <c:pt idx="87">
                  <c:v>128.1687183728036</c:v>
                </c:pt>
                <c:pt idx="88">
                  <c:v>129.38731612842417</c:v>
                </c:pt>
                <c:pt idx="89">
                  <c:v>130.04203390992498</c:v>
                </c:pt>
                <c:pt idx="90">
                  <c:v>128.80929630692907</c:v>
                </c:pt>
                <c:pt idx="91">
                  <c:v>127.93990993345713</c:v>
                </c:pt>
                <c:pt idx="92">
                  <c:v>127.77665896830543</c:v>
                </c:pt>
                <c:pt idx="93">
                  <c:v>126.15571828282275</c:v>
                </c:pt>
                <c:pt idx="94">
                  <c:v>124.75501643221668</c:v>
                </c:pt>
                <c:pt idx="95">
                  <c:v>126.35024830428964</c:v>
                </c:pt>
                <c:pt idx="96">
                  <c:v>126.28511931031835</c:v>
                </c:pt>
                <c:pt idx="97">
                  <c:v>126.95654782053545</c:v>
                </c:pt>
                <c:pt idx="98">
                  <c:v>124.68260327444597</c:v>
                </c:pt>
                <c:pt idx="99">
                  <c:v>122.75872707095213</c:v>
                </c:pt>
                <c:pt idx="100">
                  <c:v>124.32182292626291</c:v>
                </c:pt>
                <c:pt idx="101">
                  <c:v>127.21663531619708</c:v>
                </c:pt>
                <c:pt idx="102">
                  <c:v>125.89348838604366</c:v>
                </c:pt>
                <c:pt idx="103">
                  <c:v>127.4073090156525</c:v>
                </c:pt>
                <c:pt idx="104">
                  <c:v>125.44015630958565</c:v>
                </c:pt>
                <c:pt idx="105">
                  <c:v>125.83178723386035</c:v>
                </c:pt>
                <c:pt idx="106">
                  <c:v>126.99339711975607</c:v>
                </c:pt>
                <c:pt idx="107">
                  <c:v>127.4625829644834</c:v>
                </c:pt>
                <c:pt idx="108">
                  <c:v>127.12879687038058</c:v>
                </c:pt>
                <c:pt idx="109">
                  <c:v>122.63789564792648</c:v>
                </c:pt>
                <c:pt idx="110">
                  <c:v>124.30039891508819</c:v>
                </c:pt>
                <c:pt idx="111">
                  <c:v>124.95725909770647</c:v>
                </c:pt>
                <c:pt idx="112">
                  <c:v>125.26919270041104</c:v>
                </c:pt>
                <c:pt idx="113">
                  <c:v>123.05480690538741</c:v>
                </c:pt>
                <c:pt idx="114">
                  <c:v>122.51449334355985</c:v>
                </c:pt>
                <c:pt idx="115">
                  <c:v>123.45500743413199</c:v>
                </c:pt>
                <c:pt idx="116">
                  <c:v>122.89969706448211</c:v>
                </c:pt>
                <c:pt idx="117">
                  <c:v>124.13072074658406</c:v>
                </c:pt>
                <c:pt idx="118">
                  <c:v>125.57084277775169</c:v>
                </c:pt>
                <c:pt idx="119">
                  <c:v>127.38331412313676</c:v>
                </c:pt>
                <c:pt idx="120">
                  <c:v>127.64340161879841</c:v>
                </c:pt>
                <c:pt idx="121">
                  <c:v>125.38273995963729</c:v>
                </c:pt>
                <c:pt idx="122">
                  <c:v>125.4088772532705</c:v>
                </c:pt>
                <c:pt idx="123">
                  <c:v>124.22927119798798</c:v>
                </c:pt>
                <c:pt idx="124">
                  <c:v>125.26919270041104</c:v>
                </c:pt>
                <c:pt idx="125">
                  <c:v>126.18571189846745</c:v>
                </c:pt>
                <c:pt idx="126">
                  <c:v>127.02853249808268</c:v>
                </c:pt>
                <c:pt idx="127">
                  <c:v>128.05002935089544</c:v>
                </c:pt>
                <c:pt idx="128">
                  <c:v>127.26505358145208</c:v>
                </c:pt>
                <c:pt idx="129">
                  <c:v>125.94319209196912</c:v>
                </c:pt>
                <c:pt idx="130">
                  <c:v>125.78294048838188</c:v>
                </c:pt>
                <c:pt idx="131">
                  <c:v>127.88549294507325</c:v>
                </c:pt>
                <c:pt idx="132">
                  <c:v>129.47044129178232</c:v>
                </c:pt>
                <c:pt idx="133">
                  <c:v>128.80244062335316</c:v>
                </c:pt>
                <c:pt idx="134">
                  <c:v>127.73895270863787</c:v>
                </c:pt>
                <c:pt idx="135">
                  <c:v>130.04631871215997</c:v>
                </c:pt>
                <c:pt idx="136">
                  <c:v>130.23827785228588</c:v>
                </c:pt>
                <c:pt idx="137">
                  <c:v>130.33040110033735</c:v>
                </c:pt>
                <c:pt idx="138">
                  <c:v>131.12737431603858</c:v>
                </c:pt>
                <c:pt idx="139">
                  <c:v>131.43930791874317</c:v>
                </c:pt>
                <c:pt idx="140">
                  <c:v>132.27741523589992</c:v>
                </c:pt>
                <c:pt idx="141">
                  <c:v>133.53843253364656</c:v>
                </c:pt>
                <c:pt idx="142">
                  <c:v>133.47030417811081</c:v>
                </c:pt>
                <c:pt idx="143">
                  <c:v>133.48187314414517</c:v>
                </c:pt>
                <c:pt idx="144">
                  <c:v>134.46009349438489</c:v>
                </c:pt>
                <c:pt idx="145">
                  <c:v>134.28784444453979</c:v>
                </c:pt>
                <c:pt idx="146">
                  <c:v>134.98541024839008</c:v>
                </c:pt>
                <c:pt idx="147">
                  <c:v>134.88643131676267</c:v>
                </c:pt>
                <c:pt idx="148">
                  <c:v>133.98876524854003</c:v>
                </c:pt>
                <c:pt idx="149">
                  <c:v>134.86629274625838</c:v>
                </c:pt>
                <c:pt idx="150">
                  <c:v>135.39418038160457</c:v>
                </c:pt>
                <c:pt idx="151">
                  <c:v>135.50130043747839</c:v>
                </c:pt>
                <c:pt idx="152">
                  <c:v>135.99319573405097</c:v>
                </c:pt>
                <c:pt idx="153">
                  <c:v>135.12166695946155</c:v>
                </c:pt>
                <c:pt idx="154">
                  <c:v>134.46909157907822</c:v>
                </c:pt>
                <c:pt idx="155">
                  <c:v>134.40010626309549</c:v>
                </c:pt>
                <c:pt idx="156">
                  <c:v>134.94127678537004</c:v>
                </c:pt>
                <c:pt idx="157">
                  <c:v>135.16622890270506</c:v>
                </c:pt>
                <c:pt idx="158">
                  <c:v>134.43095683918716</c:v>
                </c:pt>
                <c:pt idx="159">
                  <c:v>135.31791090182239</c:v>
                </c:pt>
                <c:pt idx="160">
                  <c:v>135.91692625426879</c:v>
                </c:pt>
                <c:pt idx="161">
                  <c:v>135.52572381021758</c:v>
                </c:pt>
                <c:pt idx="162">
                  <c:v>134.95798751408634</c:v>
                </c:pt>
                <c:pt idx="163">
                  <c:v>134.72703667362237</c:v>
                </c:pt>
                <c:pt idx="164">
                  <c:v>134.37139808812128</c:v>
                </c:pt>
                <c:pt idx="165">
                  <c:v>134.73303539675132</c:v>
                </c:pt>
                <c:pt idx="166">
                  <c:v>135.69411653805125</c:v>
                </c:pt>
                <c:pt idx="167">
                  <c:v>135.55614590608576</c:v>
                </c:pt>
                <c:pt idx="168">
                  <c:v>136.08231962053796</c:v>
                </c:pt>
                <c:pt idx="169">
                  <c:v>134.78188214222976</c:v>
                </c:pt>
                <c:pt idx="170">
                  <c:v>134.45538021192635</c:v>
                </c:pt>
                <c:pt idx="171">
                  <c:v>134.47937510444211</c:v>
                </c:pt>
                <c:pt idx="172">
                  <c:v>135.50558523971333</c:v>
                </c:pt>
                <c:pt idx="173">
                  <c:v>135.86208078566142</c:v>
                </c:pt>
                <c:pt idx="174">
                  <c:v>136.46409549967231</c:v>
                </c:pt>
                <c:pt idx="175">
                  <c:v>136.45723981609638</c:v>
                </c:pt>
                <c:pt idx="176">
                  <c:v>134.9918374517425</c:v>
                </c:pt>
                <c:pt idx="177">
                  <c:v>133.96091403401286</c:v>
                </c:pt>
                <c:pt idx="178">
                  <c:v>135.60584961201124</c:v>
                </c:pt>
                <c:pt idx="179">
                  <c:v>135.88007695504822</c:v>
                </c:pt>
                <c:pt idx="180">
                  <c:v>135.60927745379922</c:v>
                </c:pt>
                <c:pt idx="181">
                  <c:v>134.94084830514657</c:v>
                </c:pt>
                <c:pt idx="182">
                  <c:v>134.62334445953655</c:v>
                </c:pt>
                <c:pt idx="183">
                  <c:v>135.21507564818356</c:v>
                </c:pt>
                <c:pt idx="184">
                  <c:v>135.083103739347</c:v>
                </c:pt>
                <c:pt idx="185">
                  <c:v>136.12945244512247</c:v>
                </c:pt>
                <c:pt idx="186">
                  <c:v>138.23414730293129</c:v>
                </c:pt>
                <c:pt idx="187">
                  <c:v>139.33148515530272</c:v>
                </c:pt>
                <c:pt idx="188">
                  <c:v>139.63827699532533</c:v>
                </c:pt>
                <c:pt idx="189">
                  <c:v>139.15495130322265</c:v>
                </c:pt>
                <c:pt idx="190">
                  <c:v>139.32677187284423</c:v>
                </c:pt>
                <c:pt idx="191">
                  <c:v>139.51401773051168</c:v>
                </c:pt>
                <c:pt idx="192">
                  <c:v>139.53244238012198</c:v>
                </c:pt>
                <c:pt idx="193">
                  <c:v>140.23643538732472</c:v>
                </c:pt>
                <c:pt idx="194">
                  <c:v>141.64784924351818</c:v>
                </c:pt>
                <c:pt idx="195">
                  <c:v>141.9387873152715</c:v>
                </c:pt>
                <c:pt idx="196">
                  <c:v>142.38055042569511</c:v>
                </c:pt>
                <c:pt idx="197">
                  <c:v>141.98849102119692</c:v>
                </c:pt>
                <c:pt idx="198">
                  <c:v>140.97427833218359</c:v>
                </c:pt>
                <c:pt idx="199">
                  <c:v>141.36805165757576</c:v>
                </c:pt>
                <c:pt idx="200">
                  <c:v>142.46624647039417</c:v>
                </c:pt>
                <c:pt idx="201">
                  <c:v>142.55237099531675</c:v>
                </c:pt>
                <c:pt idx="202">
                  <c:v>142.57165260537403</c:v>
                </c:pt>
                <c:pt idx="203">
                  <c:v>143.15695659066856</c:v>
                </c:pt>
                <c:pt idx="204">
                  <c:v>145.09240176019676</c:v>
                </c:pt>
                <c:pt idx="205">
                  <c:v>146.8161776993183</c:v>
                </c:pt>
                <c:pt idx="206">
                  <c:v>146.33670832922706</c:v>
                </c:pt>
                <c:pt idx="207">
                  <c:v>147.68984887502521</c:v>
                </c:pt>
                <c:pt idx="208">
                  <c:v>148.45639999485826</c:v>
                </c:pt>
                <c:pt idx="209">
                  <c:v>148.92087255712715</c:v>
                </c:pt>
                <c:pt idx="210">
                  <c:v>148.78632976694962</c:v>
                </c:pt>
                <c:pt idx="211">
                  <c:v>148.71263116850844</c:v>
                </c:pt>
                <c:pt idx="212">
                  <c:v>148.84760243890946</c:v>
                </c:pt>
                <c:pt idx="213">
                  <c:v>148.72805645655427</c:v>
                </c:pt>
                <c:pt idx="214">
                  <c:v>148.93972568696094</c:v>
                </c:pt>
                <c:pt idx="215">
                  <c:v>150.13475703028928</c:v>
                </c:pt>
                <c:pt idx="216">
                  <c:v>151.0778420022024</c:v>
                </c:pt>
                <c:pt idx="217">
                  <c:v>150.6977800439621</c:v>
                </c:pt>
                <c:pt idx="218">
                  <c:v>149.08455200250233</c:v>
                </c:pt>
                <c:pt idx="219">
                  <c:v>150.49939370048375</c:v>
                </c:pt>
                <c:pt idx="220">
                  <c:v>150.36785027187071</c:v>
                </c:pt>
                <c:pt idx="221">
                  <c:v>152.73563198690564</c:v>
                </c:pt>
                <c:pt idx="222">
                  <c:v>152.99486252212029</c:v>
                </c:pt>
                <c:pt idx="223">
                  <c:v>153.0111447706131</c:v>
                </c:pt>
                <c:pt idx="224">
                  <c:v>152.09848189456815</c:v>
                </c:pt>
                <c:pt idx="225">
                  <c:v>151.77883564784068</c:v>
                </c:pt>
                <c:pt idx="226">
                  <c:v>150.98057699146898</c:v>
                </c:pt>
                <c:pt idx="227">
                  <c:v>150.24273404661008</c:v>
                </c:pt>
                <c:pt idx="228">
                  <c:v>151.60701507821906</c:v>
                </c:pt>
                <c:pt idx="229">
                  <c:v>152.73006174400018</c:v>
                </c:pt>
                <c:pt idx="230">
                  <c:v>151.21924047595581</c:v>
                </c:pt>
                <c:pt idx="231">
                  <c:v>152.45626288118669</c:v>
                </c:pt>
                <c:pt idx="232">
                  <c:v>153.3547859098563</c:v>
                </c:pt>
                <c:pt idx="233">
                  <c:v>153.78969333670403</c:v>
                </c:pt>
                <c:pt idx="234">
                  <c:v>154.1838951423197</c:v>
                </c:pt>
                <c:pt idx="235">
                  <c:v>155.63901398130966</c:v>
                </c:pt>
                <c:pt idx="236">
                  <c:v>157.15412005158896</c:v>
                </c:pt>
                <c:pt idx="237">
                  <c:v>158.34101027067092</c:v>
                </c:pt>
                <c:pt idx="238">
                  <c:v>157.84140233007543</c:v>
                </c:pt>
                <c:pt idx="239">
                  <c:v>156.53753700997927</c:v>
                </c:pt>
                <c:pt idx="240">
                  <c:v>155.77912701439263</c:v>
                </c:pt>
                <c:pt idx="241">
                  <c:v>155.23752801189463</c:v>
                </c:pt>
                <c:pt idx="242">
                  <c:v>155.32750885882862</c:v>
                </c:pt>
                <c:pt idx="243">
                  <c:v>156.55296229802514</c:v>
                </c:pt>
                <c:pt idx="244">
                  <c:v>156.06063852122904</c:v>
                </c:pt>
                <c:pt idx="245">
                  <c:v>153.0295694202234</c:v>
                </c:pt>
                <c:pt idx="246">
                  <c:v>151.43905083060892</c:v>
                </c:pt>
              </c:numCache>
            </c:numRef>
          </c:val>
          <c:smooth val="0"/>
          <c:extLst>
            <c:ext xmlns:c16="http://schemas.microsoft.com/office/drawing/2014/chart" uri="{C3380CC4-5D6E-409C-BE32-E72D297353CC}">
              <c16:uniqueId val="{00000000-3F4B-414E-94BD-AD419C7C3D4F}"/>
            </c:ext>
          </c:extLst>
        </c:ser>
        <c:ser>
          <c:idx val="1"/>
          <c:order val="1"/>
          <c:tx>
            <c:strRef>
              <c:f>'data (2)'!$F$1</c:f>
              <c:strCache>
                <c:ptCount val="1"/>
                <c:pt idx="0">
                  <c:v>BSE</c:v>
                </c:pt>
              </c:strCache>
            </c:strRef>
          </c:tx>
          <c:spPr>
            <a:ln w="28575" cap="rnd">
              <a:solidFill>
                <a:schemeClr val="accent2"/>
              </a:solidFill>
              <a:round/>
            </a:ln>
            <a:effectLst/>
          </c:spPr>
          <c:marker>
            <c:symbol val="none"/>
          </c:marker>
          <c:cat>
            <c:numRef>
              <c:f>'data (2)'!$D$2:$D$248</c:f>
              <c:numCache>
                <c:formatCode>d\-mmm\-yy</c:formatCode>
                <c:ptCount val="247"/>
                <c:pt idx="0">
                  <c:v>44137</c:v>
                </c:pt>
                <c:pt idx="1">
                  <c:v>44138</c:v>
                </c:pt>
                <c:pt idx="2">
                  <c:v>44139</c:v>
                </c:pt>
                <c:pt idx="3">
                  <c:v>44140</c:v>
                </c:pt>
                <c:pt idx="4">
                  <c:v>44141</c:v>
                </c:pt>
                <c:pt idx="5">
                  <c:v>44144</c:v>
                </c:pt>
                <c:pt idx="6">
                  <c:v>44145</c:v>
                </c:pt>
                <c:pt idx="7">
                  <c:v>44146</c:v>
                </c:pt>
                <c:pt idx="8">
                  <c:v>44147</c:v>
                </c:pt>
                <c:pt idx="9">
                  <c:v>44148</c:v>
                </c:pt>
                <c:pt idx="10">
                  <c:v>44149</c:v>
                </c:pt>
                <c:pt idx="11">
                  <c:v>44152</c:v>
                </c:pt>
                <c:pt idx="12">
                  <c:v>44153</c:v>
                </c:pt>
                <c:pt idx="13">
                  <c:v>44154</c:v>
                </c:pt>
                <c:pt idx="14">
                  <c:v>44155</c:v>
                </c:pt>
                <c:pt idx="15">
                  <c:v>44158</c:v>
                </c:pt>
                <c:pt idx="16">
                  <c:v>44159</c:v>
                </c:pt>
                <c:pt idx="17">
                  <c:v>44160</c:v>
                </c:pt>
                <c:pt idx="18">
                  <c:v>44161</c:v>
                </c:pt>
                <c:pt idx="19">
                  <c:v>44162</c:v>
                </c:pt>
                <c:pt idx="20">
                  <c:v>44166</c:v>
                </c:pt>
                <c:pt idx="21">
                  <c:v>44167</c:v>
                </c:pt>
                <c:pt idx="22">
                  <c:v>44168</c:v>
                </c:pt>
                <c:pt idx="23">
                  <c:v>44169</c:v>
                </c:pt>
                <c:pt idx="24">
                  <c:v>44172</c:v>
                </c:pt>
                <c:pt idx="25">
                  <c:v>44173</c:v>
                </c:pt>
                <c:pt idx="26">
                  <c:v>44174</c:v>
                </c:pt>
                <c:pt idx="27">
                  <c:v>44175</c:v>
                </c:pt>
                <c:pt idx="28">
                  <c:v>44176</c:v>
                </c:pt>
                <c:pt idx="29">
                  <c:v>44179</c:v>
                </c:pt>
                <c:pt idx="30">
                  <c:v>44180</c:v>
                </c:pt>
                <c:pt idx="31">
                  <c:v>44181</c:v>
                </c:pt>
                <c:pt idx="32">
                  <c:v>44182</c:v>
                </c:pt>
                <c:pt idx="33">
                  <c:v>44183</c:v>
                </c:pt>
                <c:pt idx="34">
                  <c:v>44186</c:v>
                </c:pt>
                <c:pt idx="35">
                  <c:v>44187</c:v>
                </c:pt>
                <c:pt idx="36">
                  <c:v>44188</c:v>
                </c:pt>
                <c:pt idx="37">
                  <c:v>44189</c:v>
                </c:pt>
                <c:pt idx="38">
                  <c:v>44193</c:v>
                </c:pt>
                <c:pt idx="39">
                  <c:v>44194</c:v>
                </c:pt>
                <c:pt idx="40">
                  <c:v>44195</c:v>
                </c:pt>
                <c:pt idx="41">
                  <c:v>44196</c:v>
                </c:pt>
                <c:pt idx="42">
                  <c:v>44197</c:v>
                </c:pt>
                <c:pt idx="43">
                  <c:v>44200</c:v>
                </c:pt>
                <c:pt idx="44">
                  <c:v>44201</c:v>
                </c:pt>
                <c:pt idx="45">
                  <c:v>44202</c:v>
                </c:pt>
                <c:pt idx="46">
                  <c:v>44203</c:v>
                </c:pt>
                <c:pt idx="47">
                  <c:v>44204</c:v>
                </c:pt>
                <c:pt idx="48">
                  <c:v>44207</c:v>
                </c:pt>
                <c:pt idx="49">
                  <c:v>44208</c:v>
                </c:pt>
                <c:pt idx="50">
                  <c:v>44209</c:v>
                </c:pt>
                <c:pt idx="51">
                  <c:v>44210</c:v>
                </c:pt>
                <c:pt idx="52">
                  <c:v>44211</c:v>
                </c:pt>
                <c:pt idx="53">
                  <c:v>44214</c:v>
                </c:pt>
                <c:pt idx="54">
                  <c:v>44215</c:v>
                </c:pt>
                <c:pt idx="55">
                  <c:v>44216</c:v>
                </c:pt>
                <c:pt idx="56">
                  <c:v>44217</c:v>
                </c:pt>
                <c:pt idx="57">
                  <c:v>44218</c:v>
                </c:pt>
                <c:pt idx="58">
                  <c:v>44221</c:v>
                </c:pt>
                <c:pt idx="59">
                  <c:v>44223</c:v>
                </c:pt>
                <c:pt idx="60">
                  <c:v>44224</c:v>
                </c:pt>
                <c:pt idx="61">
                  <c:v>44225</c:v>
                </c:pt>
                <c:pt idx="62">
                  <c:v>44228</c:v>
                </c:pt>
                <c:pt idx="63">
                  <c:v>44229</c:v>
                </c:pt>
                <c:pt idx="64">
                  <c:v>44230</c:v>
                </c:pt>
                <c:pt idx="65">
                  <c:v>44231</c:v>
                </c:pt>
                <c:pt idx="66">
                  <c:v>44232</c:v>
                </c:pt>
                <c:pt idx="67">
                  <c:v>44235</c:v>
                </c:pt>
                <c:pt idx="68">
                  <c:v>44236</c:v>
                </c:pt>
                <c:pt idx="69">
                  <c:v>44237</c:v>
                </c:pt>
                <c:pt idx="70">
                  <c:v>44238</c:v>
                </c:pt>
                <c:pt idx="71">
                  <c:v>44239</c:v>
                </c:pt>
                <c:pt idx="72">
                  <c:v>44242</c:v>
                </c:pt>
                <c:pt idx="73">
                  <c:v>44243</c:v>
                </c:pt>
                <c:pt idx="74">
                  <c:v>44244</c:v>
                </c:pt>
                <c:pt idx="75">
                  <c:v>44245</c:v>
                </c:pt>
                <c:pt idx="76">
                  <c:v>44246</c:v>
                </c:pt>
                <c:pt idx="77">
                  <c:v>44249</c:v>
                </c:pt>
                <c:pt idx="78">
                  <c:v>44250</c:v>
                </c:pt>
                <c:pt idx="79">
                  <c:v>44251</c:v>
                </c:pt>
                <c:pt idx="80">
                  <c:v>44252</c:v>
                </c:pt>
                <c:pt idx="81">
                  <c:v>44253</c:v>
                </c:pt>
                <c:pt idx="82">
                  <c:v>44256</c:v>
                </c:pt>
                <c:pt idx="83">
                  <c:v>44257</c:v>
                </c:pt>
                <c:pt idx="84">
                  <c:v>44258</c:v>
                </c:pt>
                <c:pt idx="85">
                  <c:v>44259</c:v>
                </c:pt>
                <c:pt idx="86">
                  <c:v>44260</c:v>
                </c:pt>
                <c:pt idx="87">
                  <c:v>44263</c:v>
                </c:pt>
                <c:pt idx="88">
                  <c:v>44264</c:v>
                </c:pt>
                <c:pt idx="89">
                  <c:v>44265</c:v>
                </c:pt>
                <c:pt idx="90">
                  <c:v>44267</c:v>
                </c:pt>
                <c:pt idx="91">
                  <c:v>44270</c:v>
                </c:pt>
                <c:pt idx="92">
                  <c:v>44271</c:v>
                </c:pt>
                <c:pt idx="93">
                  <c:v>44272</c:v>
                </c:pt>
                <c:pt idx="94">
                  <c:v>44273</c:v>
                </c:pt>
                <c:pt idx="95">
                  <c:v>44274</c:v>
                </c:pt>
                <c:pt idx="96">
                  <c:v>44277</c:v>
                </c:pt>
                <c:pt idx="97">
                  <c:v>44278</c:v>
                </c:pt>
                <c:pt idx="98">
                  <c:v>44279</c:v>
                </c:pt>
                <c:pt idx="99">
                  <c:v>44280</c:v>
                </c:pt>
                <c:pt idx="100">
                  <c:v>44281</c:v>
                </c:pt>
                <c:pt idx="101">
                  <c:v>44285</c:v>
                </c:pt>
                <c:pt idx="102">
                  <c:v>44286</c:v>
                </c:pt>
                <c:pt idx="103">
                  <c:v>44287</c:v>
                </c:pt>
                <c:pt idx="104">
                  <c:v>44291</c:v>
                </c:pt>
                <c:pt idx="105">
                  <c:v>44292</c:v>
                </c:pt>
                <c:pt idx="106">
                  <c:v>44293</c:v>
                </c:pt>
                <c:pt idx="107">
                  <c:v>44294</c:v>
                </c:pt>
                <c:pt idx="108">
                  <c:v>44295</c:v>
                </c:pt>
                <c:pt idx="109">
                  <c:v>44298</c:v>
                </c:pt>
                <c:pt idx="110">
                  <c:v>44299</c:v>
                </c:pt>
                <c:pt idx="111">
                  <c:v>44301</c:v>
                </c:pt>
                <c:pt idx="112">
                  <c:v>44302</c:v>
                </c:pt>
                <c:pt idx="113">
                  <c:v>44305</c:v>
                </c:pt>
                <c:pt idx="114">
                  <c:v>44306</c:v>
                </c:pt>
                <c:pt idx="115">
                  <c:v>44308</c:v>
                </c:pt>
                <c:pt idx="116">
                  <c:v>44309</c:v>
                </c:pt>
                <c:pt idx="117">
                  <c:v>44312</c:v>
                </c:pt>
                <c:pt idx="118">
                  <c:v>44313</c:v>
                </c:pt>
                <c:pt idx="119">
                  <c:v>44314</c:v>
                </c:pt>
                <c:pt idx="120">
                  <c:v>44315</c:v>
                </c:pt>
                <c:pt idx="121">
                  <c:v>44316</c:v>
                </c:pt>
                <c:pt idx="122">
                  <c:v>44319</c:v>
                </c:pt>
                <c:pt idx="123">
                  <c:v>44320</c:v>
                </c:pt>
                <c:pt idx="124">
                  <c:v>44321</c:v>
                </c:pt>
                <c:pt idx="125">
                  <c:v>44322</c:v>
                </c:pt>
                <c:pt idx="126">
                  <c:v>44323</c:v>
                </c:pt>
                <c:pt idx="127">
                  <c:v>44326</c:v>
                </c:pt>
                <c:pt idx="128">
                  <c:v>44327</c:v>
                </c:pt>
                <c:pt idx="129">
                  <c:v>44328</c:v>
                </c:pt>
                <c:pt idx="130">
                  <c:v>44330</c:v>
                </c:pt>
                <c:pt idx="131">
                  <c:v>44333</c:v>
                </c:pt>
                <c:pt idx="132">
                  <c:v>44334</c:v>
                </c:pt>
                <c:pt idx="133">
                  <c:v>44335</c:v>
                </c:pt>
                <c:pt idx="134">
                  <c:v>44336</c:v>
                </c:pt>
                <c:pt idx="135">
                  <c:v>44337</c:v>
                </c:pt>
                <c:pt idx="136">
                  <c:v>44340</c:v>
                </c:pt>
                <c:pt idx="137">
                  <c:v>44341</c:v>
                </c:pt>
                <c:pt idx="138">
                  <c:v>44342</c:v>
                </c:pt>
                <c:pt idx="139">
                  <c:v>44343</c:v>
                </c:pt>
                <c:pt idx="140">
                  <c:v>44344</c:v>
                </c:pt>
                <c:pt idx="141">
                  <c:v>44347</c:v>
                </c:pt>
                <c:pt idx="142">
                  <c:v>44348</c:v>
                </c:pt>
                <c:pt idx="143">
                  <c:v>44349</c:v>
                </c:pt>
                <c:pt idx="144">
                  <c:v>44350</c:v>
                </c:pt>
                <c:pt idx="145">
                  <c:v>44351</c:v>
                </c:pt>
                <c:pt idx="146">
                  <c:v>44354</c:v>
                </c:pt>
                <c:pt idx="147">
                  <c:v>44355</c:v>
                </c:pt>
                <c:pt idx="148">
                  <c:v>44356</c:v>
                </c:pt>
                <c:pt idx="149">
                  <c:v>44357</c:v>
                </c:pt>
                <c:pt idx="150">
                  <c:v>44358</c:v>
                </c:pt>
                <c:pt idx="151">
                  <c:v>44361</c:v>
                </c:pt>
                <c:pt idx="152">
                  <c:v>44362</c:v>
                </c:pt>
                <c:pt idx="153">
                  <c:v>44363</c:v>
                </c:pt>
                <c:pt idx="154">
                  <c:v>44364</c:v>
                </c:pt>
                <c:pt idx="155">
                  <c:v>44365</c:v>
                </c:pt>
                <c:pt idx="156">
                  <c:v>44368</c:v>
                </c:pt>
                <c:pt idx="157">
                  <c:v>44369</c:v>
                </c:pt>
                <c:pt idx="158">
                  <c:v>44370</c:v>
                </c:pt>
                <c:pt idx="159">
                  <c:v>44371</c:v>
                </c:pt>
                <c:pt idx="160">
                  <c:v>44372</c:v>
                </c:pt>
                <c:pt idx="161">
                  <c:v>44375</c:v>
                </c:pt>
                <c:pt idx="162">
                  <c:v>44376</c:v>
                </c:pt>
                <c:pt idx="163">
                  <c:v>44377</c:v>
                </c:pt>
                <c:pt idx="164">
                  <c:v>44378</c:v>
                </c:pt>
                <c:pt idx="165">
                  <c:v>44379</c:v>
                </c:pt>
                <c:pt idx="166">
                  <c:v>44382</c:v>
                </c:pt>
                <c:pt idx="167">
                  <c:v>44383</c:v>
                </c:pt>
                <c:pt idx="168">
                  <c:v>44384</c:v>
                </c:pt>
                <c:pt idx="169">
                  <c:v>44385</c:v>
                </c:pt>
                <c:pt idx="170">
                  <c:v>44386</c:v>
                </c:pt>
                <c:pt idx="171">
                  <c:v>44389</c:v>
                </c:pt>
                <c:pt idx="172">
                  <c:v>44390</c:v>
                </c:pt>
                <c:pt idx="173">
                  <c:v>44391</c:v>
                </c:pt>
                <c:pt idx="174">
                  <c:v>44392</c:v>
                </c:pt>
                <c:pt idx="175">
                  <c:v>44393</c:v>
                </c:pt>
                <c:pt idx="176">
                  <c:v>44396</c:v>
                </c:pt>
                <c:pt idx="177">
                  <c:v>44397</c:v>
                </c:pt>
                <c:pt idx="178">
                  <c:v>44399</c:v>
                </c:pt>
                <c:pt idx="179">
                  <c:v>44400</c:v>
                </c:pt>
                <c:pt idx="180">
                  <c:v>44403</c:v>
                </c:pt>
                <c:pt idx="181">
                  <c:v>44404</c:v>
                </c:pt>
                <c:pt idx="182">
                  <c:v>44405</c:v>
                </c:pt>
                <c:pt idx="183">
                  <c:v>44406</c:v>
                </c:pt>
                <c:pt idx="184">
                  <c:v>44407</c:v>
                </c:pt>
                <c:pt idx="185">
                  <c:v>44410</c:v>
                </c:pt>
                <c:pt idx="186">
                  <c:v>44411</c:v>
                </c:pt>
                <c:pt idx="187">
                  <c:v>44412</c:v>
                </c:pt>
                <c:pt idx="188">
                  <c:v>44413</c:v>
                </c:pt>
                <c:pt idx="189">
                  <c:v>44414</c:v>
                </c:pt>
                <c:pt idx="190">
                  <c:v>44417</c:v>
                </c:pt>
                <c:pt idx="191">
                  <c:v>44418</c:v>
                </c:pt>
                <c:pt idx="192">
                  <c:v>44419</c:v>
                </c:pt>
                <c:pt idx="193">
                  <c:v>44420</c:v>
                </c:pt>
                <c:pt idx="194">
                  <c:v>44421</c:v>
                </c:pt>
                <c:pt idx="195">
                  <c:v>44424</c:v>
                </c:pt>
                <c:pt idx="196">
                  <c:v>44425</c:v>
                </c:pt>
                <c:pt idx="197">
                  <c:v>44426</c:v>
                </c:pt>
                <c:pt idx="198">
                  <c:v>44428</c:v>
                </c:pt>
                <c:pt idx="199">
                  <c:v>44431</c:v>
                </c:pt>
                <c:pt idx="200">
                  <c:v>44432</c:v>
                </c:pt>
                <c:pt idx="201">
                  <c:v>44433</c:v>
                </c:pt>
                <c:pt idx="202">
                  <c:v>44434</c:v>
                </c:pt>
                <c:pt idx="203">
                  <c:v>44435</c:v>
                </c:pt>
                <c:pt idx="204">
                  <c:v>44438</c:v>
                </c:pt>
                <c:pt idx="205">
                  <c:v>44439</c:v>
                </c:pt>
                <c:pt idx="206">
                  <c:v>44440</c:v>
                </c:pt>
                <c:pt idx="207">
                  <c:v>44441</c:v>
                </c:pt>
                <c:pt idx="208">
                  <c:v>44442</c:v>
                </c:pt>
                <c:pt idx="209">
                  <c:v>44445</c:v>
                </c:pt>
                <c:pt idx="210">
                  <c:v>44446</c:v>
                </c:pt>
                <c:pt idx="211">
                  <c:v>44447</c:v>
                </c:pt>
                <c:pt idx="212">
                  <c:v>44448</c:v>
                </c:pt>
                <c:pt idx="213">
                  <c:v>44452</c:v>
                </c:pt>
                <c:pt idx="214">
                  <c:v>44453</c:v>
                </c:pt>
                <c:pt idx="215">
                  <c:v>44454</c:v>
                </c:pt>
                <c:pt idx="216">
                  <c:v>44455</c:v>
                </c:pt>
                <c:pt idx="217">
                  <c:v>44456</c:v>
                </c:pt>
                <c:pt idx="218">
                  <c:v>44459</c:v>
                </c:pt>
                <c:pt idx="219">
                  <c:v>44460</c:v>
                </c:pt>
                <c:pt idx="220">
                  <c:v>44461</c:v>
                </c:pt>
                <c:pt idx="221">
                  <c:v>44462</c:v>
                </c:pt>
                <c:pt idx="222">
                  <c:v>44463</c:v>
                </c:pt>
                <c:pt idx="223">
                  <c:v>44466</c:v>
                </c:pt>
                <c:pt idx="224">
                  <c:v>44467</c:v>
                </c:pt>
                <c:pt idx="225">
                  <c:v>44468</c:v>
                </c:pt>
                <c:pt idx="226">
                  <c:v>44469</c:v>
                </c:pt>
                <c:pt idx="227">
                  <c:v>44470</c:v>
                </c:pt>
                <c:pt idx="228">
                  <c:v>44473</c:v>
                </c:pt>
                <c:pt idx="229">
                  <c:v>44474</c:v>
                </c:pt>
                <c:pt idx="230">
                  <c:v>44475</c:v>
                </c:pt>
                <c:pt idx="231">
                  <c:v>44476</c:v>
                </c:pt>
                <c:pt idx="232">
                  <c:v>44477</c:v>
                </c:pt>
                <c:pt idx="233">
                  <c:v>44480</c:v>
                </c:pt>
                <c:pt idx="234">
                  <c:v>44481</c:v>
                </c:pt>
                <c:pt idx="235">
                  <c:v>44482</c:v>
                </c:pt>
                <c:pt idx="236">
                  <c:v>44483</c:v>
                </c:pt>
                <c:pt idx="237">
                  <c:v>44487</c:v>
                </c:pt>
                <c:pt idx="238">
                  <c:v>44488</c:v>
                </c:pt>
                <c:pt idx="239">
                  <c:v>44489</c:v>
                </c:pt>
                <c:pt idx="240">
                  <c:v>44490</c:v>
                </c:pt>
                <c:pt idx="241">
                  <c:v>44491</c:v>
                </c:pt>
                <c:pt idx="242">
                  <c:v>44494</c:v>
                </c:pt>
                <c:pt idx="243">
                  <c:v>44495</c:v>
                </c:pt>
                <c:pt idx="244">
                  <c:v>44496</c:v>
                </c:pt>
                <c:pt idx="245">
                  <c:v>44497</c:v>
                </c:pt>
                <c:pt idx="246">
                  <c:v>44498</c:v>
                </c:pt>
              </c:numCache>
            </c:numRef>
          </c:cat>
          <c:val>
            <c:numRef>
              <c:f>'data (2)'!$F$2:$F$248</c:f>
              <c:numCache>
                <c:formatCode>_ * #,##0.0_ ;_ * \-#,##0.0_ ;_ * "-"??_ ;_ @_ </c:formatCode>
                <c:ptCount val="247"/>
                <c:pt idx="0" formatCode="General">
                  <c:v>100</c:v>
                </c:pt>
                <c:pt idx="1">
                  <c:v>101.26655093192292</c:v>
                </c:pt>
                <c:pt idx="2">
                  <c:v>102.15948757444492</c:v>
                </c:pt>
                <c:pt idx="3">
                  <c:v>103.98057427036557</c:v>
                </c:pt>
                <c:pt idx="4">
                  <c:v>105.37125247562855</c:v>
                </c:pt>
                <c:pt idx="5">
                  <c:v>107.14291463414021</c:v>
                </c:pt>
                <c:pt idx="6">
                  <c:v>108.85383365888971</c:v>
                </c:pt>
                <c:pt idx="7">
                  <c:v>109.64870095212032</c:v>
                </c:pt>
                <c:pt idx="8">
                  <c:v>109.05389613754159</c:v>
                </c:pt>
                <c:pt idx="9">
                  <c:v>109.2697291937789</c:v>
                </c:pt>
                <c:pt idx="10">
                  <c:v>109.76015139754483</c:v>
                </c:pt>
                <c:pt idx="11">
                  <c:v>110.55177402648754</c:v>
                </c:pt>
                <c:pt idx="12">
                  <c:v>111.12358951425115</c:v>
                </c:pt>
                <c:pt idx="13">
                  <c:v>109.66452183457849</c:v>
                </c:pt>
                <c:pt idx="14">
                  <c:v>110.37454996003281</c:v>
                </c:pt>
                <c:pt idx="15">
                  <c:v>110.86477094430802</c:v>
                </c:pt>
                <c:pt idx="16">
                  <c:v>111.98624262341927</c:v>
                </c:pt>
                <c:pt idx="17">
                  <c:v>110.23834951724933</c:v>
                </c:pt>
                <c:pt idx="18">
                  <c:v>111.32402927944813</c:v>
                </c:pt>
                <c:pt idx="19">
                  <c:v>111.04730217483061</c:v>
                </c:pt>
                <c:pt idx="20">
                  <c:v>112.3193111854394</c:v>
                </c:pt>
                <c:pt idx="21">
                  <c:v>112.22524107352615</c:v>
                </c:pt>
                <c:pt idx="22">
                  <c:v>112.26198878301955</c:v>
                </c:pt>
                <c:pt idx="23">
                  <c:v>113.38605116307387</c:v>
                </c:pt>
                <c:pt idx="24">
                  <c:v>114.25989710641346</c:v>
                </c:pt>
                <c:pt idx="25">
                  <c:v>114.71651443573785</c:v>
                </c:pt>
                <c:pt idx="26">
                  <c:v>115.96153488215333</c:v>
                </c:pt>
                <c:pt idx="27">
                  <c:v>115.60029559143192</c:v>
                </c:pt>
                <c:pt idx="28">
                  <c:v>115.9502414382365</c:v>
                </c:pt>
                <c:pt idx="29">
                  <c:v>116.33872081751461</c:v>
                </c:pt>
                <c:pt idx="30">
                  <c:v>116.36314383320118</c:v>
                </c:pt>
                <c:pt idx="31">
                  <c:v>117.37751643837484</c:v>
                </c:pt>
                <c:pt idx="32">
                  <c:v>117.94062918316465</c:v>
                </c:pt>
                <c:pt idx="33">
                  <c:v>118.11757657281967</c:v>
                </c:pt>
                <c:pt idx="34">
                  <c:v>114.57930789550078</c:v>
                </c:pt>
                <c:pt idx="35">
                  <c:v>115.71803414594159</c:v>
                </c:pt>
                <c:pt idx="36">
                  <c:v>116.81842808339955</c:v>
                </c:pt>
                <c:pt idx="37">
                  <c:v>118.14989745351716</c:v>
                </c:pt>
                <c:pt idx="38">
                  <c:v>119.10621823561708</c:v>
                </c:pt>
                <c:pt idx="39">
                  <c:v>119.75849636723375</c:v>
                </c:pt>
                <c:pt idx="40">
                  <c:v>120.09337590467037</c:v>
                </c:pt>
                <c:pt idx="41">
                  <c:v>120.10622879964033</c:v>
                </c:pt>
                <c:pt idx="42">
                  <c:v>120.40214721318563</c:v>
                </c:pt>
                <c:pt idx="43">
                  <c:v>121.17638950861711</c:v>
                </c:pt>
                <c:pt idx="44">
                  <c:v>121.83281779222995</c:v>
                </c:pt>
                <c:pt idx="45">
                  <c:v>121.16949774105983</c:v>
                </c:pt>
                <c:pt idx="46">
                  <c:v>120.96641697004711</c:v>
                </c:pt>
                <c:pt idx="47">
                  <c:v>122.699897730194</c:v>
                </c:pt>
                <c:pt idx="48">
                  <c:v>123.92434348368302</c:v>
                </c:pt>
                <c:pt idx="49">
                  <c:v>124.54759570376282</c:v>
                </c:pt>
                <c:pt idx="50">
                  <c:v>124.48524281407488</c:v>
                </c:pt>
                <c:pt idx="51">
                  <c:v>124.71624278942551</c:v>
                </c:pt>
                <c:pt idx="52">
                  <c:v>123.33414156495458</c:v>
                </c:pt>
                <c:pt idx="53">
                  <c:v>122.15097095950023</c:v>
                </c:pt>
                <c:pt idx="54">
                  <c:v>124.2487344551657</c:v>
                </c:pt>
                <c:pt idx="55">
                  <c:v>125.23931285556129</c:v>
                </c:pt>
                <c:pt idx="56">
                  <c:v>124.81836168096767</c:v>
                </c:pt>
                <c:pt idx="57">
                  <c:v>122.94143657637126</c:v>
                </c:pt>
                <c:pt idx="58">
                  <c:v>121.60596796887552</c:v>
                </c:pt>
                <c:pt idx="59">
                  <c:v>119.24752462297771</c:v>
                </c:pt>
                <c:pt idx="60">
                  <c:v>117.90043558989269</c:v>
                </c:pt>
                <c:pt idx="61">
                  <c:v>116.41998833933064</c:v>
                </c:pt>
                <c:pt idx="62">
                  <c:v>122.24237491316136</c:v>
                </c:pt>
                <c:pt idx="63">
                  <c:v>125.25339821991192</c:v>
                </c:pt>
                <c:pt idx="64">
                  <c:v>126.40545526161314</c:v>
                </c:pt>
                <c:pt idx="65">
                  <c:v>127.30727071416334</c:v>
                </c:pt>
                <c:pt idx="66">
                  <c:v>127.60240940218208</c:v>
                </c:pt>
                <c:pt idx="67">
                  <c:v>129.15466685849609</c:v>
                </c:pt>
                <c:pt idx="68">
                  <c:v>129.10514171134176</c:v>
                </c:pt>
                <c:pt idx="69">
                  <c:v>129.05561656418743</c:v>
                </c:pt>
                <c:pt idx="70">
                  <c:v>129.61432763261766</c:v>
                </c:pt>
                <c:pt idx="71">
                  <c:v>129.64647244626076</c:v>
                </c:pt>
                <c:pt idx="72">
                  <c:v>131.18034347160989</c:v>
                </c:pt>
                <c:pt idx="73">
                  <c:v>131.05468189965305</c:v>
                </c:pt>
                <c:pt idx="74">
                  <c:v>130.04772926319984</c:v>
                </c:pt>
                <c:pt idx="75">
                  <c:v>129.09409979178835</c:v>
                </c:pt>
                <c:pt idx="76">
                  <c:v>128.00014487803355</c:v>
                </c:pt>
                <c:pt idx="77">
                  <c:v>125.11908420985404</c:v>
                </c:pt>
                <c:pt idx="78">
                  <c:v>125.13691728721942</c:v>
                </c:pt>
                <c:pt idx="79">
                  <c:v>127.72832249850239</c:v>
                </c:pt>
                <c:pt idx="80">
                  <c:v>128.37629956350483</c:v>
                </c:pt>
                <c:pt idx="81">
                  <c:v>123.49843727913037</c:v>
                </c:pt>
                <c:pt idx="82">
                  <c:v>125.38449271811837</c:v>
                </c:pt>
                <c:pt idx="83">
                  <c:v>126.5089323847178</c:v>
                </c:pt>
                <c:pt idx="84">
                  <c:v>129.3958284181283</c:v>
                </c:pt>
                <c:pt idx="85">
                  <c:v>127.89027903609851</c:v>
                </c:pt>
                <c:pt idx="86">
                  <c:v>126.78166025195722</c:v>
                </c:pt>
                <c:pt idx="87">
                  <c:v>126.87158021187432</c:v>
                </c:pt>
                <c:pt idx="88">
                  <c:v>128.34151374404604</c:v>
                </c:pt>
                <c:pt idx="89">
                  <c:v>128.98046108440226</c:v>
                </c:pt>
                <c:pt idx="90">
                  <c:v>127.75445587986013</c:v>
                </c:pt>
                <c:pt idx="91">
                  <c:v>126.75590415714461</c:v>
                </c:pt>
                <c:pt idx="92">
                  <c:v>126.67762977525315</c:v>
                </c:pt>
                <c:pt idx="93">
                  <c:v>125.2632076700848</c:v>
                </c:pt>
                <c:pt idx="94">
                  <c:v>123.79153861980555</c:v>
                </c:pt>
                <c:pt idx="95">
                  <c:v>125.40562076464434</c:v>
                </c:pt>
                <c:pt idx="96">
                  <c:v>125.18692033066421</c:v>
                </c:pt>
                <c:pt idx="97">
                  <c:v>125.89156583474167</c:v>
                </c:pt>
                <c:pt idx="98">
                  <c:v>123.70046164781681</c:v>
                </c:pt>
                <c:pt idx="99">
                  <c:v>121.8387034623337</c:v>
                </c:pt>
                <c:pt idx="100">
                  <c:v>123.2683176390517</c:v>
                </c:pt>
                <c:pt idx="101">
                  <c:v>126.10571367774421</c:v>
                </c:pt>
                <c:pt idx="102">
                  <c:v>124.52757436443589</c:v>
                </c:pt>
                <c:pt idx="103">
                  <c:v>125.83721141980998</c:v>
                </c:pt>
                <c:pt idx="104">
                  <c:v>123.64766668393821</c:v>
                </c:pt>
                <c:pt idx="105">
                  <c:v>123.75348298362246</c:v>
                </c:pt>
                <c:pt idx="106">
                  <c:v>124.91142569542735</c:v>
                </c:pt>
                <c:pt idx="107">
                  <c:v>125.12383802032237</c:v>
                </c:pt>
                <c:pt idx="108">
                  <c:v>124.73425193384527</c:v>
                </c:pt>
                <c:pt idx="109">
                  <c:v>120.43836672151593</c:v>
                </c:pt>
                <c:pt idx="110">
                  <c:v>122.1001378856562</c:v>
                </c:pt>
                <c:pt idx="111">
                  <c:v>122.75314543792675</c:v>
                </c:pt>
                <c:pt idx="112">
                  <c:v>122.82445259495191</c:v>
                </c:pt>
                <c:pt idx="113">
                  <c:v>120.60447341110822</c:v>
                </c:pt>
                <c:pt idx="114">
                  <c:v>119.9917097569824</c:v>
                </c:pt>
                <c:pt idx="115">
                  <c:v>120.93459913807651</c:v>
                </c:pt>
                <c:pt idx="116">
                  <c:v>120.42596657040009</c:v>
                </c:pt>
                <c:pt idx="117">
                  <c:v>121.70386125111257</c:v>
                </c:pt>
                <c:pt idx="118">
                  <c:v>123.1064365587646</c:v>
                </c:pt>
                <c:pt idx="119">
                  <c:v>125.09272445656924</c:v>
                </c:pt>
                <c:pt idx="120">
                  <c:v>125.17346377722207</c:v>
                </c:pt>
                <c:pt idx="121">
                  <c:v>122.69952044364895</c:v>
                </c:pt>
                <c:pt idx="122">
                  <c:v>122.53894729005157</c:v>
                </c:pt>
                <c:pt idx="123">
                  <c:v>121.36933384778472</c:v>
                </c:pt>
                <c:pt idx="124">
                  <c:v>122.43589775836477</c:v>
                </c:pt>
                <c:pt idx="125">
                  <c:v>123.12057222798792</c:v>
                </c:pt>
                <c:pt idx="126">
                  <c:v>123.76626042128341</c:v>
                </c:pt>
                <c:pt idx="127">
                  <c:v>124.51062162234244</c:v>
                </c:pt>
                <c:pt idx="128">
                  <c:v>123.65392964058699</c:v>
                </c:pt>
                <c:pt idx="129">
                  <c:v>122.46922473651588</c:v>
                </c:pt>
                <c:pt idx="130">
                  <c:v>122.57423615823724</c:v>
                </c:pt>
                <c:pt idx="131">
                  <c:v>124.70761550376079</c:v>
                </c:pt>
                <c:pt idx="132">
                  <c:v>126.24845375397621</c:v>
                </c:pt>
                <c:pt idx="133">
                  <c:v>125.51729758199592</c:v>
                </c:pt>
                <c:pt idx="134">
                  <c:v>124.66769858728848</c:v>
                </c:pt>
                <c:pt idx="135">
                  <c:v>127.12162058153461</c:v>
                </c:pt>
                <c:pt idx="136">
                  <c:v>127.4018690272398</c:v>
                </c:pt>
                <c:pt idx="137">
                  <c:v>127.36572497621857</c:v>
                </c:pt>
                <c:pt idx="138">
                  <c:v>128.32149240471901</c:v>
                </c:pt>
                <c:pt idx="139">
                  <c:v>128.56723170776513</c:v>
                </c:pt>
                <c:pt idx="140">
                  <c:v>129.34107156421513</c:v>
                </c:pt>
                <c:pt idx="141">
                  <c:v>130.63531532854887</c:v>
                </c:pt>
                <c:pt idx="142">
                  <c:v>130.6288763048457</c:v>
                </c:pt>
                <c:pt idx="143">
                  <c:v>130.41407449849837</c:v>
                </c:pt>
                <c:pt idx="144">
                  <c:v>131.37728704815555</c:v>
                </c:pt>
                <c:pt idx="145">
                  <c:v>131.04431909588081</c:v>
                </c:pt>
                <c:pt idx="146">
                  <c:v>131.61895165651453</c:v>
                </c:pt>
                <c:pt idx="147">
                  <c:v>131.48579465852822</c:v>
                </c:pt>
                <c:pt idx="148">
                  <c:v>130.64587935181186</c:v>
                </c:pt>
                <c:pt idx="149">
                  <c:v>131.54842422501591</c:v>
                </c:pt>
                <c:pt idx="150">
                  <c:v>131.98680603799346</c:v>
                </c:pt>
                <c:pt idx="151">
                  <c:v>132.17990129177903</c:v>
                </c:pt>
                <c:pt idx="152">
                  <c:v>132.73707806159251</c:v>
                </c:pt>
                <c:pt idx="153">
                  <c:v>132.05527096971218</c:v>
                </c:pt>
                <c:pt idx="154">
                  <c:v>131.6059226944902</c:v>
                </c:pt>
                <c:pt idx="155">
                  <c:v>131.6590446400412</c:v>
                </c:pt>
                <c:pt idx="156">
                  <c:v>132.23757582830771</c:v>
                </c:pt>
                <c:pt idx="157">
                  <c:v>132.27341805009286</c:v>
                </c:pt>
                <c:pt idx="158">
                  <c:v>131.56253474180298</c:v>
                </c:pt>
                <c:pt idx="159">
                  <c:v>132.5508242704916</c:v>
                </c:pt>
                <c:pt idx="160">
                  <c:v>133.11936994153095</c:v>
                </c:pt>
                <c:pt idx="161">
                  <c:v>132.64285703506127</c:v>
                </c:pt>
                <c:pt idx="162">
                  <c:v>132.17519778618347</c:v>
                </c:pt>
                <c:pt idx="163">
                  <c:v>132.00680222488421</c:v>
                </c:pt>
                <c:pt idx="164">
                  <c:v>131.59402559210125</c:v>
                </c:pt>
                <c:pt idx="165">
                  <c:v>132.01173210240694</c:v>
                </c:pt>
                <c:pt idx="166">
                  <c:v>133.00608336825363</c:v>
                </c:pt>
                <c:pt idx="167">
                  <c:v>132.95874648306091</c:v>
                </c:pt>
                <c:pt idx="168">
                  <c:v>133.44564734573916</c:v>
                </c:pt>
                <c:pt idx="169">
                  <c:v>132.22369168344784</c:v>
                </c:pt>
                <c:pt idx="170">
                  <c:v>131.76403090932627</c:v>
                </c:pt>
                <c:pt idx="171">
                  <c:v>131.73007512026666</c:v>
                </c:pt>
                <c:pt idx="172">
                  <c:v>132.72872745272755</c:v>
                </c:pt>
                <c:pt idx="173">
                  <c:v>133.06657497765235</c:v>
                </c:pt>
                <c:pt idx="174">
                  <c:v>133.70745905560679</c:v>
                </c:pt>
                <c:pt idx="175">
                  <c:v>133.66019762772311</c:v>
                </c:pt>
                <c:pt idx="176">
                  <c:v>132.18460479737479</c:v>
                </c:pt>
                <c:pt idx="177">
                  <c:v>131.29196998408887</c:v>
                </c:pt>
                <c:pt idx="178">
                  <c:v>132.89845609315284</c:v>
                </c:pt>
                <c:pt idx="179">
                  <c:v>133.24704370839504</c:v>
                </c:pt>
                <c:pt idx="180">
                  <c:v>132.93633566228155</c:v>
                </c:pt>
                <c:pt idx="181">
                  <c:v>132.24839137593415</c:v>
                </c:pt>
                <c:pt idx="182">
                  <c:v>131.90870772315648</c:v>
                </c:pt>
                <c:pt idx="183">
                  <c:v>132.43529913037997</c:v>
                </c:pt>
                <c:pt idx="184">
                  <c:v>132.26871454449721</c:v>
                </c:pt>
                <c:pt idx="185">
                  <c:v>133.18373502612613</c:v>
                </c:pt>
                <c:pt idx="186">
                  <c:v>135.37886360286547</c:v>
                </c:pt>
                <c:pt idx="187">
                  <c:v>136.75321787694349</c:v>
                </c:pt>
                <c:pt idx="188">
                  <c:v>137.06276891098528</c:v>
                </c:pt>
                <c:pt idx="189">
                  <c:v>136.5216897004297</c:v>
                </c:pt>
                <c:pt idx="190">
                  <c:v>136.83642213635764</c:v>
                </c:pt>
                <c:pt idx="191">
                  <c:v>137.21826127244188</c:v>
                </c:pt>
                <c:pt idx="192">
                  <c:v>137.14599832283579</c:v>
                </c:pt>
                <c:pt idx="193">
                  <c:v>137.94597156064356</c:v>
                </c:pt>
                <c:pt idx="194">
                  <c:v>139.43829076115827</c:v>
                </c:pt>
                <c:pt idx="195">
                  <c:v>139.80373050874854</c:v>
                </c:pt>
                <c:pt idx="196">
                  <c:v>140.33115194637125</c:v>
                </c:pt>
                <c:pt idx="197">
                  <c:v>139.92172058762156</c:v>
                </c:pt>
                <c:pt idx="198">
                  <c:v>139.16671990599053</c:v>
                </c:pt>
                <c:pt idx="199">
                  <c:v>139.73634713179248</c:v>
                </c:pt>
                <c:pt idx="200">
                  <c:v>140.75046821260273</c:v>
                </c:pt>
                <c:pt idx="201">
                  <c:v>140.71331806412789</c:v>
                </c:pt>
                <c:pt idx="202">
                  <c:v>140.72561760549837</c:v>
                </c:pt>
                <c:pt idx="203">
                  <c:v>141.1673446925092</c:v>
                </c:pt>
                <c:pt idx="204">
                  <c:v>143.09160668229831</c:v>
                </c:pt>
                <c:pt idx="205">
                  <c:v>144.75828257152494</c:v>
                </c:pt>
                <c:pt idx="206">
                  <c:v>144.21956768998535</c:v>
                </c:pt>
                <c:pt idx="207">
                  <c:v>145.51323294828327</c:v>
                </c:pt>
                <c:pt idx="208">
                  <c:v>146.21098668480343</c:v>
                </c:pt>
                <c:pt idx="209">
                  <c:v>146.63093176194346</c:v>
                </c:pt>
                <c:pt idx="210">
                  <c:v>146.58709106540206</c:v>
                </c:pt>
                <c:pt idx="211">
                  <c:v>146.5135956464153</c:v>
                </c:pt>
                <c:pt idx="212">
                  <c:v>146.65145614999724</c:v>
                </c:pt>
                <c:pt idx="213">
                  <c:v>146.33124048294709</c:v>
                </c:pt>
                <c:pt idx="214">
                  <c:v>146.50562232409536</c:v>
                </c:pt>
                <c:pt idx="215">
                  <c:v>147.70315497070013</c:v>
                </c:pt>
                <c:pt idx="216">
                  <c:v>148.75442619998523</c:v>
                </c:pt>
                <c:pt idx="217">
                  <c:v>148.4393416299485</c:v>
                </c:pt>
                <c:pt idx="218">
                  <c:v>147.11893933182071</c:v>
                </c:pt>
                <c:pt idx="219">
                  <c:v>148.41262974255497</c:v>
                </c:pt>
                <c:pt idx="220">
                  <c:v>148.21659165371759</c:v>
                </c:pt>
                <c:pt idx="221">
                  <c:v>150.62627051244087</c:v>
                </c:pt>
                <c:pt idx="222">
                  <c:v>151.03653190158983</c:v>
                </c:pt>
                <c:pt idx="223">
                  <c:v>151.11050521686704</c:v>
                </c:pt>
                <c:pt idx="224">
                  <c:v>150.07855105869143</c:v>
                </c:pt>
                <c:pt idx="225">
                  <c:v>149.43884914524497</c:v>
                </c:pt>
                <c:pt idx="226">
                  <c:v>148.71720059420139</c:v>
                </c:pt>
                <c:pt idx="227">
                  <c:v>147.80975099591095</c:v>
                </c:pt>
                <c:pt idx="228">
                  <c:v>149.15223713314566</c:v>
                </c:pt>
                <c:pt idx="229">
                  <c:v>150.27292908673033</c:v>
                </c:pt>
                <c:pt idx="230">
                  <c:v>148.87659158329075</c:v>
                </c:pt>
                <c:pt idx="231">
                  <c:v>150.10428200106767</c:v>
                </c:pt>
                <c:pt idx="232">
                  <c:v>151.06316833167432</c:v>
                </c:pt>
                <c:pt idx="233">
                  <c:v>151.25613782327818</c:v>
                </c:pt>
                <c:pt idx="234">
                  <c:v>151.62972696024275</c:v>
                </c:pt>
                <c:pt idx="235">
                  <c:v>152.7684783631199</c:v>
                </c:pt>
                <c:pt idx="236">
                  <c:v>154.19940046652758</c:v>
                </c:pt>
                <c:pt idx="237">
                  <c:v>155.35550705047962</c:v>
                </c:pt>
                <c:pt idx="238">
                  <c:v>155.2309018808491</c:v>
                </c:pt>
                <c:pt idx="239">
                  <c:v>154.0837244117979</c:v>
                </c:pt>
                <c:pt idx="240">
                  <c:v>153.23744553868744</c:v>
                </c:pt>
                <c:pt idx="241">
                  <c:v>152.98119251725103</c:v>
                </c:pt>
                <c:pt idx="242">
                  <c:v>153.34698439895007</c:v>
                </c:pt>
                <c:pt idx="243">
                  <c:v>154.31085091195214</c:v>
                </c:pt>
                <c:pt idx="244">
                  <c:v>153.79037154675939</c:v>
                </c:pt>
                <c:pt idx="245">
                  <c:v>150.87613481504684</c:v>
                </c:pt>
                <c:pt idx="246">
                  <c:v>149.17137813720075</c:v>
                </c:pt>
              </c:numCache>
            </c:numRef>
          </c:val>
          <c:smooth val="0"/>
          <c:extLst>
            <c:ext xmlns:c16="http://schemas.microsoft.com/office/drawing/2014/chart" uri="{C3380CC4-5D6E-409C-BE32-E72D297353CC}">
              <c16:uniqueId val="{00000001-3F4B-414E-94BD-AD419C7C3D4F}"/>
            </c:ext>
          </c:extLst>
        </c:ser>
        <c:dLbls>
          <c:showLegendKey val="0"/>
          <c:showVal val="0"/>
          <c:showCatName val="0"/>
          <c:showSerName val="0"/>
          <c:showPercent val="0"/>
          <c:showBubbleSize val="0"/>
        </c:dLbls>
        <c:smooth val="0"/>
        <c:axId val="555609184"/>
        <c:axId val="555605656"/>
      </c:lineChart>
      <c:dateAx>
        <c:axId val="555609184"/>
        <c:scaling>
          <c:orientation val="minMax"/>
        </c:scaling>
        <c:delete val="0"/>
        <c:axPos val="b"/>
        <c:numFmt formatCode="[$-409]mmm\-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Garamond" panose="02020404030301010803" pitchFamily="18" charset="0"/>
                <a:ea typeface="+mn-ea"/>
                <a:cs typeface="+mn-cs"/>
              </a:defRPr>
            </a:pPr>
            <a:endParaRPr lang="en-US"/>
          </a:p>
        </c:txPr>
        <c:crossAx val="555605656"/>
        <c:crosses val="autoZero"/>
        <c:auto val="1"/>
        <c:lblOffset val="100"/>
        <c:baseTimeUnit val="days"/>
      </c:dateAx>
      <c:valAx>
        <c:axId val="555605656"/>
        <c:scaling>
          <c:orientation val="minMax"/>
          <c:min val="80"/>
        </c:scaling>
        <c:delete val="0"/>
        <c:axPos val="l"/>
        <c:majorGridlines>
          <c:spPr>
            <a:ln w="9525" cap="flat" cmpd="sng" algn="ctr">
              <a:solidFill>
                <a:schemeClr val="tx1">
                  <a:lumMod val="15000"/>
                  <a:lumOff val="85000"/>
                </a:schemeClr>
              </a:solidFill>
              <a:round/>
            </a:ln>
            <a:effectLst/>
          </c:spPr>
        </c:majorGridlines>
        <c:numFmt formatCode="_ * #,##0.0_ ;_ * \-#,##0.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crossAx val="555609184"/>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Garamond" panose="02020404030301010803" pitchFamily="18"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Sheet4!$L$3</c:f>
              <c:strCache>
                <c:ptCount val="1"/>
                <c:pt idx="0">
                  <c:v>Equity</c:v>
                </c:pt>
              </c:strCache>
            </c:strRef>
          </c:tx>
          <c:spPr>
            <a:solidFill>
              <a:schemeClr val="accent1"/>
            </a:solidFill>
            <a:ln>
              <a:noFill/>
            </a:ln>
            <a:effectLst/>
          </c:spPr>
          <c:invertIfNegative val="0"/>
          <c:cat>
            <c:numRef>
              <c:f>Sheet4!$K$4:$K$18</c:f>
              <c:numCache>
                <c:formatCode>[$-409]mmm\-yy</c:formatCode>
                <c:ptCount val="12"/>
                <c:pt idx="0">
                  <c:v>44145</c:v>
                </c:pt>
                <c:pt idx="1">
                  <c:v>44175</c:v>
                </c:pt>
                <c:pt idx="2">
                  <c:v>44206</c:v>
                </c:pt>
                <c:pt idx="3">
                  <c:v>44237</c:v>
                </c:pt>
                <c:pt idx="4">
                  <c:v>44265</c:v>
                </c:pt>
                <c:pt idx="5">
                  <c:v>44296</c:v>
                </c:pt>
                <c:pt idx="6">
                  <c:v>44326</c:v>
                </c:pt>
                <c:pt idx="7">
                  <c:v>44357</c:v>
                </c:pt>
                <c:pt idx="8">
                  <c:v>44387</c:v>
                </c:pt>
                <c:pt idx="9">
                  <c:v>44418</c:v>
                </c:pt>
                <c:pt idx="10">
                  <c:v>44449</c:v>
                </c:pt>
                <c:pt idx="11">
                  <c:v>44479</c:v>
                </c:pt>
              </c:numCache>
            </c:numRef>
          </c:cat>
          <c:val>
            <c:numRef>
              <c:f>Sheet4!$L$4:$L$18</c:f>
              <c:numCache>
                <c:formatCode>#,##0;\-#,##0;0</c:formatCode>
                <c:ptCount val="12"/>
                <c:pt idx="0">
                  <c:v>-30760.07</c:v>
                </c:pt>
                <c:pt idx="1">
                  <c:v>-26427.83</c:v>
                </c:pt>
                <c:pt idx="2">
                  <c:v>-13031.78</c:v>
                </c:pt>
                <c:pt idx="3">
                  <c:v>-16306</c:v>
                </c:pt>
                <c:pt idx="4">
                  <c:v>4772.83</c:v>
                </c:pt>
                <c:pt idx="5">
                  <c:v>5526.36</c:v>
                </c:pt>
                <c:pt idx="6" formatCode="[&gt;9999999]##\,##\,##\,##0;[&gt;99999]##\,##\,##0;##,##0">
                  <c:v>475.75</c:v>
                </c:pt>
                <c:pt idx="7" formatCode="[&gt;9999999]##\,##\,##\,##0;[&gt;99999]##\,##\,##0;##,##0">
                  <c:v>6437.08</c:v>
                </c:pt>
                <c:pt idx="8" formatCode="[&gt;9999999]##\,##\,##\,##0;[&gt;99999]##\,##\,##0;##,##0">
                  <c:v>21502.37</c:v>
                </c:pt>
                <c:pt idx="9" formatCode="[&gt;9999999]##\,##\,##\,##0;[&gt;99999]##\,##\,##0;##,##0">
                  <c:v>11546</c:v>
                </c:pt>
                <c:pt idx="10" formatCode="[&gt;9999999]##\,##\,##\,##0;[&gt;99999]##\,##\,##0;##,##0">
                  <c:v>7701</c:v>
                </c:pt>
                <c:pt idx="11" formatCode="[&gt;9999999]##\,##\,##\,##0;[&gt;99999]##\,##\,##0;##,##0">
                  <c:v>5865.5</c:v>
                </c:pt>
              </c:numCache>
            </c:numRef>
          </c:val>
          <c:extLst>
            <c:ext xmlns:c16="http://schemas.microsoft.com/office/drawing/2014/chart" uri="{C3380CC4-5D6E-409C-BE32-E72D297353CC}">
              <c16:uniqueId val="{00000000-AAA7-40DF-8481-1944A802D9D6}"/>
            </c:ext>
          </c:extLst>
        </c:ser>
        <c:ser>
          <c:idx val="1"/>
          <c:order val="1"/>
          <c:tx>
            <c:strRef>
              <c:f>Sheet4!$M$3</c:f>
              <c:strCache>
                <c:ptCount val="1"/>
                <c:pt idx="0">
                  <c:v>Debt</c:v>
                </c:pt>
              </c:strCache>
            </c:strRef>
          </c:tx>
          <c:spPr>
            <a:solidFill>
              <a:schemeClr val="accent2"/>
            </a:solidFill>
            <a:ln>
              <a:noFill/>
            </a:ln>
            <a:effectLst/>
          </c:spPr>
          <c:invertIfNegative val="0"/>
          <c:cat>
            <c:numRef>
              <c:f>Sheet4!$K$4:$K$18</c:f>
              <c:numCache>
                <c:formatCode>[$-409]mmm\-yy</c:formatCode>
                <c:ptCount val="12"/>
                <c:pt idx="0">
                  <c:v>44145</c:v>
                </c:pt>
                <c:pt idx="1">
                  <c:v>44175</c:v>
                </c:pt>
                <c:pt idx="2">
                  <c:v>44206</c:v>
                </c:pt>
                <c:pt idx="3">
                  <c:v>44237</c:v>
                </c:pt>
                <c:pt idx="4">
                  <c:v>44265</c:v>
                </c:pt>
                <c:pt idx="5">
                  <c:v>44296</c:v>
                </c:pt>
                <c:pt idx="6">
                  <c:v>44326</c:v>
                </c:pt>
                <c:pt idx="7">
                  <c:v>44357</c:v>
                </c:pt>
                <c:pt idx="8">
                  <c:v>44387</c:v>
                </c:pt>
                <c:pt idx="9">
                  <c:v>44418</c:v>
                </c:pt>
                <c:pt idx="10">
                  <c:v>44449</c:v>
                </c:pt>
                <c:pt idx="11">
                  <c:v>44479</c:v>
                </c:pt>
              </c:numCache>
            </c:numRef>
          </c:cat>
          <c:val>
            <c:numRef>
              <c:f>Sheet4!$M$4:$M$18</c:f>
              <c:numCache>
                <c:formatCode>#,##0;\-#,##0;0</c:formatCode>
                <c:ptCount val="12"/>
                <c:pt idx="0">
                  <c:v>20349.349999999999</c:v>
                </c:pt>
                <c:pt idx="1">
                  <c:v>23368.42</c:v>
                </c:pt>
                <c:pt idx="2">
                  <c:v>11831.74</c:v>
                </c:pt>
                <c:pt idx="3">
                  <c:v>8161.78</c:v>
                </c:pt>
                <c:pt idx="4">
                  <c:v>15661.48</c:v>
                </c:pt>
                <c:pt idx="5">
                  <c:v>21588.400000000001</c:v>
                </c:pt>
                <c:pt idx="6" formatCode="[&gt;9999999]##\,##\,##\,##0;[&gt;99999]##\,##\,##0;##,##0">
                  <c:v>4238.12</c:v>
                </c:pt>
                <c:pt idx="7" formatCode="[&gt;9999999]##\,##\,##\,##0;[&gt;99999]##\,##\,##0;##,##0">
                  <c:v>6449.01</c:v>
                </c:pt>
                <c:pt idx="8" formatCode="[&gt;9999999]##\,##\,##\,##0;[&gt;99999]##\,##\,##0;##,##0">
                  <c:v>15620.86</c:v>
                </c:pt>
                <c:pt idx="9" formatCode="[&gt;9999999]##\,##\,##\,##0;[&gt;99999]##\,##\,##0;##,##0">
                  <c:v>21094</c:v>
                </c:pt>
                <c:pt idx="10" formatCode="[&gt;9999999]##\,##\,##\,##0;[&gt;99999]##\,##\,##0;##,##0">
                  <c:v>7695</c:v>
                </c:pt>
                <c:pt idx="11" formatCode="[&gt;9999999]##\,##\,##\,##0;[&gt;99999]##\,##\,##0;##,##0">
                  <c:v>1864.87</c:v>
                </c:pt>
              </c:numCache>
            </c:numRef>
          </c:val>
          <c:extLst>
            <c:ext xmlns:c16="http://schemas.microsoft.com/office/drawing/2014/chart" uri="{C3380CC4-5D6E-409C-BE32-E72D297353CC}">
              <c16:uniqueId val="{00000001-AAA7-40DF-8481-1944A802D9D6}"/>
            </c:ext>
          </c:extLst>
        </c:ser>
        <c:dLbls>
          <c:showLegendKey val="0"/>
          <c:showVal val="0"/>
          <c:showCatName val="0"/>
          <c:showSerName val="0"/>
          <c:showPercent val="0"/>
          <c:showBubbleSize val="0"/>
        </c:dLbls>
        <c:gapWidth val="219"/>
        <c:overlap val="-27"/>
        <c:axId val="559032120"/>
        <c:axId val="559033296"/>
      </c:barChart>
      <c:lineChart>
        <c:grouping val="standard"/>
        <c:varyColors val="0"/>
        <c:ser>
          <c:idx val="2"/>
          <c:order val="2"/>
          <c:tx>
            <c:strRef>
              <c:f>Sheet4!$N$3</c:f>
              <c:strCache>
                <c:ptCount val="1"/>
                <c:pt idx="0">
                  <c:v>Total</c:v>
                </c:pt>
              </c:strCache>
            </c:strRef>
          </c:tx>
          <c:spPr>
            <a:ln w="28575" cap="rnd">
              <a:solidFill>
                <a:schemeClr val="accent3"/>
              </a:solidFill>
              <a:round/>
            </a:ln>
            <a:effectLst/>
          </c:spPr>
          <c:marker>
            <c:symbol val="none"/>
          </c:marker>
          <c:cat>
            <c:numRef>
              <c:f>Sheet4!$K$4:$K$18</c:f>
              <c:numCache>
                <c:formatCode>[$-409]mmm\-yy</c:formatCode>
                <c:ptCount val="12"/>
                <c:pt idx="0">
                  <c:v>44145</c:v>
                </c:pt>
                <c:pt idx="1">
                  <c:v>44175</c:v>
                </c:pt>
                <c:pt idx="2">
                  <c:v>44206</c:v>
                </c:pt>
                <c:pt idx="3">
                  <c:v>44237</c:v>
                </c:pt>
                <c:pt idx="4">
                  <c:v>44265</c:v>
                </c:pt>
                <c:pt idx="5">
                  <c:v>44296</c:v>
                </c:pt>
                <c:pt idx="6">
                  <c:v>44326</c:v>
                </c:pt>
                <c:pt idx="7">
                  <c:v>44357</c:v>
                </c:pt>
                <c:pt idx="8">
                  <c:v>44387</c:v>
                </c:pt>
                <c:pt idx="9">
                  <c:v>44418</c:v>
                </c:pt>
                <c:pt idx="10">
                  <c:v>44449</c:v>
                </c:pt>
                <c:pt idx="11">
                  <c:v>44479</c:v>
                </c:pt>
              </c:numCache>
            </c:numRef>
          </c:cat>
          <c:val>
            <c:numRef>
              <c:f>Sheet4!$N$4:$N$18</c:f>
              <c:numCache>
                <c:formatCode>[&gt;9999999]##\,##\,##\,##0;[&gt;99999]##\,##\,##0;##,##0</c:formatCode>
                <c:ptCount val="12"/>
                <c:pt idx="0">
                  <c:v>-10410.720000000001</c:v>
                </c:pt>
                <c:pt idx="1">
                  <c:v>-3059.4100000000035</c:v>
                </c:pt>
                <c:pt idx="2">
                  <c:v>-1200.0400000000009</c:v>
                </c:pt>
                <c:pt idx="3">
                  <c:v>-8144.22</c:v>
                </c:pt>
                <c:pt idx="4">
                  <c:v>20434.309999999998</c:v>
                </c:pt>
                <c:pt idx="5">
                  <c:v>27114.760000000002</c:v>
                </c:pt>
                <c:pt idx="6">
                  <c:v>4713.87</c:v>
                </c:pt>
                <c:pt idx="7">
                  <c:v>12886.09</c:v>
                </c:pt>
                <c:pt idx="8">
                  <c:v>37123.229999999996</c:v>
                </c:pt>
                <c:pt idx="9">
                  <c:v>32640</c:v>
                </c:pt>
                <c:pt idx="10">
                  <c:v>15396</c:v>
                </c:pt>
                <c:pt idx="11">
                  <c:v>7730.37</c:v>
                </c:pt>
              </c:numCache>
            </c:numRef>
          </c:val>
          <c:smooth val="0"/>
          <c:extLst>
            <c:ext xmlns:c16="http://schemas.microsoft.com/office/drawing/2014/chart" uri="{C3380CC4-5D6E-409C-BE32-E72D297353CC}">
              <c16:uniqueId val="{00000002-AAA7-40DF-8481-1944A802D9D6}"/>
            </c:ext>
          </c:extLst>
        </c:ser>
        <c:dLbls>
          <c:showLegendKey val="0"/>
          <c:showVal val="0"/>
          <c:showCatName val="0"/>
          <c:showSerName val="0"/>
          <c:showPercent val="0"/>
          <c:showBubbleSize val="0"/>
        </c:dLbls>
        <c:marker val="1"/>
        <c:smooth val="0"/>
        <c:axId val="559032120"/>
        <c:axId val="559033296"/>
      </c:lineChart>
      <c:dateAx>
        <c:axId val="559032120"/>
        <c:scaling>
          <c:orientation val="minMax"/>
        </c:scaling>
        <c:delete val="0"/>
        <c:axPos val="b"/>
        <c:numFmt formatCode="[$-409]mmm\-yy"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crossAx val="559033296"/>
        <c:crosses val="autoZero"/>
        <c:auto val="1"/>
        <c:lblOffset val="100"/>
        <c:baseTimeUnit val="months"/>
      </c:dateAx>
      <c:valAx>
        <c:axId val="55903329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crossAx val="559032120"/>
        <c:crosses val="autoZero"/>
        <c:crossBetween val="between"/>
      </c:valAx>
      <c:spPr>
        <a:noFill/>
        <a:ln>
          <a:solidFill>
            <a:sysClr val="window" lastClr="FFFFFF">
              <a:lumMod val="65000"/>
            </a:sys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65000"/>
        </a:sysClr>
      </a:solidFill>
      <a:round/>
    </a:ln>
    <a:effectLst/>
  </c:spPr>
  <c:txPr>
    <a:bodyPr/>
    <a:lstStyle/>
    <a:p>
      <a:pPr>
        <a:defRPr sz="900" b="0">
          <a:solidFill>
            <a:sysClr val="windowText" lastClr="000000"/>
          </a:solidFill>
          <a:latin typeface="Garamond" panose="02020404030301010803" pitchFamily="18"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117106167098253E-2"/>
          <c:y val="4.1359509115414625E-2"/>
          <c:w val="0.88562384399936589"/>
          <c:h val="0.70482620415691277"/>
        </c:manualLayout>
      </c:layout>
      <c:areaChart>
        <c:grouping val="standard"/>
        <c:varyColors val="0"/>
        <c:ser>
          <c:idx val="4"/>
          <c:order val="4"/>
          <c:tx>
            <c:strRef>
              <c:f>Sheet4!$G$4</c:f>
              <c:strCache>
                <c:ptCount val="1"/>
                <c:pt idx="0">
                  <c:v>Total</c:v>
                </c:pt>
              </c:strCache>
            </c:strRef>
          </c:tx>
          <c:spPr>
            <a:solidFill>
              <a:srgbClr val="5B9BD5">
                <a:lumMod val="40000"/>
                <a:lumOff val="60000"/>
              </a:srgbClr>
            </a:solidFill>
            <a:ln w="9525" cap="flat" cmpd="sng" algn="ctr">
              <a:solidFill>
                <a:schemeClr val="accent5">
                  <a:shade val="95000"/>
                </a:schemeClr>
              </a:solidFill>
              <a:round/>
            </a:ln>
            <a:effectLst/>
          </c:spPr>
          <c:cat>
            <c:numRef>
              <c:f>Sheet4!$B$8:$B$19</c:f>
              <c:numCache>
                <c:formatCode>[$-409]mmm\-yy</c:formatCode>
                <c:ptCount val="12"/>
                <c:pt idx="0">
                  <c:v>44145</c:v>
                </c:pt>
                <c:pt idx="1">
                  <c:v>44175</c:v>
                </c:pt>
                <c:pt idx="2">
                  <c:v>44206</c:v>
                </c:pt>
                <c:pt idx="3">
                  <c:v>44237</c:v>
                </c:pt>
                <c:pt idx="4">
                  <c:v>44265</c:v>
                </c:pt>
                <c:pt idx="5">
                  <c:v>44296</c:v>
                </c:pt>
                <c:pt idx="6">
                  <c:v>44317</c:v>
                </c:pt>
                <c:pt idx="7">
                  <c:v>44348</c:v>
                </c:pt>
                <c:pt idx="8">
                  <c:v>44378</c:v>
                </c:pt>
                <c:pt idx="9">
                  <c:v>44409</c:v>
                </c:pt>
                <c:pt idx="10">
                  <c:v>44440</c:v>
                </c:pt>
                <c:pt idx="11">
                  <c:v>44470</c:v>
                </c:pt>
              </c:numCache>
            </c:numRef>
          </c:cat>
          <c:val>
            <c:numRef>
              <c:f>Sheet4!$G$8:$G$19</c:f>
              <c:numCache>
                <c:formatCode>#,##0</c:formatCode>
                <c:ptCount val="12"/>
                <c:pt idx="0">
                  <c:v>62782</c:v>
                </c:pt>
                <c:pt idx="1">
                  <c:v>71046</c:v>
                </c:pt>
                <c:pt idx="2">
                  <c:v>14631</c:v>
                </c:pt>
                <c:pt idx="3">
                  <c:v>24013</c:v>
                </c:pt>
                <c:pt idx="4">
                  <c:v>17023</c:v>
                </c:pt>
                <c:pt idx="5">
                  <c:v>-8836</c:v>
                </c:pt>
                <c:pt idx="6">
                  <c:v>-1958</c:v>
                </c:pt>
                <c:pt idx="7">
                  <c:v>12974</c:v>
                </c:pt>
                <c:pt idx="8">
                  <c:v>-7409.99</c:v>
                </c:pt>
                <c:pt idx="9">
                  <c:v>16556</c:v>
                </c:pt>
                <c:pt idx="10">
                  <c:v>27756</c:v>
                </c:pt>
                <c:pt idx="11">
                  <c:v>-12437</c:v>
                </c:pt>
              </c:numCache>
            </c:numRef>
          </c:val>
          <c:extLst>
            <c:ext xmlns:c16="http://schemas.microsoft.com/office/drawing/2014/chart" uri="{C3380CC4-5D6E-409C-BE32-E72D297353CC}">
              <c16:uniqueId val="{00000000-52E6-4856-8494-A576F65E584A}"/>
            </c:ext>
          </c:extLst>
        </c:ser>
        <c:dLbls>
          <c:showLegendKey val="0"/>
          <c:showVal val="0"/>
          <c:showCatName val="0"/>
          <c:showSerName val="0"/>
          <c:showPercent val="0"/>
          <c:showBubbleSize val="0"/>
        </c:dLbls>
        <c:axId val="559035256"/>
        <c:axId val="559035648"/>
      </c:areaChart>
      <c:barChart>
        <c:barDir val="col"/>
        <c:grouping val="clustered"/>
        <c:varyColors val="0"/>
        <c:ser>
          <c:idx val="0"/>
          <c:order val="0"/>
          <c:tx>
            <c:strRef>
              <c:f>Sheet4!$C$4</c:f>
              <c:strCache>
                <c:ptCount val="1"/>
                <c:pt idx="0">
                  <c:v>Equity </c:v>
                </c:pt>
              </c:strCache>
            </c:strRef>
          </c:tx>
          <c:spPr>
            <a:gradFill flip="none" rotWithShape="1">
              <a:gsLst>
                <a:gs pos="0">
                  <a:sysClr val="window" lastClr="FFFFFF">
                    <a:lumMod val="75000"/>
                    <a:tint val="66000"/>
                    <a:satMod val="160000"/>
                  </a:sysClr>
                </a:gs>
                <a:gs pos="50000">
                  <a:sysClr val="window" lastClr="FFFFFF">
                    <a:lumMod val="75000"/>
                    <a:tint val="44500"/>
                    <a:satMod val="160000"/>
                  </a:sysClr>
                </a:gs>
                <a:gs pos="100000">
                  <a:sysClr val="window" lastClr="FFFFFF">
                    <a:lumMod val="75000"/>
                    <a:tint val="23500"/>
                    <a:satMod val="160000"/>
                  </a:sysClr>
                </a:gs>
              </a:gsLst>
              <a:path path="circle">
                <a:fillToRect l="50000" t="50000" r="50000" b="50000"/>
              </a:path>
              <a:tileRect/>
            </a:gradFill>
            <a:ln w="9525" cap="flat" cmpd="sng" algn="ctr">
              <a:solidFill>
                <a:srgbClr val="70AD47"/>
              </a:solidFill>
              <a:round/>
            </a:ln>
            <a:effectLst/>
          </c:spPr>
          <c:invertIfNegative val="0"/>
          <c:cat>
            <c:numRef>
              <c:f>Sheet4!$B$8:$B$19</c:f>
              <c:numCache>
                <c:formatCode>[$-409]mmm\-yy</c:formatCode>
                <c:ptCount val="12"/>
                <c:pt idx="0">
                  <c:v>44145</c:v>
                </c:pt>
                <c:pt idx="1">
                  <c:v>44175</c:v>
                </c:pt>
                <c:pt idx="2">
                  <c:v>44206</c:v>
                </c:pt>
                <c:pt idx="3">
                  <c:v>44237</c:v>
                </c:pt>
                <c:pt idx="4">
                  <c:v>44265</c:v>
                </c:pt>
                <c:pt idx="5">
                  <c:v>44296</c:v>
                </c:pt>
                <c:pt idx="6">
                  <c:v>44317</c:v>
                </c:pt>
                <c:pt idx="7">
                  <c:v>44348</c:v>
                </c:pt>
                <c:pt idx="8">
                  <c:v>44378</c:v>
                </c:pt>
                <c:pt idx="9">
                  <c:v>44409</c:v>
                </c:pt>
                <c:pt idx="10">
                  <c:v>44440</c:v>
                </c:pt>
                <c:pt idx="11">
                  <c:v>44470</c:v>
                </c:pt>
              </c:numCache>
            </c:numRef>
          </c:cat>
          <c:val>
            <c:numRef>
              <c:f>Sheet4!$C$8:$C$19</c:f>
              <c:numCache>
                <c:formatCode>#,##0</c:formatCode>
                <c:ptCount val="12"/>
                <c:pt idx="0">
                  <c:v>60358</c:v>
                </c:pt>
                <c:pt idx="1">
                  <c:v>62016</c:v>
                </c:pt>
                <c:pt idx="2">
                  <c:v>19473</c:v>
                </c:pt>
                <c:pt idx="3">
                  <c:v>25787</c:v>
                </c:pt>
                <c:pt idx="4">
                  <c:v>10482</c:v>
                </c:pt>
                <c:pt idx="5">
                  <c:v>-9659</c:v>
                </c:pt>
                <c:pt idx="6">
                  <c:v>-2954</c:v>
                </c:pt>
                <c:pt idx="7">
                  <c:v>17215</c:v>
                </c:pt>
                <c:pt idx="8">
                  <c:v>-11308.36</c:v>
                </c:pt>
                <c:pt idx="9">
                  <c:v>2083</c:v>
                </c:pt>
                <c:pt idx="10">
                  <c:v>13154</c:v>
                </c:pt>
                <c:pt idx="11">
                  <c:v>-13550</c:v>
                </c:pt>
              </c:numCache>
            </c:numRef>
          </c:val>
          <c:extLst>
            <c:ext xmlns:c16="http://schemas.microsoft.com/office/drawing/2014/chart" uri="{C3380CC4-5D6E-409C-BE32-E72D297353CC}">
              <c16:uniqueId val="{00000001-52E6-4856-8494-A576F65E584A}"/>
            </c:ext>
          </c:extLst>
        </c:ser>
        <c:ser>
          <c:idx val="1"/>
          <c:order val="1"/>
          <c:tx>
            <c:strRef>
              <c:f>Sheet4!$D$4</c:f>
              <c:strCache>
                <c:ptCount val="1"/>
                <c:pt idx="0">
                  <c:v>Debt </c:v>
                </c:pt>
              </c:strCache>
            </c:strRef>
          </c:tx>
          <c:spPr>
            <a:gradFill flip="none" rotWithShape="1">
              <a:gsLst>
                <a:gs pos="0">
                  <a:srgbClr val="ED7D31">
                    <a:tint val="66000"/>
                    <a:satMod val="160000"/>
                  </a:srgbClr>
                </a:gs>
                <a:gs pos="50000">
                  <a:srgbClr val="ED7D31">
                    <a:tint val="44500"/>
                    <a:satMod val="160000"/>
                  </a:srgbClr>
                </a:gs>
                <a:gs pos="100000">
                  <a:srgbClr val="ED7D31">
                    <a:tint val="23500"/>
                    <a:satMod val="160000"/>
                  </a:srgbClr>
                </a:gs>
              </a:gsLst>
              <a:lin ang="2700000" scaled="1"/>
              <a:tileRect/>
            </a:gradFill>
            <a:ln w="9525" cap="flat" cmpd="sng" algn="ctr">
              <a:solidFill>
                <a:srgbClr val="ED7D31"/>
              </a:solidFill>
              <a:round/>
            </a:ln>
            <a:effectLst/>
          </c:spPr>
          <c:invertIfNegative val="0"/>
          <c:cat>
            <c:numRef>
              <c:f>Sheet4!$B$8:$B$19</c:f>
              <c:numCache>
                <c:formatCode>[$-409]mmm\-yy</c:formatCode>
                <c:ptCount val="12"/>
                <c:pt idx="0">
                  <c:v>44145</c:v>
                </c:pt>
                <c:pt idx="1">
                  <c:v>44175</c:v>
                </c:pt>
                <c:pt idx="2">
                  <c:v>44206</c:v>
                </c:pt>
                <c:pt idx="3">
                  <c:v>44237</c:v>
                </c:pt>
                <c:pt idx="4">
                  <c:v>44265</c:v>
                </c:pt>
                <c:pt idx="5">
                  <c:v>44296</c:v>
                </c:pt>
                <c:pt idx="6">
                  <c:v>44317</c:v>
                </c:pt>
                <c:pt idx="7">
                  <c:v>44348</c:v>
                </c:pt>
                <c:pt idx="8">
                  <c:v>44378</c:v>
                </c:pt>
                <c:pt idx="9">
                  <c:v>44409</c:v>
                </c:pt>
                <c:pt idx="10">
                  <c:v>44440</c:v>
                </c:pt>
                <c:pt idx="11">
                  <c:v>44470</c:v>
                </c:pt>
              </c:numCache>
            </c:numRef>
          </c:cat>
          <c:val>
            <c:numRef>
              <c:f>Sheet4!$D$8:$D$19</c:f>
              <c:numCache>
                <c:formatCode>#,##0</c:formatCode>
                <c:ptCount val="12"/>
                <c:pt idx="0">
                  <c:v>-1806</c:v>
                </c:pt>
                <c:pt idx="1">
                  <c:v>4079</c:v>
                </c:pt>
                <c:pt idx="2">
                  <c:v>-2518</c:v>
                </c:pt>
                <c:pt idx="3">
                  <c:v>-6488</c:v>
                </c:pt>
                <c:pt idx="4">
                  <c:v>-6492</c:v>
                </c:pt>
                <c:pt idx="5">
                  <c:v>-118</c:v>
                </c:pt>
                <c:pt idx="6">
                  <c:v>-1706</c:v>
                </c:pt>
                <c:pt idx="7">
                  <c:v>-4829</c:v>
                </c:pt>
                <c:pt idx="8">
                  <c:v>-781.55</c:v>
                </c:pt>
                <c:pt idx="9">
                  <c:v>12144</c:v>
                </c:pt>
                <c:pt idx="10">
                  <c:v>12804</c:v>
                </c:pt>
                <c:pt idx="11">
                  <c:v>-1558</c:v>
                </c:pt>
              </c:numCache>
            </c:numRef>
          </c:val>
          <c:extLst>
            <c:ext xmlns:c16="http://schemas.microsoft.com/office/drawing/2014/chart" uri="{C3380CC4-5D6E-409C-BE32-E72D297353CC}">
              <c16:uniqueId val="{00000002-52E6-4856-8494-A576F65E584A}"/>
            </c:ext>
          </c:extLst>
        </c:ser>
        <c:dLbls>
          <c:showLegendKey val="0"/>
          <c:showVal val="0"/>
          <c:showCatName val="0"/>
          <c:showSerName val="0"/>
          <c:showPercent val="0"/>
          <c:showBubbleSize val="0"/>
        </c:dLbls>
        <c:gapWidth val="219"/>
        <c:axId val="559035256"/>
        <c:axId val="559035648"/>
      </c:barChart>
      <c:lineChart>
        <c:grouping val="standard"/>
        <c:varyColors val="0"/>
        <c:ser>
          <c:idx val="2"/>
          <c:order val="2"/>
          <c:tx>
            <c:strRef>
              <c:f>Sheet4!$E$4</c:f>
              <c:strCache>
                <c:ptCount val="1"/>
                <c:pt idx="0">
                  <c:v>Debt-VRR </c:v>
                </c:pt>
              </c:strCache>
            </c:strRef>
          </c:tx>
          <c:spPr>
            <a:ln w="15875" cap="rnd">
              <a:solidFill>
                <a:srgbClr val="70AD47"/>
              </a:solidFill>
              <a:round/>
            </a:ln>
            <a:effectLst/>
          </c:spPr>
          <c:marker>
            <c:symbol val="circle"/>
            <c:size val="5"/>
            <c:spPr>
              <a:solidFill>
                <a:srgbClr val="70AD47"/>
              </a:solidFill>
              <a:ln w="9525" cap="flat" cmpd="sng" algn="ctr">
                <a:solidFill>
                  <a:srgbClr val="70AD47"/>
                </a:solidFill>
                <a:round/>
              </a:ln>
              <a:effectLst/>
            </c:spPr>
          </c:marker>
          <c:cat>
            <c:numRef>
              <c:f>Sheet4!$B$8:$B$19</c:f>
              <c:numCache>
                <c:formatCode>[$-409]mmm\-yy</c:formatCode>
                <c:ptCount val="12"/>
                <c:pt idx="0">
                  <c:v>44145</c:v>
                </c:pt>
                <c:pt idx="1">
                  <c:v>44175</c:v>
                </c:pt>
                <c:pt idx="2">
                  <c:v>44206</c:v>
                </c:pt>
                <c:pt idx="3">
                  <c:v>44237</c:v>
                </c:pt>
                <c:pt idx="4">
                  <c:v>44265</c:v>
                </c:pt>
                <c:pt idx="5">
                  <c:v>44296</c:v>
                </c:pt>
                <c:pt idx="6">
                  <c:v>44317</c:v>
                </c:pt>
                <c:pt idx="7">
                  <c:v>44348</c:v>
                </c:pt>
                <c:pt idx="8">
                  <c:v>44378</c:v>
                </c:pt>
                <c:pt idx="9">
                  <c:v>44409</c:v>
                </c:pt>
                <c:pt idx="10">
                  <c:v>44440</c:v>
                </c:pt>
                <c:pt idx="11">
                  <c:v>44470</c:v>
                </c:pt>
              </c:numCache>
            </c:numRef>
          </c:cat>
          <c:val>
            <c:numRef>
              <c:f>Sheet4!$E$8:$E$19</c:f>
              <c:numCache>
                <c:formatCode>#,##0</c:formatCode>
                <c:ptCount val="12"/>
                <c:pt idx="0">
                  <c:v>4399</c:v>
                </c:pt>
                <c:pt idx="1">
                  <c:v>2463</c:v>
                </c:pt>
                <c:pt idx="2">
                  <c:v>-2306</c:v>
                </c:pt>
                <c:pt idx="3">
                  <c:v>4364</c:v>
                </c:pt>
                <c:pt idx="4">
                  <c:v>13314</c:v>
                </c:pt>
                <c:pt idx="5">
                  <c:v>342</c:v>
                </c:pt>
                <c:pt idx="6">
                  <c:v>1994</c:v>
                </c:pt>
                <c:pt idx="7">
                  <c:v>883</c:v>
                </c:pt>
                <c:pt idx="8">
                  <c:v>4817.5</c:v>
                </c:pt>
                <c:pt idx="9">
                  <c:v>2232</c:v>
                </c:pt>
                <c:pt idx="10">
                  <c:v>559</c:v>
                </c:pt>
                <c:pt idx="11">
                  <c:v>2830</c:v>
                </c:pt>
              </c:numCache>
            </c:numRef>
          </c:val>
          <c:smooth val="0"/>
          <c:extLst>
            <c:ext xmlns:c16="http://schemas.microsoft.com/office/drawing/2014/chart" uri="{C3380CC4-5D6E-409C-BE32-E72D297353CC}">
              <c16:uniqueId val="{00000003-52E6-4856-8494-A576F65E584A}"/>
            </c:ext>
          </c:extLst>
        </c:ser>
        <c:ser>
          <c:idx val="3"/>
          <c:order val="3"/>
          <c:tx>
            <c:strRef>
              <c:f>Sheet4!$F$4</c:f>
              <c:strCache>
                <c:ptCount val="1"/>
                <c:pt idx="0">
                  <c:v>Hybrid  </c:v>
                </c:pt>
              </c:strCache>
            </c:strRef>
          </c:tx>
          <c:spPr>
            <a:ln w="15875" cap="rnd">
              <a:solidFill>
                <a:srgbClr val="00B0F0"/>
              </a:solidFill>
              <a:round/>
            </a:ln>
            <a:effectLst/>
          </c:spPr>
          <c:marker>
            <c:symbol val="circle"/>
            <c:size val="5"/>
            <c:spPr>
              <a:solidFill>
                <a:srgbClr val="00B0F0"/>
              </a:solidFill>
              <a:ln w="9525" cap="flat" cmpd="sng" algn="ctr">
                <a:solidFill>
                  <a:srgbClr val="00B0F0"/>
                </a:solidFill>
                <a:round/>
              </a:ln>
              <a:effectLst/>
            </c:spPr>
          </c:marker>
          <c:cat>
            <c:numRef>
              <c:f>Sheet4!$B$8:$B$19</c:f>
              <c:numCache>
                <c:formatCode>[$-409]mmm\-yy</c:formatCode>
                <c:ptCount val="12"/>
                <c:pt idx="0">
                  <c:v>44145</c:v>
                </c:pt>
                <c:pt idx="1">
                  <c:v>44175</c:v>
                </c:pt>
                <c:pt idx="2">
                  <c:v>44206</c:v>
                </c:pt>
                <c:pt idx="3">
                  <c:v>44237</c:v>
                </c:pt>
                <c:pt idx="4">
                  <c:v>44265</c:v>
                </c:pt>
                <c:pt idx="5">
                  <c:v>44296</c:v>
                </c:pt>
                <c:pt idx="6">
                  <c:v>44317</c:v>
                </c:pt>
                <c:pt idx="7">
                  <c:v>44348</c:v>
                </c:pt>
                <c:pt idx="8">
                  <c:v>44378</c:v>
                </c:pt>
                <c:pt idx="9">
                  <c:v>44409</c:v>
                </c:pt>
                <c:pt idx="10">
                  <c:v>44440</c:v>
                </c:pt>
                <c:pt idx="11">
                  <c:v>44470</c:v>
                </c:pt>
              </c:numCache>
            </c:numRef>
          </c:cat>
          <c:val>
            <c:numRef>
              <c:f>Sheet4!$F$8:$F$19</c:f>
              <c:numCache>
                <c:formatCode>#,##0</c:formatCode>
                <c:ptCount val="12"/>
                <c:pt idx="0">
                  <c:v>-169</c:v>
                </c:pt>
                <c:pt idx="1">
                  <c:v>2489</c:v>
                </c:pt>
                <c:pt idx="2">
                  <c:v>-17</c:v>
                </c:pt>
                <c:pt idx="3">
                  <c:v>350</c:v>
                </c:pt>
                <c:pt idx="4">
                  <c:v>-281</c:v>
                </c:pt>
                <c:pt idx="5">
                  <c:v>599</c:v>
                </c:pt>
                <c:pt idx="6">
                  <c:v>709</c:v>
                </c:pt>
                <c:pt idx="7">
                  <c:v>-295</c:v>
                </c:pt>
                <c:pt idx="8">
                  <c:v>-137.58000000000001</c:v>
                </c:pt>
                <c:pt idx="9">
                  <c:v>97</c:v>
                </c:pt>
                <c:pt idx="10">
                  <c:v>1239</c:v>
                </c:pt>
                <c:pt idx="11">
                  <c:v>-159</c:v>
                </c:pt>
              </c:numCache>
            </c:numRef>
          </c:val>
          <c:smooth val="0"/>
          <c:extLst>
            <c:ext xmlns:c16="http://schemas.microsoft.com/office/drawing/2014/chart" uri="{C3380CC4-5D6E-409C-BE32-E72D297353CC}">
              <c16:uniqueId val="{00000004-52E6-4856-8494-A576F65E584A}"/>
            </c:ext>
          </c:extLst>
        </c:ser>
        <c:dLbls>
          <c:showLegendKey val="0"/>
          <c:showVal val="0"/>
          <c:showCatName val="0"/>
          <c:showSerName val="0"/>
          <c:showPercent val="0"/>
          <c:showBubbleSize val="0"/>
        </c:dLbls>
        <c:marker val="1"/>
        <c:smooth val="0"/>
        <c:axId val="559035256"/>
        <c:axId val="559035648"/>
      </c:lineChart>
      <c:dateAx>
        <c:axId val="559035256"/>
        <c:scaling>
          <c:orientation val="minMax"/>
        </c:scaling>
        <c:delete val="0"/>
        <c:axPos val="b"/>
        <c:numFmt formatCode="[$-409]mmm\-yy" sourceLinked="1"/>
        <c:majorTickMark val="out"/>
        <c:minorTickMark val="none"/>
        <c:tickLblPos val="low"/>
        <c:spPr>
          <a:noFill/>
          <a:ln w="9525" cap="flat" cmpd="sng" algn="ctr">
            <a:solidFill>
              <a:sysClr val="window" lastClr="FFFFFF">
                <a:lumMod val="75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crossAx val="559035648"/>
        <c:crosses val="autoZero"/>
        <c:auto val="1"/>
        <c:lblOffset val="100"/>
        <c:baseTimeUnit val="months"/>
      </c:dateAx>
      <c:valAx>
        <c:axId val="55903564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crossAx val="559035256"/>
        <c:crosses val="autoZero"/>
        <c:crossBetween val="between"/>
      </c:valAx>
      <c:spPr>
        <a:noFill/>
        <a:ln>
          <a:solidFill>
            <a:sysClr val="window" lastClr="FFFFFF">
              <a:lumMod val="65000"/>
            </a:sys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65000"/>
        </a:sysClr>
      </a:solidFill>
      <a:round/>
    </a:ln>
    <a:effectLst/>
  </c:spPr>
  <c:txPr>
    <a:bodyPr/>
    <a:lstStyle/>
    <a:p>
      <a:pPr>
        <a:defRPr sz="900" b="0">
          <a:solidFill>
            <a:sysClr val="windowText" lastClr="000000"/>
          </a:solidFill>
          <a:latin typeface="Garamond" panose="02020404030301010803" pitchFamily="18"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983414707570141E-2"/>
          <c:y val="5.2726284214473187E-2"/>
          <c:w val="0.82631990893611418"/>
          <c:h val="0.6283303337082865"/>
        </c:manualLayout>
      </c:layout>
      <c:barChart>
        <c:barDir val="col"/>
        <c:grouping val="clustered"/>
        <c:varyColors val="0"/>
        <c:ser>
          <c:idx val="1"/>
          <c:order val="1"/>
          <c:tx>
            <c:strRef>
              <c:f>Sheet5!$M$7:$M$8</c:f>
              <c:strCache>
                <c:ptCount val="2"/>
                <c:pt idx="0">
                  <c:v>Closed Value (RHS)</c:v>
                </c:pt>
              </c:strCache>
            </c:strRef>
          </c:tx>
          <c:spPr>
            <a:solidFill>
              <a:srgbClr val="C00000"/>
            </a:solidFill>
            <a:ln>
              <a:solidFill>
                <a:srgbClr val="C00000"/>
              </a:solidFill>
            </a:ln>
            <a:effectLst/>
          </c:spPr>
          <c:invertIfNegative val="0"/>
          <c:cat>
            <c:numRef>
              <c:f>Sheet5!$K$9:$K$23</c:f>
              <c:numCache>
                <c:formatCode>[$-409]mmm\-yy</c:formatCode>
                <c:ptCount val="12"/>
                <c:pt idx="0">
                  <c:v>44145</c:v>
                </c:pt>
                <c:pt idx="1">
                  <c:v>44175</c:v>
                </c:pt>
                <c:pt idx="2">
                  <c:v>44206</c:v>
                </c:pt>
                <c:pt idx="3">
                  <c:v>44237</c:v>
                </c:pt>
                <c:pt idx="4">
                  <c:v>44265</c:v>
                </c:pt>
                <c:pt idx="5">
                  <c:v>44296</c:v>
                </c:pt>
                <c:pt idx="6">
                  <c:v>44326</c:v>
                </c:pt>
                <c:pt idx="7">
                  <c:v>44357</c:v>
                </c:pt>
                <c:pt idx="8">
                  <c:v>44387</c:v>
                </c:pt>
                <c:pt idx="9">
                  <c:v>44418</c:v>
                </c:pt>
                <c:pt idx="10">
                  <c:v>44449</c:v>
                </c:pt>
                <c:pt idx="11">
                  <c:v>44479</c:v>
                </c:pt>
              </c:numCache>
            </c:numRef>
          </c:cat>
          <c:val>
            <c:numRef>
              <c:f>Sheet5!$M$9:$M$23</c:f>
              <c:numCache>
                <c:formatCode>#,##0;\-#,##0;0.0</c:formatCode>
                <c:ptCount val="12"/>
                <c:pt idx="0">
                  <c:v>0</c:v>
                </c:pt>
                <c:pt idx="1">
                  <c:v>47.49</c:v>
                </c:pt>
                <c:pt idx="2">
                  <c:v>140.80000000000001</c:v>
                </c:pt>
                <c:pt idx="3">
                  <c:v>211.18</c:v>
                </c:pt>
                <c:pt idx="4">
                  <c:v>440.03000000000003</c:v>
                </c:pt>
                <c:pt idx="5">
                  <c:v>5974.8600000000006</c:v>
                </c:pt>
                <c:pt idx="6">
                  <c:v>1400.44</c:v>
                </c:pt>
                <c:pt idx="7">
                  <c:v>81.680000000000007</c:v>
                </c:pt>
                <c:pt idx="8">
                  <c:v>8267.1</c:v>
                </c:pt>
                <c:pt idx="9" formatCode="General">
                  <c:v>2082</c:v>
                </c:pt>
                <c:pt idx="10" formatCode="General">
                  <c:v>6</c:v>
                </c:pt>
                <c:pt idx="11">
                  <c:v>3316.25</c:v>
                </c:pt>
              </c:numCache>
            </c:numRef>
          </c:val>
          <c:extLst>
            <c:ext xmlns:c16="http://schemas.microsoft.com/office/drawing/2014/chart" uri="{C3380CC4-5D6E-409C-BE32-E72D297353CC}">
              <c16:uniqueId val="{00000000-3D66-4D4C-BB21-E2269741ABB0}"/>
            </c:ext>
          </c:extLst>
        </c:ser>
        <c:dLbls>
          <c:showLegendKey val="0"/>
          <c:showVal val="0"/>
          <c:showCatName val="0"/>
          <c:showSerName val="0"/>
          <c:showPercent val="0"/>
          <c:showBubbleSize val="0"/>
        </c:dLbls>
        <c:gapWidth val="219"/>
        <c:axId val="577297928"/>
        <c:axId val="577295184"/>
      </c:barChart>
      <c:lineChart>
        <c:grouping val="standard"/>
        <c:varyColors val="0"/>
        <c:ser>
          <c:idx val="0"/>
          <c:order val="0"/>
          <c:tx>
            <c:strRef>
              <c:f>Sheet5!$L$7:$L$8</c:f>
              <c:strCache>
                <c:ptCount val="2"/>
                <c:pt idx="0">
                  <c:v> Open Offers (LHS)</c:v>
                </c:pt>
              </c:strCache>
            </c:strRef>
          </c:tx>
          <c:spPr>
            <a:ln w="28575" cap="rnd">
              <a:solidFill>
                <a:srgbClr val="70AD47"/>
              </a:solidFill>
              <a:round/>
            </a:ln>
            <a:effectLst/>
          </c:spPr>
          <c:marker>
            <c:symbol val="none"/>
          </c:marker>
          <c:cat>
            <c:numRef>
              <c:f>Sheet5!$K$9:$K$23</c:f>
              <c:numCache>
                <c:formatCode>[$-409]mmm\-yy</c:formatCode>
                <c:ptCount val="12"/>
                <c:pt idx="0">
                  <c:v>44145</c:v>
                </c:pt>
                <c:pt idx="1">
                  <c:v>44175</c:v>
                </c:pt>
                <c:pt idx="2">
                  <c:v>44206</c:v>
                </c:pt>
                <c:pt idx="3">
                  <c:v>44237</c:v>
                </c:pt>
                <c:pt idx="4">
                  <c:v>44265</c:v>
                </c:pt>
                <c:pt idx="5">
                  <c:v>44296</c:v>
                </c:pt>
                <c:pt idx="6">
                  <c:v>44326</c:v>
                </c:pt>
                <c:pt idx="7">
                  <c:v>44357</c:v>
                </c:pt>
                <c:pt idx="8">
                  <c:v>44387</c:v>
                </c:pt>
                <c:pt idx="9">
                  <c:v>44418</c:v>
                </c:pt>
                <c:pt idx="10">
                  <c:v>44449</c:v>
                </c:pt>
                <c:pt idx="11">
                  <c:v>44479</c:v>
                </c:pt>
              </c:numCache>
            </c:numRef>
          </c:cat>
          <c:val>
            <c:numRef>
              <c:f>Sheet5!$L$9:$L$23</c:f>
              <c:numCache>
                <c:formatCode>General</c:formatCode>
                <c:ptCount val="12"/>
                <c:pt idx="0">
                  <c:v>0</c:v>
                </c:pt>
                <c:pt idx="1">
                  <c:v>4</c:v>
                </c:pt>
                <c:pt idx="2">
                  <c:v>3</c:v>
                </c:pt>
                <c:pt idx="3">
                  <c:v>5</c:v>
                </c:pt>
                <c:pt idx="4">
                  <c:v>3</c:v>
                </c:pt>
                <c:pt idx="5">
                  <c:v>6</c:v>
                </c:pt>
                <c:pt idx="6">
                  <c:v>3</c:v>
                </c:pt>
                <c:pt idx="7">
                  <c:v>6</c:v>
                </c:pt>
                <c:pt idx="8">
                  <c:v>5</c:v>
                </c:pt>
                <c:pt idx="9">
                  <c:v>8</c:v>
                </c:pt>
                <c:pt idx="10">
                  <c:v>3</c:v>
                </c:pt>
                <c:pt idx="11">
                  <c:v>7</c:v>
                </c:pt>
              </c:numCache>
            </c:numRef>
          </c:val>
          <c:smooth val="0"/>
          <c:extLst>
            <c:ext xmlns:c16="http://schemas.microsoft.com/office/drawing/2014/chart" uri="{C3380CC4-5D6E-409C-BE32-E72D297353CC}">
              <c16:uniqueId val="{00000001-3D66-4D4C-BB21-E2269741ABB0}"/>
            </c:ext>
          </c:extLst>
        </c:ser>
        <c:dLbls>
          <c:showLegendKey val="0"/>
          <c:showVal val="0"/>
          <c:showCatName val="0"/>
          <c:showSerName val="0"/>
          <c:showPercent val="0"/>
          <c:showBubbleSize val="0"/>
        </c:dLbls>
        <c:marker val="1"/>
        <c:smooth val="0"/>
        <c:axId val="559032904"/>
        <c:axId val="559033688"/>
      </c:lineChart>
      <c:dateAx>
        <c:axId val="559032904"/>
        <c:scaling>
          <c:orientation val="minMax"/>
          <c:max val="44470"/>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crossAx val="559033688"/>
        <c:crosses val="autoZero"/>
        <c:auto val="1"/>
        <c:lblOffset val="100"/>
        <c:baseTimeUnit val="months"/>
      </c:dateAx>
      <c:valAx>
        <c:axId val="559033688"/>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r>
                  <a:rPr lang="en-US"/>
                  <a:t>Number</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crossAx val="559032904"/>
        <c:crosses val="autoZero"/>
        <c:crossBetween val="between"/>
        <c:majorUnit val="2"/>
      </c:valAx>
      <c:valAx>
        <c:axId val="577295184"/>
        <c:scaling>
          <c:orientation val="minMax"/>
          <c:max val="9000"/>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r>
                  <a:rPr lang="en-GB"/>
                  <a:t>₹</a:t>
                </a:r>
                <a:r>
                  <a:rPr lang="en-IN"/>
                  <a:t> Crore</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title>
        <c:numFmt formatCode="#,##0;\-#,##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crossAx val="577297928"/>
        <c:crosses val="max"/>
        <c:crossBetween val="between"/>
      </c:valAx>
      <c:dateAx>
        <c:axId val="577297928"/>
        <c:scaling>
          <c:orientation val="minMax"/>
        </c:scaling>
        <c:delete val="1"/>
        <c:axPos val="b"/>
        <c:numFmt formatCode="[$-409]mmm\-yy" sourceLinked="1"/>
        <c:majorTickMark val="out"/>
        <c:minorTickMark val="none"/>
        <c:tickLblPos val="nextTo"/>
        <c:crossAx val="577295184"/>
        <c:crosses val="autoZero"/>
        <c:auto val="1"/>
        <c:lblOffset val="100"/>
        <c:baseTimeUnit val="months"/>
        <c:majorUnit val="1"/>
        <c:minorUnit val="1"/>
      </c:dateAx>
      <c:spPr>
        <a:noFill/>
        <a:ln>
          <a:solidFill>
            <a:sysClr val="window" lastClr="FFFFFF">
              <a:lumMod val="65000"/>
            </a:sys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65000"/>
        </a:sysClr>
      </a:solidFill>
      <a:round/>
    </a:ln>
    <a:effectLst/>
  </c:spPr>
  <c:txPr>
    <a:bodyPr/>
    <a:lstStyle/>
    <a:p>
      <a:pPr>
        <a:defRPr sz="900" b="0">
          <a:solidFill>
            <a:sysClr val="windowText" lastClr="000000"/>
          </a:solidFill>
          <a:latin typeface="Garamond" panose="02020404030301010803" pitchFamily="18"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445248133130945E-2"/>
          <c:y val="9.5263813252921672E-2"/>
          <c:w val="0.93910950373373814"/>
          <c:h val="0.57531853972798852"/>
        </c:manualLayout>
      </c:layout>
      <c:lineChart>
        <c:grouping val="standard"/>
        <c:varyColors val="0"/>
        <c:ser>
          <c:idx val="0"/>
          <c:order val="0"/>
          <c:tx>
            <c:strRef>
              <c:f>Index_Chart!$D$1</c:f>
              <c:strCache>
                <c:ptCount val="1"/>
                <c:pt idx="0">
                  <c:v>MCX iCOMDEX</c:v>
                </c:pt>
              </c:strCache>
            </c:strRef>
          </c:tx>
          <c:spPr>
            <a:ln w="28575" cap="rnd">
              <a:solidFill>
                <a:schemeClr val="accent1"/>
              </a:solidFill>
              <a:round/>
            </a:ln>
            <a:effectLst/>
          </c:spPr>
          <c:marker>
            <c:symbol val="none"/>
          </c:marker>
          <c:dPt>
            <c:idx val="22"/>
            <c:marker>
              <c:symbol val="triangle"/>
              <c:size val="8"/>
              <c:spPr>
                <a:solidFill>
                  <a:schemeClr val="accent1"/>
                </a:solidFill>
                <a:ln w="9525">
                  <a:solidFill>
                    <a:schemeClr val="accent1"/>
                  </a:solidFill>
                </a:ln>
                <a:effectLst/>
              </c:spPr>
            </c:marker>
            <c:bubble3D val="0"/>
            <c:extLst>
              <c:ext xmlns:c16="http://schemas.microsoft.com/office/drawing/2014/chart" uri="{C3380CC4-5D6E-409C-BE32-E72D297353CC}">
                <c16:uniqueId val="{00000000-5A84-4E10-A12C-C0CBAE841FEB}"/>
              </c:ext>
            </c:extLst>
          </c:dPt>
          <c:dLbls>
            <c:dLbl>
              <c:idx val="21"/>
              <c:layout>
                <c:manualLayout>
                  <c:x val="0"/>
                  <c:y val="-5.1363097589885422E-2"/>
                </c:manualLayout>
              </c:layout>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84-4E10-A12C-C0CBAE841FEB}"/>
                </c:ext>
              </c:extLst>
            </c:dLbl>
            <c:dLbl>
              <c:idx val="22"/>
              <c:layout>
                <c:manualLayout>
                  <c:x val="-1.8580621942372651E-2"/>
                  <c:y val="-8.0766588104513454E-2"/>
                </c:manualLayout>
              </c:layout>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84-4E10-A12C-C0CBAE841F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Index_Chart!$A$2:$A$24</c:f>
              <c:numCache>
                <c:formatCode>d\-mmm\-yy</c:formatCode>
                <c:ptCount val="23"/>
                <c:pt idx="0">
                  <c:v>44469</c:v>
                </c:pt>
                <c:pt idx="1">
                  <c:v>44470</c:v>
                </c:pt>
                <c:pt idx="2">
                  <c:v>44473</c:v>
                </c:pt>
                <c:pt idx="3">
                  <c:v>44474</c:v>
                </c:pt>
                <c:pt idx="4">
                  <c:v>44475</c:v>
                </c:pt>
                <c:pt idx="5">
                  <c:v>44476</c:v>
                </c:pt>
                <c:pt idx="6">
                  <c:v>44477</c:v>
                </c:pt>
                <c:pt idx="7">
                  <c:v>44480</c:v>
                </c:pt>
                <c:pt idx="8">
                  <c:v>44481</c:v>
                </c:pt>
                <c:pt idx="9">
                  <c:v>44482</c:v>
                </c:pt>
                <c:pt idx="10">
                  <c:v>44483</c:v>
                </c:pt>
                <c:pt idx="11">
                  <c:v>44484</c:v>
                </c:pt>
                <c:pt idx="12">
                  <c:v>44487</c:v>
                </c:pt>
                <c:pt idx="13">
                  <c:v>44488</c:v>
                </c:pt>
                <c:pt idx="14">
                  <c:v>44489</c:v>
                </c:pt>
                <c:pt idx="15">
                  <c:v>44490</c:v>
                </c:pt>
                <c:pt idx="16">
                  <c:v>44491</c:v>
                </c:pt>
                <c:pt idx="17">
                  <c:v>44494</c:v>
                </c:pt>
                <c:pt idx="18">
                  <c:v>44495</c:v>
                </c:pt>
                <c:pt idx="19">
                  <c:v>44496</c:v>
                </c:pt>
                <c:pt idx="20">
                  <c:v>44497</c:v>
                </c:pt>
                <c:pt idx="21">
                  <c:v>44498</c:v>
                </c:pt>
              </c:numCache>
            </c:numRef>
          </c:cat>
          <c:val>
            <c:numRef>
              <c:f>Index_Chart!$D$2:$D$24</c:f>
              <c:numCache>
                <c:formatCode>_(* #,##0.00_);_(* \(#,##0.00\);_(* "-"??_);_(@_)</c:formatCode>
                <c:ptCount val="23"/>
                <c:pt idx="0">
                  <c:v>100</c:v>
                </c:pt>
                <c:pt idx="1">
                  <c:v>100.37089528011758</c:v>
                </c:pt>
                <c:pt idx="2">
                  <c:v>101.8156414830226</c:v>
                </c:pt>
                <c:pt idx="3">
                  <c:v>102.60988099934025</c:v>
                </c:pt>
                <c:pt idx="4">
                  <c:v>102.10179810031802</c:v>
                </c:pt>
                <c:pt idx="5">
                  <c:v>102.4464252676555</c:v>
                </c:pt>
                <c:pt idx="6">
                  <c:v>103.64734054993735</c:v>
                </c:pt>
                <c:pt idx="7">
                  <c:v>104.13526419961673</c:v>
                </c:pt>
                <c:pt idx="8">
                  <c:v>104.15760518590146</c:v>
                </c:pt>
                <c:pt idx="9">
                  <c:v>105.22639447898378</c:v>
                </c:pt>
                <c:pt idx="10">
                  <c:v>106.15014190017071</c:v>
                </c:pt>
                <c:pt idx="11">
                  <c:v>106.86941693516577</c:v>
                </c:pt>
                <c:pt idx="12">
                  <c:v>106.53884015373393</c:v>
                </c:pt>
                <c:pt idx="13">
                  <c:v>106.68588922361582</c:v>
                </c:pt>
                <c:pt idx="14">
                  <c:v>107.96534703580492</c:v>
                </c:pt>
                <c:pt idx="15">
                  <c:v>106.01993583948001</c:v>
                </c:pt>
                <c:pt idx="16">
                  <c:v>106.810597307213</c:v>
                </c:pt>
                <c:pt idx="17">
                  <c:v>108.10166195993284</c:v>
                </c:pt>
                <c:pt idx="18">
                  <c:v>107.48920476561163</c:v>
                </c:pt>
                <c:pt idx="19">
                  <c:v>106.72149517050708</c:v>
                </c:pt>
                <c:pt idx="20">
                  <c:v>106.50593956065053</c:v>
                </c:pt>
                <c:pt idx="21">
                  <c:v>106.26882838980831</c:v>
                </c:pt>
              </c:numCache>
            </c:numRef>
          </c:val>
          <c:smooth val="0"/>
          <c:extLst>
            <c:ext xmlns:c16="http://schemas.microsoft.com/office/drawing/2014/chart" uri="{C3380CC4-5D6E-409C-BE32-E72D297353CC}">
              <c16:uniqueId val="{00000002-5A84-4E10-A12C-C0CBAE841FEB}"/>
            </c:ext>
          </c:extLst>
        </c:ser>
        <c:ser>
          <c:idx val="1"/>
          <c:order val="1"/>
          <c:tx>
            <c:strRef>
              <c:f>Index_Chart!$E$1</c:f>
              <c:strCache>
                <c:ptCount val="1"/>
                <c:pt idx="0">
                  <c:v>NKRISHI</c:v>
                </c:pt>
              </c:strCache>
            </c:strRef>
          </c:tx>
          <c:spPr>
            <a:ln w="28575" cap="rnd">
              <a:solidFill>
                <a:schemeClr val="accent2"/>
              </a:solidFill>
              <a:round/>
            </a:ln>
            <a:effectLst/>
          </c:spPr>
          <c:marker>
            <c:symbol val="none"/>
          </c:marker>
          <c:dPt>
            <c:idx val="22"/>
            <c:marker>
              <c:symbol val="square"/>
              <c:size val="8"/>
              <c:spPr>
                <a:solidFill>
                  <a:srgbClr val="C00000"/>
                </a:solidFill>
                <a:ln w="9525">
                  <a:solidFill>
                    <a:schemeClr val="accent2"/>
                  </a:solidFill>
                </a:ln>
                <a:effectLst/>
              </c:spPr>
            </c:marker>
            <c:bubble3D val="0"/>
            <c:extLst>
              <c:ext xmlns:c16="http://schemas.microsoft.com/office/drawing/2014/chart" uri="{C3380CC4-5D6E-409C-BE32-E72D297353CC}">
                <c16:uniqueId val="{00000003-5A84-4E10-A12C-C0CBAE841FEB}"/>
              </c:ext>
            </c:extLst>
          </c:dPt>
          <c:dLbls>
            <c:dLbl>
              <c:idx val="21"/>
              <c:layout>
                <c:manualLayout>
                  <c:x val="0"/>
                  <c:y val="-4.74120900829712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A84-4E10-A12C-C0CBAE841FEB}"/>
                </c:ext>
              </c:extLst>
            </c:dLbl>
            <c:dLbl>
              <c:idx val="22"/>
              <c:layout>
                <c:manualLayout>
                  <c:x val="-1.7767837869615318E-3"/>
                  <c:y val="-4.8045204970135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84-4E10-A12C-C0CBAE841FE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Index_Chart!$A$2:$A$24</c:f>
              <c:numCache>
                <c:formatCode>d\-mmm\-yy</c:formatCode>
                <c:ptCount val="23"/>
                <c:pt idx="0">
                  <c:v>44469</c:v>
                </c:pt>
                <c:pt idx="1">
                  <c:v>44470</c:v>
                </c:pt>
                <c:pt idx="2">
                  <c:v>44473</c:v>
                </c:pt>
                <c:pt idx="3">
                  <c:v>44474</c:v>
                </c:pt>
                <c:pt idx="4">
                  <c:v>44475</c:v>
                </c:pt>
                <c:pt idx="5">
                  <c:v>44476</c:v>
                </c:pt>
                <c:pt idx="6">
                  <c:v>44477</c:v>
                </c:pt>
                <c:pt idx="7">
                  <c:v>44480</c:v>
                </c:pt>
                <c:pt idx="8">
                  <c:v>44481</c:v>
                </c:pt>
                <c:pt idx="9">
                  <c:v>44482</c:v>
                </c:pt>
                <c:pt idx="10">
                  <c:v>44483</c:v>
                </c:pt>
                <c:pt idx="11">
                  <c:v>44484</c:v>
                </c:pt>
                <c:pt idx="12">
                  <c:v>44487</c:v>
                </c:pt>
                <c:pt idx="13">
                  <c:v>44488</c:v>
                </c:pt>
                <c:pt idx="14">
                  <c:v>44489</c:v>
                </c:pt>
                <c:pt idx="15">
                  <c:v>44490</c:v>
                </c:pt>
                <c:pt idx="16">
                  <c:v>44491</c:v>
                </c:pt>
                <c:pt idx="17">
                  <c:v>44494</c:v>
                </c:pt>
                <c:pt idx="18">
                  <c:v>44495</c:v>
                </c:pt>
                <c:pt idx="19">
                  <c:v>44496</c:v>
                </c:pt>
                <c:pt idx="20">
                  <c:v>44497</c:v>
                </c:pt>
                <c:pt idx="21">
                  <c:v>44498</c:v>
                </c:pt>
              </c:numCache>
            </c:numRef>
          </c:cat>
          <c:val>
            <c:numRef>
              <c:f>Index_Chart!$E$2:$E$24</c:f>
              <c:numCache>
                <c:formatCode>_(* #,##0.00_);_(* \(#,##0.00\);_(* "-"??_);_(@_)</c:formatCode>
                <c:ptCount val="23"/>
                <c:pt idx="0">
                  <c:v>100</c:v>
                </c:pt>
                <c:pt idx="1">
                  <c:v>98.942179512999772</c:v>
                </c:pt>
                <c:pt idx="2">
                  <c:v>98.67173039483653</c:v>
                </c:pt>
                <c:pt idx="3">
                  <c:v>99.864775440918379</c:v>
                </c:pt>
                <c:pt idx="4">
                  <c:v>101.12303516797576</c:v>
                </c:pt>
                <c:pt idx="5">
                  <c:v>100.02685310393109</c:v>
                </c:pt>
                <c:pt idx="6">
                  <c:v>99.953966107546663</c:v>
                </c:pt>
                <c:pt idx="7">
                  <c:v>99.432248659742385</c:v>
                </c:pt>
                <c:pt idx="8">
                  <c:v>99.524316444649031</c:v>
                </c:pt>
                <c:pt idx="9">
                  <c:v>98.068494595812837</c:v>
                </c:pt>
                <c:pt idx="10">
                  <c:v>97.981222008036752</c:v>
                </c:pt>
                <c:pt idx="11">
                  <c:v>97.981222008036752</c:v>
                </c:pt>
                <c:pt idx="12">
                  <c:v>100.46033892453319</c:v>
                </c:pt>
                <c:pt idx="13">
                  <c:v>99.534865878336262</c:v>
                </c:pt>
                <c:pt idx="14">
                  <c:v>99.950129949842221</c:v>
                </c:pt>
                <c:pt idx="15">
                  <c:v>100.29634318266822</c:v>
                </c:pt>
                <c:pt idx="16">
                  <c:v>100.78737136883696</c:v>
                </c:pt>
                <c:pt idx="17">
                  <c:v>100.78737136883696</c:v>
                </c:pt>
                <c:pt idx="18">
                  <c:v>100.92259592791856</c:v>
                </c:pt>
                <c:pt idx="19">
                  <c:v>102.7888866511302</c:v>
                </c:pt>
                <c:pt idx="20">
                  <c:v>102.29402230725702</c:v>
                </c:pt>
                <c:pt idx="21">
                  <c:v>102.54145447919362</c:v>
                </c:pt>
              </c:numCache>
            </c:numRef>
          </c:val>
          <c:smooth val="0"/>
          <c:extLst>
            <c:ext xmlns:c16="http://schemas.microsoft.com/office/drawing/2014/chart" uri="{C3380CC4-5D6E-409C-BE32-E72D297353CC}">
              <c16:uniqueId val="{00000005-5A84-4E10-A12C-C0CBAE841FEB}"/>
            </c:ext>
          </c:extLst>
        </c:ser>
        <c:dLbls>
          <c:showLegendKey val="0"/>
          <c:showVal val="0"/>
          <c:showCatName val="0"/>
          <c:showSerName val="0"/>
          <c:showPercent val="0"/>
          <c:showBubbleSize val="0"/>
        </c:dLbls>
        <c:smooth val="0"/>
        <c:axId val="577295968"/>
        <c:axId val="577294400"/>
      </c:lineChart>
      <c:dateAx>
        <c:axId val="577295968"/>
        <c:scaling>
          <c:orientation val="minMax"/>
        </c:scaling>
        <c:delete val="0"/>
        <c:axPos val="b"/>
        <c:numFmt formatCode="d\-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crossAx val="577294400"/>
        <c:crosses val="autoZero"/>
        <c:auto val="1"/>
        <c:lblOffset val="100"/>
        <c:baseTimeUnit val="days"/>
        <c:majorUnit val="2"/>
        <c:majorTimeUnit val="days"/>
      </c:dateAx>
      <c:valAx>
        <c:axId val="577294400"/>
        <c:scaling>
          <c:orientation val="minMax"/>
          <c:max val="112"/>
          <c:min val="96"/>
        </c:scaling>
        <c:delete val="0"/>
        <c:axPos val="l"/>
        <c:majorGridlines>
          <c:spPr>
            <a:ln w="9525" cap="flat" cmpd="sng" algn="ctr">
              <a:solidFill>
                <a:schemeClr val="tx2">
                  <a:lumMod val="20000"/>
                  <a:lumOff val="80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crossAx val="577295968"/>
        <c:crosses val="autoZero"/>
        <c:crossBetween val="between"/>
        <c:majorUnit val="4"/>
      </c:valAx>
      <c:spPr>
        <a:noFill/>
        <a:ln>
          <a:noFill/>
        </a:ln>
        <a:effectLst/>
      </c:spPr>
    </c:plotArea>
    <c:legend>
      <c:legendPos val="b"/>
      <c:layout>
        <c:manualLayout>
          <c:xMode val="edge"/>
          <c:yMode val="edge"/>
          <c:x val="4.9999945516735624E-2"/>
          <c:y val="0.91340808018773056"/>
          <c:w val="0.89999989103347122"/>
          <c:h val="6.312252042869537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65000"/>
        </a:sysClr>
      </a:solidFill>
      <a:round/>
    </a:ln>
    <a:effectLst/>
  </c:spPr>
  <c:txPr>
    <a:bodyPr/>
    <a:lstStyle/>
    <a:p>
      <a:pPr>
        <a:defRPr sz="900">
          <a:solidFill>
            <a:sysClr val="windowText" lastClr="000000"/>
          </a:solidFill>
          <a:latin typeface="Garamond" panose="02020404030301010803" pitchFamily="18"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649264501101346E-2"/>
          <c:y val="2.3414388003439247E-2"/>
          <c:w val="0.82339249394468783"/>
          <c:h val="0.71480391704760649"/>
        </c:manualLayout>
      </c:layout>
      <c:barChart>
        <c:barDir val="col"/>
        <c:grouping val="clustered"/>
        <c:varyColors val="0"/>
        <c:ser>
          <c:idx val="0"/>
          <c:order val="0"/>
          <c:tx>
            <c:strRef>
              <c:f>Charts!$B$2</c:f>
              <c:strCache>
                <c:ptCount val="1"/>
                <c:pt idx="0">
                  <c:v>MCX (LHS)</c:v>
                </c:pt>
              </c:strCache>
            </c:strRef>
          </c:tx>
          <c:spPr>
            <a:solidFill>
              <a:srgbClr val="0070C0"/>
            </a:solidFill>
            <a:ln>
              <a:solidFill>
                <a:sysClr val="windowText" lastClr="000000"/>
              </a:solidFill>
            </a:ln>
            <a:effectLst/>
          </c:spPr>
          <c:invertIfNegative val="0"/>
          <c:cat>
            <c:numRef>
              <c:f>Charts!$A$10:$A$21</c:f>
              <c:numCache>
                <c:formatCode>[$-409]mmm\-yy;@</c:formatCode>
                <c:ptCount val="12"/>
                <c:pt idx="0">
                  <c:v>44136</c:v>
                </c:pt>
                <c:pt idx="1">
                  <c:v>44166</c:v>
                </c:pt>
                <c:pt idx="2">
                  <c:v>44197</c:v>
                </c:pt>
                <c:pt idx="3">
                  <c:v>44228</c:v>
                </c:pt>
                <c:pt idx="4">
                  <c:v>44257</c:v>
                </c:pt>
                <c:pt idx="5">
                  <c:v>44287</c:v>
                </c:pt>
                <c:pt idx="6">
                  <c:v>44317</c:v>
                </c:pt>
                <c:pt idx="7">
                  <c:v>44349</c:v>
                </c:pt>
                <c:pt idx="8">
                  <c:v>44408</c:v>
                </c:pt>
                <c:pt idx="9">
                  <c:v>44439</c:v>
                </c:pt>
                <c:pt idx="10">
                  <c:v>44469</c:v>
                </c:pt>
                <c:pt idx="11">
                  <c:v>44500</c:v>
                </c:pt>
              </c:numCache>
            </c:numRef>
          </c:cat>
          <c:val>
            <c:numRef>
              <c:f>Charts!$B$10:$B$21</c:f>
              <c:numCache>
                <c:formatCode>#,##0</c:formatCode>
                <c:ptCount val="12"/>
                <c:pt idx="0">
                  <c:v>10138.218927400003</c:v>
                </c:pt>
                <c:pt idx="1">
                  <c:v>10747.937155000003</c:v>
                </c:pt>
                <c:pt idx="2">
                  <c:v>12653.105590599998</c:v>
                </c:pt>
                <c:pt idx="3">
                  <c:v>12289.256776399998</c:v>
                </c:pt>
                <c:pt idx="4">
                  <c:v>13909.001715000002</c:v>
                </c:pt>
                <c:pt idx="5">
                  <c:v>12916.562410199997</c:v>
                </c:pt>
                <c:pt idx="6">
                  <c:v>11052.727486600001</c:v>
                </c:pt>
                <c:pt idx="7">
                  <c:v>14355.171816799999</c:v>
                </c:pt>
                <c:pt idx="8">
                  <c:v>11349.876245600002</c:v>
                </c:pt>
                <c:pt idx="9">
                  <c:v>8532.1421754000003</c:v>
                </c:pt>
                <c:pt idx="10">
                  <c:v>7052.3174545999973</c:v>
                </c:pt>
                <c:pt idx="11">
                  <c:v>11519.986260800002</c:v>
                </c:pt>
              </c:numCache>
            </c:numRef>
          </c:val>
          <c:extLst>
            <c:ext xmlns:c16="http://schemas.microsoft.com/office/drawing/2014/chart" uri="{C3380CC4-5D6E-409C-BE32-E72D297353CC}">
              <c16:uniqueId val="{00000000-E587-49E1-ACA8-63D284425CB8}"/>
            </c:ext>
          </c:extLst>
        </c:ser>
        <c:ser>
          <c:idx val="1"/>
          <c:order val="1"/>
          <c:tx>
            <c:strRef>
              <c:f>Charts!$C$2</c:f>
              <c:strCache>
                <c:ptCount val="1"/>
                <c:pt idx="0">
                  <c:v>NCDEX (LHS)</c:v>
                </c:pt>
              </c:strCache>
            </c:strRef>
          </c:tx>
          <c:spPr>
            <a:solidFill>
              <a:srgbClr val="00B050"/>
            </a:solidFill>
            <a:ln>
              <a:solidFill>
                <a:schemeClr val="accent3">
                  <a:lumMod val="75000"/>
                </a:schemeClr>
              </a:solidFill>
            </a:ln>
            <a:effectLst/>
          </c:spPr>
          <c:invertIfNegative val="0"/>
          <c:cat>
            <c:numRef>
              <c:f>Charts!$A$10:$A$21</c:f>
              <c:numCache>
                <c:formatCode>[$-409]mmm\-yy;@</c:formatCode>
                <c:ptCount val="12"/>
                <c:pt idx="0">
                  <c:v>44136</c:v>
                </c:pt>
                <c:pt idx="1">
                  <c:v>44166</c:v>
                </c:pt>
                <c:pt idx="2">
                  <c:v>44197</c:v>
                </c:pt>
                <c:pt idx="3">
                  <c:v>44228</c:v>
                </c:pt>
                <c:pt idx="4">
                  <c:v>44257</c:v>
                </c:pt>
                <c:pt idx="5">
                  <c:v>44287</c:v>
                </c:pt>
                <c:pt idx="6">
                  <c:v>44317</c:v>
                </c:pt>
                <c:pt idx="7">
                  <c:v>44349</c:v>
                </c:pt>
                <c:pt idx="8">
                  <c:v>44408</c:v>
                </c:pt>
                <c:pt idx="9">
                  <c:v>44439</c:v>
                </c:pt>
                <c:pt idx="10">
                  <c:v>44469</c:v>
                </c:pt>
                <c:pt idx="11">
                  <c:v>44500</c:v>
                </c:pt>
              </c:numCache>
            </c:numRef>
          </c:cat>
          <c:val>
            <c:numRef>
              <c:f>Charts!$C$10:$C$21</c:f>
              <c:numCache>
                <c:formatCode>#,##0</c:formatCode>
                <c:ptCount val="12"/>
                <c:pt idx="0">
                  <c:v>31297.897227500001</c:v>
                </c:pt>
                <c:pt idx="1">
                  <c:v>34267.000512499995</c:v>
                </c:pt>
                <c:pt idx="2">
                  <c:v>32707.128794999986</c:v>
                </c:pt>
                <c:pt idx="3">
                  <c:v>30761.034117499996</c:v>
                </c:pt>
                <c:pt idx="4">
                  <c:v>43894.883412500007</c:v>
                </c:pt>
                <c:pt idx="5">
                  <c:v>55219.791669999999</c:v>
                </c:pt>
                <c:pt idx="6">
                  <c:v>42907.123429999992</c:v>
                </c:pt>
                <c:pt idx="7">
                  <c:v>42768.39502000004</c:v>
                </c:pt>
                <c:pt idx="8">
                  <c:v>45161.663549999997</c:v>
                </c:pt>
                <c:pt idx="9">
                  <c:v>51318.252049999966</c:v>
                </c:pt>
                <c:pt idx="10">
                  <c:v>39392.912937499997</c:v>
                </c:pt>
                <c:pt idx="11">
                  <c:v>39724.659449999999</c:v>
                </c:pt>
              </c:numCache>
            </c:numRef>
          </c:val>
          <c:extLst>
            <c:ext xmlns:c16="http://schemas.microsoft.com/office/drawing/2014/chart" uri="{C3380CC4-5D6E-409C-BE32-E72D297353CC}">
              <c16:uniqueId val="{00000001-E587-49E1-ACA8-63D284425CB8}"/>
            </c:ext>
          </c:extLst>
        </c:ser>
        <c:dLbls>
          <c:showLegendKey val="0"/>
          <c:showVal val="0"/>
          <c:showCatName val="0"/>
          <c:showSerName val="0"/>
          <c:showPercent val="0"/>
          <c:showBubbleSize val="0"/>
        </c:dLbls>
        <c:gapWidth val="219"/>
        <c:axId val="577296752"/>
        <c:axId val="577297536"/>
      </c:barChart>
      <c:lineChart>
        <c:grouping val="standard"/>
        <c:varyColors val="0"/>
        <c:ser>
          <c:idx val="2"/>
          <c:order val="2"/>
          <c:tx>
            <c:strRef>
              <c:f>Charts!$D$2</c:f>
              <c:strCache>
                <c:ptCount val="1"/>
                <c:pt idx="0">
                  <c:v>ICEX (RHS)</c:v>
                </c:pt>
              </c:strCache>
            </c:strRef>
          </c:tx>
          <c:spPr>
            <a:ln w="28575" cap="rnd">
              <a:solidFill>
                <a:schemeClr val="accent6"/>
              </a:solidFill>
              <a:round/>
            </a:ln>
            <a:effectLst/>
          </c:spPr>
          <c:marker>
            <c:symbol val="x"/>
            <c:size val="10"/>
            <c:spPr>
              <a:noFill/>
              <a:ln w="9525">
                <a:solidFill>
                  <a:srgbClr val="C00000"/>
                </a:solidFill>
              </a:ln>
              <a:effectLst/>
            </c:spPr>
          </c:marker>
          <c:cat>
            <c:numRef>
              <c:f>Charts!$A$10:$A$21</c:f>
              <c:numCache>
                <c:formatCode>[$-409]mmm\-yy;@</c:formatCode>
                <c:ptCount val="12"/>
                <c:pt idx="0">
                  <c:v>44136</c:v>
                </c:pt>
                <c:pt idx="1">
                  <c:v>44166</c:v>
                </c:pt>
                <c:pt idx="2">
                  <c:v>44197</c:v>
                </c:pt>
                <c:pt idx="3">
                  <c:v>44228</c:v>
                </c:pt>
                <c:pt idx="4">
                  <c:v>44257</c:v>
                </c:pt>
                <c:pt idx="5">
                  <c:v>44287</c:v>
                </c:pt>
                <c:pt idx="6">
                  <c:v>44317</c:v>
                </c:pt>
                <c:pt idx="7">
                  <c:v>44349</c:v>
                </c:pt>
                <c:pt idx="8">
                  <c:v>44408</c:v>
                </c:pt>
                <c:pt idx="9">
                  <c:v>44439</c:v>
                </c:pt>
                <c:pt idx="10">
                  <c:v>44469</c:v>
                </c:pt>
                <c:pt idx="11">
                  <c:v>44500</c:v>
                </c:pt>
              </c:numCache>
            </c:numRef>
          </c:cat>
          <c:val>
            <c:numRef>
              <c:f>Charts!$D$10:$D$21</c:f>
              <c:numCache>
                <c:formatCode>#,##0</c:formatCode>
                <c:ptCount val="12"/>
                <c:pt idx="0">
                  <c:v>0</c:v>
                </c:pt>
                <c:pt idx="1">
                  <c:v>0.89</c:v>
                </c:pt>
                <c:pt idx="2">
                  <c:v>2.819</c:v>
                </c:pt>
                <c:pt idx="3">
                  <c:v>2.5779999999999998</c:v>
                </c:pt>
                <c:pt idx="4">
                  <c:v>3.4738000000000002</c:v>
                </c:pt>
                <c:pt idx="5">
                  <c:v>2.9133100000000001</c:v>
                </c:pt>
                <c:pt idx="6">
                  <c:v>3.66</c:v>
                </c:pt>
                <c:pt idx="7">
                  <c:v>3.86</c:v>
                </c:pt>
                <c:pt idx="8">
                  <c:v>3.59</c:v>
                </c:pt>
                <c:pt idx="9">
                  <c:v>2.6280000000000001</c:v>
                </c:pt>
                <c:pt idx="10">
                  <c:v>2.08724</c:v>
                </c:pt>
                <c:pt idx="11">
                  <c:v>1.8464299999999998</c:v>
                </c:pt>
              </c:numCache>
            </c:numRef>
          </c:val>
          <c:smooth val="0"/>
          <c:extLst>
            <c:ext xmlns:c16="http://schemas.microsoft.com/office/drawing/2014/chart" uri="{C3380CC4-5D6E-409C-BE32-E72D297353CC}">
              <c16:uniqueId val="{00000002-E587-49E1-ACA8-63D284425CB8}"/>
            </c:ext>
          </c:extLst>
        </c:ser>
        <c:ser>
          <c:idx val="3"/>
          <c:order val="3"/>
          <c:tx>
            <c:strRef>
              <c:f>Charts!$E$2</c:f>
              <c:strCache>
                <c:ptCount val="1"/>
                <c:pt idx="0">
                  <c:v>BSE (RHS)</c:v>
                </c:pt>
              </c:strCache>
            </c:strRef>
          </c:tx>
          <c:spPr>
            <a:ln w="28575" cap="rnd">
              <a:solidFill>
                <a:schemeClr val="tx1"/>
              </a:solidFill>
              <a:round/>
            </a:ln>
            <a:effectLst/>
          </c:spPr>
          <c:marker>
            <c:symbol val="triangle"/>
            <c:size val="9"/>
            <c:spPr>
              <a:solidFill>
                <a:schemeClr val="accent4"/>
              </a:solidFill>
              <a:ln w="9525">
                <a:solidFill>
                  <a:schemeClr val="tx1"/>
                </a:solidFill>
              </a:ln>
              <a:effectLst/>
            </c:spPr>
          </c:marker>
          <c:cat>
            <c:numRef>
              <c:f>Charts!$A$10:$A$21</c:f>
              <c:numCache>
                <c:formatCode>[$-409]mmm\-yy;@</c:formatCode>
                <c:ptCount val="12"/>
                <c:pt idx="0">
                  <c:v>44136</c:v>
                </c:pt>
                <c:pt idx="1">
                  <c:v>44166</c:v>
                </c:pt>
                <c:pt idx="2">
                  <c:v>44197</c:v>
                </c:pt>
                <c:pt idx="3">
                  <c:v>44228</c:v>
                </c:pt>
                <c:pt idx="4">
                  <c:v>44257</c:v>
                </c:pt>
                <c:pt idx="5">
                  <c:v>44287</c:v>
                </c:pt>
                <c:pt idx="6">
                  <c:v>44317</c:v>
                </c:pt>
                <c:pt idx="7">
                  <c:v>44349</c:v>
                </c:pt>
                <c:pt idx="8">
                  <c:v>44408</c:v>
                </c:pt>
                <c:pt idx="9">
                  <c:v>44439</c:v>
                </c:pt>
                <c:pt idx="10">
                  <c:v>44469</c:v>
                </c:pt>
                <c:pt idx="11">
                  <c:v>44500</c:v>
                </c:pt>
              </c:numCache>
            </c:numRef>
          </c:cat>
          <c:val>
            <c:numRef>
              <c:f>Charts!$E$10:$E$21</c:f>
              <c:numCache>
                <c:formatCode>#,##0</c:formatCode>
                <c:ptCount val="12"/>
                <c:pt idx="0">
                  <c:v>165.86</c:v>
                </c:pt>
                <c:pt idx="1">
                  <c:v>110.01</c:v>
                </c:pt>
                <c:pt idx="2">
                  <c:v>86.66</c:v>
                </c:pt>
                <c:pt idx="3">
                  <c:v>83.13</c:v>
                </c:pt>
                <c:pt idx="4">
                  <c:v>115.46</c:v>
                </c:pt>
                <c:pt idx="5">
                  <c:v>174.66</c:v>
                </c:pt>
                <c:pt idx="6">
                  <c:v>184.73</c:v>
                </c:pt>
                <c:pt idx="7">
                  <c:v>227.91</c:v>
                </c:pt>
                <c:pt idx="8">
                  <c:v>238.75</c:v>
                </c:pt>
                <c:pt idx="9">
                  <c:v>245.83</c:v>
                </c:pt>
                <c:pt idx="10">
                  <c:v>246.65</c:v>
                </c:pt>
                <c:pt idx="11">
                  <c:v>305.59800000000001</c:v>
                </c:pt>
              </c:numCache>
            </c:numRef>
          </c:val>
          <c:smooth val="0"/>
          <c:extLst>
            <c:ext xmlns:c16="http://schemas.microsoft.com/office/drawing/2014/chart" uri="{C3380CC4-5D6E-409C-BE32-E72D297353CC}">
              <c16:uniqueId val="{00000003-E587-49E1-ACA8-63D284425CB8}"/>
            </c:ext>
          </c:extLst>
        </c:ser>
        <c:ser>
          <c:idx val="4"/>
          <c:order val="4"/>
          <c:tx>
            <c:strRef>
              <c:f>Charts!$F$2</c:f>
              <c:strCache>
                <c:ptCount val="1"/>
                <c:pt idx="0">
                  <c:v>NSE (RHS)</c:v>
                </c:pt>
              </c:strCache>
            </c:strRef>
          </c:tx>
          <c:spPr>
            <a:ln w="28575" cap="rnd">
              <a:solidFill>
                <a:srgbClr val="C00000"/>
              </a:solidFill>
              <a:round/>
            </a:ln>
            <a:effectLst/>
          </c:spPr>
          <c:marker>
            <c:symbol val="diamond"/>
            <c:size val="9"/>
            <c:spPr>
              <a:solidFill>
                <a:srgbClr val="C00000"/>
              </a:solidFill>
              <a:ln w="9525">
                <a:solidFill>
                  <a:srgbClr val="C00000"/>
                </a:solidFill>
              </a:ln>
              <a:effectLst/>
            </c:spPr>
          </c:marker>
          <c:cat>
            <c:numRef>
              <c:f>Charts!$A$10:$A$21</c:f>
              <c:numCache>
                <c:formatCode>[$-409]mmm\-yy;@</c:formatCode>
                <c:ptCount val="12"/>
                <c:pt idx="0">
                  <c:v>44136</c:v>
                </c:pt>
                <c:pt idx="1">
                  <c:v>44166</c:v>
                </c:pt>
                <c:pt idx="2">
                  <c:v>44197</c:v>
                </c:pt>
                <c:pt idx="3">
                  <c:v>44228</c:v>
                </c:pt>
                <c:pt idx="4">
                  <c:v>44257</c:v>
                </c:pt>
                <c:pt idx="5">
                  <c:v>44287</c:v>
                </c:pt>
                <c:pt idx="6">
                  <c:v>44317</c:v>
                </c:pt>
                <c:pt idx="7">
                  <c:v>44349</c:v>
                </c:pt>
                <c:pt idx="8">
                  <c:v>44408</c:v>
                </c:pt>
                <c:pt idx="9">
                  <c:v>44439</c:v>
                </c:pt>
                <c:pt idx="10">
                  <c:v>44469</c:v>
                </c:pt>
                <c:pt idx="11">
                  <c:v>44500</c:v>
                </c:pt>
              </c:numCache>
            </c:numRef>
          </c:cat>
          <c:val>
            <c:numRef>
              <c:f>Charts!$F$10:$F$21</c:f>
              <c:numCache>
                <c:formatCode>#,##0</c:formatCode>
                <c:ptCount val="12"/>
                <c:pt idx="1">
                  <c:v>1433.9238400000006</c:v>
                </c:pt>
                <c:pt idx="2">
                  <c:v>826.19159999999999</c:v>
                </c:pt>
                <c:pt idx="3">
                  <c:v>920.27394000000004</c:v>
                </c:pt>
                <c:pt idx="4">
                  <c:v>1672.8383199999998</c:v>
                </c:pt>
                <c:pt idx="5">
                  <c:v>592.6947399999998</c:v>
                </c:pt>
                <c:pt idx="6">
                  <c:v>307.17788999999988</c:v>
                </c:pt>
                <c:pt idx="7">
                  <c:v>415</c:v>
                </c:pt>
                <c:pt idx="8">
                  <c:v>671.72671000000003</c:v>
                </c:pt>
                <c:pt idx="9">
                  <c:v>252.94460000000001</c:v>
                </c:pt>
                <c:pt idx="10">
                  <c:v>0</c:v>
                </c:pt>
                <c:pt idx="11">
                  <c:v>0</c:v>
                </c:pt>
              </c:numCache>
            </c:numRef>
          </c:val>
          <c:smooth val="0"/>
          <c:extLst>
            <c:ext xmlns:c16="http://schemas.microsoft.com/office/drawing/2014/chart" uri="{C3380CC4-5D6E-409C-BE32-E72D297353CC}">
              <c16:uniqueId val="{00000004-E587-49E1-ACA8-63D284425CB8}"/>
            </c:ext>
          </c:extLst>
        </c:ser>
        <c:dLbls>
          <c:showLegendKey val="0"/>
          <c:showVal val="0"/>
          <c:showCatName val="0"/>
          <c:showSerName val="0"/>
          <c:showPercent val="0"/>
          <c:showBubbleSize val="0"/>
        </c:dLbls>
        <c:marker val="1"/>
        <c:smooth val="0"/>
        <c:axId val="576613512"/>
        <c:axId val="577294792"/>
      </c:lineChart>
      <c:dateAx>
        <c:axId val="577296752"/>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1680000" spcFirstLastPara="1" vertOverflow="ellipsis"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crossAx val="577297536"/>
        <c:crosses val="autoZero"/>
        <c:auto val="1"/>
        <c:lblOffset val="100"/>
        <c:baseTimeUnit val="months"/>
        <c:majorUnit val="1"/>
        <c:majorTimeUnit val="months"/>
      </c:dateAx>
      <c:valAx>
        <c:axId val="577297536"/>
        <c:scaling>
          <c:orientation val="minMax"/>
          <c:max val="6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r>
                  <a:rPr lang="en-US"/>
                  <a:t>₹</a:t>
                </a:r>
                <a:r>
                  <a:rPr lang="en-IN"/>
                  <a:t> Thousand crore</a:t>
                </a:r>
              </a:p>
            </c:rich>
          </c:tx>
          <c:layout>
            <c:manualLayout>
              <c:xMode val="edge"/>
              <c:yMode val="edge"/>
              <c:x val="5.3318817462929703E-3"/>
              <c:y val="0.3324605146295739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crossAx val="577296752"/>
        <c:crosses val="autoZero"/>
        <c:crossBetween val="between"/>
        <c:dispUnits>
          <c:builtInUnit val="thousands"/>
        </c:dispUnits>
      </c:valAx>
      <c:valAx>
        <c:axId val="577294792"/>
        <c:scaling>
          <c:orientation val="minMax"/>
        </c:scaling>
        <c:delete val="0"/>
        <c:axPos val="r"/>
        <c:title>
          <c:tx>
            <c:rich>
              <a:bodyPr rot="5400000" spcFirstLastPara="1" vertOverflow="ellipsis"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r>
                  <a:rPr lang="en-US"/>
                  <a:t>₹ Thousand crore</a:t>
                </a:r>
              </a:p>
            </c:rich>
          </c:tx>
          <c:layout>
            <c:manualLayout>
              <c:xMode val="edge"/>
              <c:yMode val="edge"/>
              <c:x val="0.96063667480161474"/>
              <c:y val="0.33961738433921917"/>
            </c:manualLayout>
          </c:layout>
          <c:overlay val="0"/>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crossAx val="576613512"/>
        <c:crosses val="max"/>
        <c:crossBetween val="between"/>
        <c:majorUnit val="500"/>
        <c:dispUnits>
          <c:builtInUnit val="thousands"/>
        </c:dispUnits>
      </c:valAx>
      <c:dateAx>
        <c:axId val="576613512"/>
        <c:scaling>
          <c:orientation val="minMax"/>
        </c:scaling>
        <c:delete val="1"/>
        <c:axPos val="b"/>
        <c:numFmt formatCode="[$-409]mmm\-yy;@" sourceLinked="1"/>
        <c:majorTickMark val="out"/>
        <c:minorTickMark val="none"/>
        <c:tickLblPos val="nextTo"/>
        <c:crossAx val="577294792"/>
        <c:crosses val="autoZero"/>
        <c:auto val="0"/>
        <c:lblOffset val="100"/>
        <c:baseTimeUnit val="months"/>
      </c:dateAx>
      <c:spPr>
        <a:noFill/>
        <a:ln>
          <a:noFill/>
        </a:ln>
        <a:effectLst/>
      </c:spPr>
    </c:plotArea>
    <c:legend>
      <c:legendPos val="b"/>
      <c:layout>
        <c:manualLayout>
          <c:xMode val="edge"/>
          <c:yMode val="edge"/>
          <c:x val="0.10164675814571447"/>
          <c:y val="0.87648641104576042"/>
          <c:w val="0.82665128174197633"/>
          <c:h val="0.1235135889542394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65000"/>
        </a:sysClr>
      </a:solidFill>
      <a:round/>
    </a:ln>
    <a:effectLst/>
  </c:spPr>
  <c:txPr>
    <a:bodyPr/>
    <a:lstStyle/>
    <a:p>
      <a:pPr>
        <a:defRPr sz="900">
          <a:solidFill>
            <a:sysClr val="windowText" lastClr="000000"/>
          </a:solidFill>
          <a:latin typeface="Garamond" panose="02020404030301010803" pitchFamily="18"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23035631089595"/>
          <c:y val="2.8574616789475059E-2"/>
          <c:w val="0.78292437628529898"/>
          <c:h val="0.72457814568050793"/>
        </c:manualLayout>
      </c:layout>
      <c:barChart>
        <c:barDir val="col"/>
        <c:grouping val="stacked"/>
        <c:varyColors val="0"/>
        <c:ser>
          <c:idx val="0"/>
          <c:order val="0"/>
          <c:tx>
            <c:strRef>
              <c:f>Charts!$G$2</c:f>
              <c:strCache>
                <c:ptCount val="1"/>
                <c:pt idx="0">
                  <c:v>MCX (LHS)</c:v>
                </c:pt>
              </c:strCache>
            </c:strRef>
          </c:tx>
          <c:spPr>
            <a:solidFill>
              <a:srgbClr val="92D050"/>
            </a:solidFill>
            <a:ln>
              <a:solidFill>
                <a:sysClr val="windowText" lastClr="000000"/>
              </a:solidFill>
            </a:ln>
            <a:effectLst/>
          </c:spPr>
          <c:invertIfNegative val="0"/>
          <c:cat>
            <c:numRef>
              <c:f>Charts!$A$10:$A$21</c:f>
              <c:numCache>
                <c:formatCode>[$-409]mmm\-yy;@</c:formatCode>
                <c:ptCount val="12"/>
                <c:pt idx="0">
                  <c:v>44136</c:v>
                </c:pt>
                <c:pt idx="1">
                  <c:v>44166</c:v>
                </c:pt>
                <c:pt idx="2">
                  <c:v>44197</c:v>
                </c:pt>
                <c:pt idx="3">
                  <c:v>44228</c:v>
                </c:pt>
                <c:pt idx="4">
                  <c:v>44257</c:v>
                </c:pt>
                <c:pt idx="5">
                  <c:v>44287</c:v>
                </c:pt>
                <c:pt idx="6">
                  <c:v>44317</c:v>
                </c:pt>
                <c:pt idx="7">
                  <c:v>44349</c:v>
                </c:pt>
                <c:pt idx="8">
                  <c:v>44408</c:v>
                </c:pt>
                <c:pt idx="9">
                  <c:v>44439</c:v>
                </c:pt>
                <c:pt idx="10">
                  <c:v>44469</c:v>
                </c:pt>
                <c:pt idx="11">
                  <c:v>44500</c:v>
                </c:pt>
              </c:numCache>
            </c:numRef>
          </c:cat>
          <c:val>
            <c:numRef>
              <c:f>Charts!$G$10:$G$21</c:f>
              <c:numCache>
                <c:formatCode>#,##0</c:formatCode>
                <c:ptCount val="12"/>
                <c:pt idx="0">
                  <c:v>722827.83065649995</c:v>
                </c:pt>
                <c:pt idx="1">
                  <c:v>649285.71545269992</c:v>
                </c:pt>
                <c:pt idx="2">
                  <c:v>631081.49217339978</c:v>
                </c:pt>
                <c:pt idx="3">
                  <c:v>732338.52416479995</c:v>
                </c:pt>
                <c:pt idx="4">
                  <c:v>602584.41504829982</c:v>
                </c:pt>
                <c:pt idx="5">
                  <c:v>525273.25289939984</c:v>
                </c:pt>
                <c:pt idx="6">
                  <c:v>657112.9212915001</c:v>
                </c:pt>
                <c:pt idx="7">
                  <c:v>573244.30666690005</c:v>
                </c:pt>
                <c:pt idx="8">
                  <c:v>578366.63177189988</c:v>
                </c:pt>
                <c:pt idx="9">
                  <c:v>535066.9253165999</c:v>
                </c:pt>
                <c:pt idx="10">
                  <c:v>562207.22881080012</c:v>
                </c:pt>
                <c:pt idx="11">
                  <c:v>598897.15908910008</c:v>
                </c:pt>
              </c:numCache>
            </c:numRef>
          </c:val>
          <c:extLst xmlns:c15="http://schemas.microsoft.com/office/drawing/2012/chart">
            <c:ext xmlns:c16="http://schemas.microsoft.com/office/drawing/2014/chart" uri="{C3380CC4-5D6E-409C-BE32-E72D297353CC}">
              <c16:uniqueId val="{00000000-F6C5-4D27-B48A-AC8D7F4D0440}"/>
            </c:ext>
          </c:extLst>
        </c:ser>
        <c:dLbls>
          <c:showLegendKey val="0"/>
          <c:showVal val="0"/>
          <c:showCatName val="0"/>
          <c:showSerName val="0"/>
          <c:showPercent val="0"/>
          <c:showBubbleSize val="0"/>
        </c:dLbls>
        <c:gapWidth val="219"/>
        <c:overlap val="100"/>
        <c:axId val="576610376"/>
        <c:axId val="576612728"/>
        <c:extLst/>
      </c:barChart>
      <c:lineChart>
        <c:grouping val="stacked"/>
        <c:varyColors val="0"/>
        <c:ser>
          <c:idx val="1"/>
          <c:order val="1"/>
          <c:tx>
            <c:strRef>
              <c:f>Charts!$H$2</c:f>
              <c:strCache>
                <c:ptCount val="1"/>
                <c:pt idx="0">
                  <c:v>NCDEX (RHS)</c:v>
                </c:pt>
              </c:strCache>
            </c:strRef>
          </c:tx>
          <c:spPr>
            <a:ln w="19050" cap="rnd">
              <a:solidFill>
                <a:sysClr val="windowText" lastClr="000000">
                  <a:lumMod val="75000"/>
                  <a:lumOff val="25000"/>
                </a:sysClr>
              </a:solidFill>
              <a:round/>
            </a:ln>
            <a:effectLst/>
          </c:spPr>
          <c:marker>
            <c:symbol val="circle"/>
            <c:size val="5"/>
            <c:spPr>
              <a:solidFill>
                <a:sysClr val="windowText" lastClr="000000"/>
              </a:solidFill>
              <a:ln w="9525">
                <a:solidFill>
                  <a:schemeClr val="accent2"/>
                </a:solidFill>
              </a:ln>
              <a:effectLst/>
            </c:spPr>
          </c:marker>
          <c:cat>
            <c:numRef>
              <c:f>Charts!$A$10:$A$21</c:f>
              <c:numCache>
                <c:formatCode>[$-409]mmm\-yy;@</c:formatCode>
                <c:ptCount val="12"/>
                <c:pt idx="0">
                  <c:v>44136</c:v>
                </c:pt>
                <c:pt idx="1">
                  <c:v>44166</c:v>
                </c:pt>
                <c:pt idx="2">
                  <c:v>44197</c:v>
                </c:pt>
                <c:pt idx="3">
                  <c:v>44228</c:v>
                </c:pt>
                <c:pt idx="4">
                  <c:v>44257</c:v>
                </c:pt>
                <c:pt idx="5">
                  <c:v>44287</c:v>
                </c:pt>
                <c:pt idx="6">
                  <c:v>44317</c:v>
                </c:pt>
                <c:pt idx="7">
                  <c:v>44349</c:v>
                </c:pt>
                <c:pt idx="8">
                  <c:v>44408</c:v>
                </c:pt>
                <c:pt idx="9">
                  <c:v>44439</c:v>
                </c:pt>
                <c:pt idx="10">
                  <c:v>44469</c:v>
                </c:pt>
                <c:pt idx="11">
                  <c:v>44500</c:v>
                </c:pt>
              </c:numCache>
            </c:numRef>
          </c:cat>
          <c:val>
            <c:numRef>
              <c:f>Charts!$H$10:$H$21</c:f>
              <c:numCache>
                <c:formatCode>General</c:formatCode>
                <c:ptCount val="12"/>
                <c:pt idx="2" formatCode="#,##0">
                  <c:v>24.235309999999998</c:v>
                </c:pt>
                <c:pt idx="3" formatCode="#,##0">
                  <c:v>38.773069999999997</c:v>
                </c:pt>
                <c:pt idx="4" formatCode="#,##0">
                  <c:v>25.14254</c:v>
                </c:pt>
                <c:pt idx="5" formatCode="#,##0">
                  <c:v>11.57</c:v>
                </c:pt>
                <c:pt idx="6" formatCode="#,##0">
                  <c:v>15.86</c:v>
                </c:pt>
                <c:pt idx="7" formatCode="#,##0">
                  <c:v>17.549300000000002</c:v>
                </c:pt>
                <c:pt idx="8" formatCode="#,##0">
                  <c:v>17.309999999999999</c:v>
                </c:pt>
                <c:pt idx="9" formatCode="#,##0">
                  <c:v>13.696019999999997</c:v>
                </c:pt>
                <c:pt idx="10" formatCode="#,##0">
                  <c:v>10.95</c:v>
                </c:pt>
                <c:pt idx="11" formatCode="#,##0">
                  <c:v>9.6300000000000008</c:v>
                </c:pt>
              </c:numCache>
            </c:numRef>
          </c:val>
          <c:smooth val="0"/>
          <c:extLst xmlns:c15="http://schemas.microsoft.com/office/drawing/2012/chart">
            <c:ext xmlns:c16="http://schemas.microsoft.com/office/drawing/2014/chart" uri="{C3380CC4-5D6E-409C-BE32-E72D297353CC}">
              <c16:uniqueId val="{00000001-F6C5-4D27-B48A-AC8D7F4D0440}"/>
            </c:ext>
          </c:extLst>
        </c:ser>
        <c:ser>
          <c:idx val="2"/>
          <c:order val="2"/>
          <c:tx>
            <c:strRef>
              <c:f>Charts!$I$2</c:f>
              <c:strCache>
                <c:ptCount val="1"/>
                <c:pt idx="0">
                  <c:v>ICEX (RHS)</c:v>
                </c:pt>
              </c:strCache>
            </c:strRef>
          </c:tx>
          <c:spPr>
            <a:ln w="19050" cap="rnd">
              <a:solidFill>
                <a:srgbClr val="FF0000"/>
              </a:solidFill>
              <a:prstDash val="dash"/>
              <a:round/>
            </a:ln>
            <a:effectLst/>
          </c:spPr>
          <c:marker>
            <c:symbol val="circle"/>
            <c:size val="4"/>
            <c:spPr>
              <a:solidFill>
                <a:srgbClr val="C00000"/>
              </a:solidFill>
              <a:ln w="19050">
                <a:solidFill>
                  <a:srgbClr val="FF0000"/>
                </a:solidFill>
                <a:prstDash val="dash"/>
              </a:ln>
              <a:effectLst/>
            </c:spPr>
          </c:marker>
          <c:cat>
            <c:numRef>
              <c:f>Charts!$A$10:$A$21</c:f>
              <c:numCache>
                <c:formatCode>[$-409]mmm\-yy;@</c:formatCode>
                <c:ptCount val="12"/>
                <c:pt idx="0">
                  <c:v>44136</c:v>
                </c:pt>
                <c:pt idx="1">
                  <c:v>44166</c:v>
                </c:pt>
                <c:pt idx="2">
                  <c:v>44197</c:v>
                </c:pt>
                <c:pt idx="3">
                  <c:v>44228</c:v>
                </c:pt>
                <c:pt idx="4">
                  <c:v>44257</c:v>
                </c:pt>
                <c:pt idx="5">
                  <c:v>44287</c:v>
                </c:pt>
                <c:pt idx="6">
                  <c:v>44317</c:v>
                </c:pt>
                <c:pt idx="7">
                  <c:v>44349</c:v>
                </c:pt>
                <c:pt idx="8">
                  <c:v>44408</c:v>
                </c:pt>
                <c:pt idx="9">
                  <c:v>44439</c:v>
                </c:pt>
                <c:pt idx="10">
                  <c:v>44469</c:v>
                </c:pt>
                <c:pt idx="11">
                  <c:v>44500</c:v>
                </c:pt>
              </c:numCache>
            </c:numRef>
          </c:cat>
          <c:val>
            <c:numRef>
              <c:f>Charts!$I$10:$I$21</c:f>
              <c:numCache>
                <c:formatCode>#,##0</c:formatCode>
                <c:ptCount val="12"/>
                <c:pt idx="0">
                  <c:v>2.7824999999999999E-2</c:v>
                </c:pt>
                <c:pt idx="1">
                  <c:v>1.8845000000000001</c:v>
                </c:pt>
                <c:pt idx="2">
                  <c:v>10.392370000000001</c:v>
                </c:pt>
                <c:pt idx="3">
                  <c:v>16.025917</c:v>
                </c:pt>
                <c:pt idx="4">
                  <c:v>19.011840000000003</c:v>
                </c:pt>
                <c:pt idx="5">
                  <c:v>16.042120000000001</c:v>
                </c:pt>
                <c:pt idx="6">
                  <c:v>18.87</c:v>
                </c:pt>
                <c:pt idx="7">
                  <c:v>22.58</c:v>
                </c:pt>
                <c:pt idx="8">
                  <c:v>18.54</c:v>
                </c:pt>
                <c:pt idx="9">
                  <c:v>17.701999999999998</c:v>
                </c:pt>
                <c:pt idx="10">
                  <c:v>11.303420000000001</c:v>
                </c:pt>
                <c:pt idx="11">
                  <c:v>6.16662</c:v>
                </c:pt>
              </c:numCache>
            </c:numRef>
          </c:val>
          <c:smooth val="0"/>
          <c:extLst>
            <c:ext xmlns:c16="http://schemas.microsoft.com/office/drawing/2014/chart" uri="{C3380CC4-5D6E-409C-BE32-E72D297353CC}">
              <c16:uniqueId val="{00000002-F6C5-4D27-B48A-AC8D7F4D0440}"/>
            </c:ext>
          </c:extLst>
        </c:ser>
        <c:ser>
          <c:idx val="3"/>
          <c:order val="3"/>
          <c:tx>
            <c:strRef>
              <c:f>Charts!$J$2</c:f>
              <c:strCache>
                <c:ptCount val="1"/>
                <c:pt idx="0">
                  <c:v>BSE (RHS)</c:v>
                </c:pt>
              </c:strCache>
            </c:strRef>
          </c:tx>
          <c:spPr>
            <a:ln w="19050" cap="rnd">
              <a:solidFill>
                <a:srgbClr val="0070C0"/>
              </a:solidFill>
              <a:round/>
            </a:ln>
            <a:effectLst/>
          </c:spPr>
          <c:marker>
            <c:symbol val="none"/>
          </c:marker>
          <c:cat>
            <c:numRef>
              <c:f>Charts!$A$10:$A$21</c:f>
              <c:numCache>
                <c:formatCode>[$-409]mmm\-yy;@</c:formatCode>
                <c:ptCount val="12"/>
                <c:pt idx="0">
                  <c:v>44136</c:v>
                </c:pt>
                <c:pt idx="1">
                  <c:v>44166</c:v>
                </c:pt>
                <c:pt idx="2">
                  <c:v>44197</c:v>
                </c:pt>
                <c:pt idx="3">
                  <c:v>44228</c:v>
                </c:pt>
                <c:pt idx="4">
                  <c:v>44257</c:v>
                </c:pt>
                <c:pt idx="5">
                  <c:v>44287</c:v>
                </c:pt>
                <c:pt idx="6">
                  <c:v>44317</c:v>
                </c:pt>
                <c:pt idx="7">
                  <c:v>44349</c:v>
                </c:pt>
                <c:pt idx="8">
                  <c:v>44408</c:v>
                </c:pt>
                <c:pt idx="9">
                  <c:v>44439</c:v>
                </c:pt>
                <c:pt idx="10">
                  <c:v>44469</c:v>
                </c:pt>
                <c:pt idx="11">
                  <c:v>44500</c:v>
                </c:pt>
              </c:numCache>
            </c:numRef>
          </c:cat>
          <c:val>
            <c:numRef>
              <c:f>Charts!$J$10:$J$21</c:f>
              <c:numCache>
                <c:formatCode>#,##0</c:formatCode>
                <c:ptCount val="12"/>
                <c:pt idx="0">
                  <c:v>10.53</c:v>
                </c:pt>
                <c:pt idx="1">
                  <c:v>11.42</c:v>
                </c:pt>
                <c:pt idx="2">
                  <c:v>10.02</c:v>
                </c:pt>
                <c:pt idx="3">
                  <c:v>9.8699999999999992</c:v>
                </c:pt>
                <c:pt idx="4">
                  <c:v>11.647484</c:v>
                </c:pt>
                <c:pt idx="5">
                  <c:v>10.74</c:v>
                </c:pt>
                <c:pt idx="6">
                  <c:v>10.59</c:v>
                </c:pt>
                <c:pt idx="7">
                  <c:v>11</c:v>
                </c:pt>
                <c:pt idx="8">
                  <c:v>27.182001</c:v>
                </c:pt>
                <c:pt idx="9">
                  <c:v>64.38</c:v>
                </c:pt>
                <c:pt idx="10">
                  <c:v>69.201874000000004</c:v>
                </c:pt>
                <c:pt idx="11">
                  <c:v>90.755050999999995</c:v>
                </c:pt>
              </c:numCache>
            </c:numRef>
          </c:val>
          <c:smooth val="0"/>
          <c:extLst xmlns:c15="http://schemas.microsoft.com/office/drawing/2012/chart">
            <c:ext xmlns:c16="http://schemas.microsoft.com/office/drawing/2014/chart" uri="{C3380CC4-5D6E-409C-BE32-E72D297353CC}">
              <c16:uniqueId val="{00000003-F6C5-4D27-B48A-AC8D7F4D0440}"/>
            </c:ext>
          </c:extLst>
        </c:ser>
        <c:ser>
          <c:idx val="4"/>
          <c:order val="4"/>
          <c:tx>
            <c:strRef>
              <c:f>Charts!$K$2</c:f>
              <c:strCache>
                <c:ptCount val="1"/>
                <c:pt idx="0">
                  <c:v>NSE (RHS)</c:v>
                </c:pt>
              </c:strCache>
            </c:strRef>
          </c:tx>
          <c:spPr>
            <a:ln w="25400" cap="rnd">
              <a:solidFill>
                <a:srgbClr val="00B0F0"/>
              </a:solidFill>
              <a:prstDash val="sysDash"/>
              <a:round/>
            </a:ln>
            <a:effectLst/>
          </c:spPr>
          <c:marker>
            <c:symbol val="square"/>
            <c:size val="6"/>
            <c:spPr>
              <a:solidFill>
                <a:sysClr val="windowText" lastClr="000000"/>
              </a:solidFill>
              <a:ln w="9525">
                <a:solidFill>
                  <a:schemeClr val="accent5"/>
                </a:solidFill>
              </a:ln>
              <a:effectLst/>
            </c:spPr>
          </c:marker>
          <c:cat>
            <c:numRef>
              <c:f>Charts!$A$10:$A$21</c:f>
              <c:numCache>
                <c:formatCode>[$-409]mmm\-yy;@</c:formatCode>
                <c:ptCount val="12"/>
                <c:pt idx="0">
                  <c:v>44136</c:v>
                </c:pt>
                <c:pt idx="1">
                  <c:v>44166</c:v>
                </c:pt>
                <c:pt idx="2">
                  <c:v>44197</c:v>
                </c:pt>
                <c:pt idx="3">
                  <c:v>44228</c:v>
                </c:pt>
                <c:pt idx="4">
                  <c:v>44257</c:v>
                </c:pt>
                <c:pt idx="5">
                  <c:v>44287</c:v>
                </c:pt>
                <c:pt idx="6">
                  <c:v>44317</c:v>
                </c:pt>
                <c:pt idx="7">
                  <c:v>44349</c:v>
                </c:pt>
                <c:pt idx="8">
                  <c:v>44408</c:v>
                </c:pt>
                <c:pt idx="9">
                  <c:v>44439</c:v>
                </c:pt>
                <c:pt idx="10">
                  <c:v>44469</c:v>
                </c:pt>
                <c:pt idx="11">
                  <c:v>44500</c:v>
                </c:pt>
              </c:numCache>
            </c:numRef>
          </c:cat>
          <c:val>
            <c:numRef>
              <c:f>Charts!$K$10:$K$21</c:f>
              <c:numCache>
                <c:formatCode>#,##0</c:formatCode>
                <c:ptCount val="12"/>
                <c:pt idx="0">
                  <c:v>18.669679000000002</c:v>
                </c:pt>
                <c:pt idx="1">
                  <c:v>15.143264000000002</c:v>
                </c:pt>
                <c:pt idx="2">
                  <c:v>11.035423000000002</c:v>
                </c:pt>
                <c:pt idx="3">
                  <c:v>14.295155499999996</c:v>
                </c:pt>
                <c:pt idx="4">
                  <c:v>11.136143500000001</c:v>
                </c:pt>
                <c:pt idx="5">
                  <c:v>6.284978999999999</c:v>
                </c:pt>
                <c:pt idx="6">
                  <c:v>6.4907739999999965</c:v>
                </c:pt>
                <c:pt idx="7">
                  <c:v>7.7</c:v>
                </c:pt>
                <c:pt idx="8">
                  <c:v>4.1648215999999998</c:v>
                </c:pt>
                <c:pt idx="9">
                  <c:v>1.2277750999999995</c:v>
                </c:pt>
                <c:pt idx="10">
                  <c:v>1.0724889999999996</c:v>
                </c:pt>
                <c:pt idx="11">
                  <c:v>0.99556400000000023</c:v>
                </c:pt>
              </c:numCache>
            </c:numRef>
          </c:val>
          <c:smooth val="0"/>
          <c:extLst>
            <c:ext xmlns:c16="http://schemas.microsoft.com/office/drawing/2014/chart" uri="{C3380CC4-5D6E-409C-BE32-E72D297353CC}">
              <c16:uniqueId val="{00000004-F6C5-4D27-B48A-AC8D7F4D0440}"/>
            </c:ext>
          </c:extLst>
        </c:ser>
        <c:dLbls>
          <c:showLegendKey val="0"/>
          <c:showVal val="0"/>
          <c:showCatName val="0"/>
          <c:showSerName val="0"/>
          <c:showPercent val="0"/>
          <c:showBubbleSize val="0"/>
        </c:dLbls>
        <c:marker val="1"/>
        <c:smooth val="0"/>
        <c:axId val="576611160"/>
        <c:axId val="576611944"/>
      </c:lineChart>
      <c:dateAx>
        <c:axId val="576610376"/>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2400000" spcFirstLastPara="1" vertOverflow="ellipsis"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crossAx val="576612728"/>
        <c:crosses val="autoZero"/>
        <c:auto val="0"/>
        <c:lblOffset val="100"/>
        <c:baseTimeUnit val="months"/>
      </c:dateAx>
      <c:valAx>
        <c:axId val="576612728"/>
        <c:scaling>
          <c:orientation val="minMax"/>
          <c:max val="100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r>
                  <a:rPr lang="en-IN"/>
                  <a:t>₹ Thousand crore</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crossAx val="576610376"/>
        <c:crosses val="autoZero"/>
        <c:crossBetween val="between"/>
        <c:majorUnit val="100000"/>
        <c:dispUnits>
          <c:builtInUnit val="thousands"/>
        </c:dispUnits>
      </c:valAx>
      <c:valAx>
        <c:axId val="576611944"/>
        <c:scaling>
          <c:orientation val="minMax"/>
          <c:max val="200"/>
        </c:scaling>
        <c:delete val="0"/>
        <c:axPos val="r"/>
        <c:title>
          <c:tx>
            <c:rich>
              <a:bodyPr rot="5400000" spcFirstLastPara="1" vertOverflow="ellipsis"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r>
                  <a:rPr lang="en-US"/>
                  <a:t>₹ Thousand crore</a:t>
                </a:r>
              </a:p>
            </c:rich>
          </c:tx>
          <c:overlay val="0"/>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crossAx val="576611160"/>
        <c:crosses val="max"/>
        <c:crossBetween val="between"/>
      </c:valAx>
      <c:dateAx>
        <c:axId val="576611160"/>
        <c:scaling>
          <c:orientation val="minMax"/>
        </c:scaling>
        <c:delete val="1"/>
        <c:axPos val="b"/>
        <c:numFmt formatCode="[$-409]mmm\-yy;@" sourceLinked="1"/>
        <c:majorTickMark val="out"/>
        <c:minorTickMark val="none"/>
        <c:tickLblPos val="nextTo"/>
        <c:crossAx val="576611944"/>
        <c:crosses val="autoZero"/>
        <c:auto val="1"/>
        <c:lblOffset val="100"/>
        <c:baseTimeUnit val="months"/>
        <c:majorUnit val="1"/>
        <c:minorUnit val="1"/>
      </c:dateAx>
      <c:spPr>
        <a:noFill/>
        <a:ln>
          <a:noFill/>
        </a:ln>
        <a:effectLst/>
      </c:spPr>
    </c:plotArea>
    <c:legend>
      <c:legendPos val="b"/>
      <c:layout>
        <c:manualLayout>
          <c:xMode val="edge"/>
          <c:yMode val="edge"/>
          <c:x val="0.10228638086905803"/>
          <c:y val="0.88298072419128193"/>
          <c:w val="0.83353162042514284"/>
          <c:h val="0.1170192856327741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65000"/>
        </a:sysClr>
      </a:solidFill>
      <a:round/>
    </a:ln>
    <a:effectLst/>
  </c:spPr>
  <c:txPr>
    <a:bodyPr/>
    <a:lstStyle/>
    <a:p>
      <a:pPr>
        <a:defRPr sz="900">
          <a:solidFill>
            <a:sysClr val="windowText" lastClr="000000"/>
          </a:solidFill>
          <a:latin typeface="Garamond" panose="02020404030301010803" pitchFamily="18"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49205307669874"/>
          <c:y val="2.5425336553711E-2"/>
          <c:w val="0.81395523476232134"/>
          <c:h val="0.7194223784757533"/>
        </c:manualLayout>
      </c:layout>
      <c:lineChart>
        <c:grouping val="standard"/>
        <c:varyColors val="0"/>
        <c:ser>
          <c:idx val="3"/>
          <c:order val="0"/>
          <c:tx>
            <c:strRef>
              <c:f>Charts!$L$2</c:f>
              <c:strCache>
                <c:ptCount val="1"/>
                <c:pt idx="0">
                  <c:v>MCX (LHS)</c:v>
                </c:pt>
              </c:strCache>
            </c:strRef>
          </c:tx>
          <c:spPr>
            <a:ln w="22225" cap="rnd">
              <a:solidFill>
                <a:srgbClr val="0070C0"/>
              </a:solidFill>
              <a:round/>
            </a:ln>
            <a:effectLst/>
          </c:spPr>
          <c:marker>
            <c:symbol val="circle"/>
            <c:size val="5"/>
            <c:spPr>
              <a:solidFill>
                <a:srgbClr val="0070C0"/>
              </a:solidFill>
              <a:ln w="9525">
                <a:solidFill>
                  <a:srgbClr val="0070C0"/>
                </a:solidFill>
              </a:ln>
              <a:effectLst/>
            </c:spPr>
          </c:marker>
          <c:cat>
            <c:numRef>
              <c:f>Charts!$A$10:$A$21</c:f>
              <c:numCache>
                <c:formatCode>[$-409]mmm\-yy;@</c:formatCode>
                <c:ptCount val="12"/>
                <c:pt idx="0">
                  <c:v>44136</c:v>
                </c:pt>
                <c:pt idx="1">
                  <c:v>44166</c:v>
                </c:pt>
                <c:pt idx="2">
                  <c:v>44197</c:v>
                </c:pt>
                <c:pt idx="3">
                  <c:v>44228</c:v>
                </c:pt>
                <c:pt idx="4">
                  <c:v>44257</c:v>
                </c:pt>
                <c:pt idx="5">
                  <c:v>44287</c:v>
                </c:pt>
                <c:pt idx="6">
                  <c:v>44317</c:v>
                </c:pt>
                <c:pt idx="7">
                  <c:v>44349</c:v>
                </c:pt>
                <c:pt idx="8">
                  <c:v>44408</c:v>
                </c:pt>
                <c:pt idx="9">
                  <c:v>44439</c:v>
                </c:pt>
                <c:pt idx="10">
                  <c:v>44469</c:v>
                </c:pt>
                <c:pt idx="11">
                  <c:v>44500</c:v>
                </c:pt>
              </c:numCache>
            </c:numRef>
          </c:cat>
          <c:val>
            <c:numRef>
              <c:f>Charts!$L$10:$L$21</c:f>
              <c:numCache>
                <c:formatCode>#,##0</c:formatCode>
                <c:ptCount val="12"/>
                <c:pt idx="0">
                  <c:v>26564.103460999999</c:v>
                </c:pt>
                <c:pt idx="1">
                  <c:v>15258.518517999999</c:v>
                </c:pt>
                <c:pt idx="2">
                  <c:v>25959.086283000004</c:v>
                </c:pt>
                <c:pt idx="3">
                  <c:v>17156.310860000001</c:v>
                </c:pt>
                <c:pt idx="4">
                  <c:v>28949.873640999998</c:v>
                </c:pt>
                <c:pt idx="5">
                  <c:v>29746.30315299999</c:v>
                </c:pt>
                <c:pt idx="6">
                  <c:v>41737.770531000002</c:v>
                </c:pt>
                <c:pt idx="7">
                  <c:v>50098.683639000003</c:v>
                </c:pt>
                <c:pt idx="8">
                  <c:v>99269.799360999983</c:v>
                </c:pt>
                <c:pt idx="9">
                  <c:v>130106.263812</c:v>
                </c:pt>
                <c:pt idx="10">
                  <c:v>168111.93358800001</c:v>
                </c:pt>
                <c:pt idx="11">
                  <c:v>175348.76363799989</c:v>
                </c:pt>
              </c:numCache>
            </c:numRef>
          </c:val>
          <c:smooth val="0"/>
          <c:extLst>
            <c:ext xmlns:c16="http://schemas.microsoft.com/office/drawing/2014/chart" uri="{C3380CC4-5D6E-409C-BE32-E72D297353CC}">
              <c16:uniqueId val="{00000000-A2A3-452C-AA8C-40D4C757D2C6}"/>
            </c:ext>
          </c:extLst>
        </c:ser>
        <c:ser>
          <c:idx val="1"/>
          <c:order val="1"/>
          <c:tx>
            <c:strRef>
              <c:f>Charts!$M$2</c:f>
              <c:strCache>
                <c:ptCount val="1"/>
                <c:pt idx="0">
                  <c:v>BSE (LHS)</c:v>
                </c:pt>
              </c:strCache>
            </c:strRef>
          </c:tx>
          <c:cat>
            <c:numRef>
              <c:f>Charts!$A$10:$A$21</c:f>
              <c:numCache>
                <c:formatCode>[$-409]mmm\-yy;@</c:formatCode>
                <c:ptCount val="12"/>
                <c:pt idx="0">
                  <c:v>44136</c:v>
                </c:pt>
                <c:pt idx="1">
                  <c:v>44166</c:v>
                </c:pt>
                <c:pt idx="2">
                  <c:v>44197</c:v>
                </c:pt>
                <c:pt idx="3">
                  <c:v>44228</c:v>
                </c:pt>
                <c:pt idx="4">
                  <c:v>44257</c:v>
                </c:pt>
                <c:pt idx="5">
                  <c:v>44287</c:v>
                </c:pt>
                <c:pt idx="6">
                  <c:v>44317</c:v>
                </c:pt>
                <c:pt idx="7">
                  <c:v>44349</c:v>
                </c:pt>
                <c:pt idx="8">
                  <c:v>44408</c:v>
                </c:pt>
                <c:pt idx="9">
                  <c:v>44439</c:v>
                </c:pt>
                <c:pt idx="10">
                  <c:v>44469</c:v>
                </c:pt>
                <c:pt idx="11">
                  <c:v>44500</c:v>
                </c:pt>
              </c:numCache>
            </c:numRef>
          </c:cat>
          <c:val>
            <c:numRef>
              <c:f>Charts!$M$10:$M$21</c:f>
              <c:numCache>
                <c:formatCode>#,##0</c:formatCode>
                <c:ptCount val="12"/>
                <c:pt idx="0">
                  <c:v>53954.21</c:v>
                </c:pt>
                <c:pt idx="1">
                  <c:v>66801.039999999994</c:v>
                </c:pt>
                <c:pt idx="2">
                  <c:v>62440.93</c:v>
                </c:pt>
                <c:pt idx="3">
                  <c:v>65087.26</c:v>
                </c:pt>
                <c:pt idx="4">
                  <c:v>71581.36</c:v>
                </c:pt>
                <c:pt idx="5">
                  <c:v>66089.42</c:v>
                </c:pt>
                <c:pt idx="6">
                  <c:v>67971.709999999992</c:v>
                </c:pt>
                <c:pt idx="7">
                  <c:v>71633.320000000007</c:v>
                </c:pt>
                <c:pt idx="8">
                  <c:v>69040.27</c:v>
                </c:pt>
                <c:pt idx="9">
                  <c:v>68611.69</c:v>
                </c:pt>
                <c:pt idx="10">
                  <c:v>74108.070000000007</c:v>
                </c:pt>
                <c:pt idx="11">
                  <c:v>93851.94</c:v>
                </c:pt>
              </c:numCache>
            </c:numRef>
          </c:val>
          <c:smooth val="0"/>
          <c:extLst>
            <c:ext xmlns:c16="http://schemas.microsoft.com/office/drawing/2014/chart" uri="{C3380CC4-5D6E-409C-BE32-E72D297353CC}">
              <c16:uniqueId val="{00000001-A2A3-452C-AA8C-40D4C757D2C6}"/>
            </c:ext>
          </c:extLst>
        </c:ser>
        <c:dLbls>
          <c:showLegendKey val="0"/>
          <c:showVal val="0"/>
          <c:showCatName val="0"/>
          <c:showSerName val="0"/>
          <c:showPercent val="0"/>
          <c:showBubbleSize val="0"/>
        </c:dLbls>
        <c:marker val="1"/>
        <c:smooth val="0"/>
        <c:axId val="576613120"/>
        <c:axId val="576612336"/>
      </c:lineChart>
      <c:lineChart>
        <c:grouping val="standard"/>
        <c:varyColors val="0"/>
        <c:ser>
          <c:idx val="5"/>
          <c:order val="2"/>
          <c:tx>
            <c:strRef>
              <c:f>Charts!$N$2</c:f>
              <c:strCache>
                <c:ptCount val="1"/>
                <c:pt idx="0">
                  <c:v>NSE (RHS)</c:v>
                </c:pt>
              </c:strCache>
            </c:strRef>
          </c:tx>
          <c:cat>
            <c:numRef>
              <c:f>Charts!$A$10:$A$21</c:f>
              <c:numCache>
                <c:formatCode>[$-409]mmm\-yy;@</c:formatCode>
                <c:ptCount val="12"/>
                <c:pt idx="0">
                  <c:v>44136</c:v>
                </c:pt>
                <c:pt idx="1">
                  <c:v>44166</c:v>
                </c:pt>
                <c:pt idx="2">
                  <c:v>44197</c:v>
                </c:pt>
                <c:pt idx="3">
                  <c:v>44228</c:v>
                </c:pt>
                <c:pt idx="4">
                  <c:v>44257</c:v>
                </c:pt>
                <c:pt idx="5">
                  <c:v>44287</c:v>
                </c:pt>
                <c:pt idx="6">
                  <c:v>44317</c:v>
                </c:pt>
                <c:pt idx="7">
                  <c:v>44349</c:v>
                </c:pt>
                <c:pt idx="8">
                  <c:v>44408</c:v>
                </c:pt>
                <c:pt idx="9">
                  <c:v>44439</c:v>
                </c:pt>
                <c:pt idx="10">
                  <c:v>44469</c:v>
                </c:pt>
                <c:pt idx="11">
                  <c:v>44500</c:v>
                </c:pt>
              </c:numCache>
            </c:numRef>
          </c:cat>
          <c:val>
            <c:numRef>
              <c:f>Charts!$N$10:$N$21</c:f>
              <c:numCache>
                <c:formatCode>#,##0</c:formatCode>
                <c:ptCount val="12"/>
                <c:pt idx="0">
                  <c:v>2633.3125410000002</c:v>
                </c:pt>
                <c:pt idx="1">
                  <c:v>1537.8181204999996</c:v>
                </c:pt>
                <c:pt idx="2">
                  <c:v>1913.7781235000002</c:v>
                </c:pt>
                <c:pt idx="3">
                  <c:v>1103.8054694999996</c:v>
                </c:pt>
                <c:pt idx="4">
                  <c:v>1206.0163299999995</c:v>
                </c:pt>
                <c:pt idx="5">
                  <c:v>950.66633899999977</c:v>
                </c:pt>
                <c:pt idx="6">
                  <c:v>846.21426750000001</c:v>
                </c:pt>
                <c:pt idx="7">
                  <c:v>699.27089999999998</c:v>
                </c:pt>
                <c:pt idx="8">
                  <c:v>894.56880599999931</c:v>
                </c:pt>
                <c:pt idx="9">
                  <c:v>1461.2396724999994</c:v>
                </c:pt>
                <c:pt idx="10">
                  <c:v>1689.5345539999994</c:v>
                </c:pt>
                <c:pt idx="11">
                  <c:v>1544.4293314999982</c:v>
                </c:pt>
              </c:numCache>
            </c:numRef>
          </c:val>
          <c:smooth val="0"/>
          <c:extLst>
            <c:ext xmlns:c16="http://schemas.microsoft.com/office/drawing/2014/chart" uri="{C3380CC4-5D6E-409C-BE32-E72D297353CC}">
              <c16:uniqueId val="{00000002-A2A3-452C-AA8C-40D4C757D2C6}"/>
            </c:ext>
          </c:extLst>
        </c:ser>
        <c:dLbls>
          <c:showLegendKey val="0"/>
          <c:showVal val="0"/>
          <c:showCatName val="0"/>
          <c:showSerName val="0"/>
          <c:showPercent val="0"/>
          <c:showBubbleSize val="0"/>
        </c:dLbls>
        <c:marker val="1"/>
        <c:smooth val="0"/>
        <c:axId val="577296360"/>
        <c:axId val="576611552"/>
      </c:lineChart>
      <c:dateAx>
        <c:axId val="576613120"/>
        <c:scaling>
          <c:orientation val="minMax"/>
        </c:scaling>
        <c:delete val="0"/>
        <c:axPos val="b"/>
        <c:numFmt formatCode="[$-409]mmm\-yy;@" sourceLinked="1"/>
        <c:majorTickMark val="out"/>
        <c:minorTickMark val="none"/>
        <c:tickLblPos val="low"/>
        <c:spPr>
          <a:noFill/>
          <a:ln w="9525" cap="flat" cmpd="sng" algn="ctr">
            <a:solidFill>
              <a:schemeClr val="tx1">
                <a:lumMod val="15000"/>
                <a:lumOff val="85000"/>
              </a:schemeClr>
            </a:solidFill>
            <a:round/>
          </a:ln>
          <a:effectLst/>
        </c:spPr>
        <c:txPr>
          <a:bodyPr rot="-5400000" vert="horz"/>
          <a:lstStyle/>
          <a:p>
            <a:pPr>
              <a:defRPr/>
            </a:pPr>
            <a:endParaRPr lang="en-US"/>
          </a:p>
        </c:txPr>
        <c:crossAx val="576612336"/>
        <c:crosses val="autoZero"/>
        <c:auto val="1"/>
        <c:lblOffset val="100"/>
        <c:baseTimeUnit val="months"/>
      </c:dateAx>
      <c:valAx>
        <c:axId val="576612336"/>
        <c:scaling>
          <c:orientation val="minMax"/>
          <c:max val="1800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a:t>
                </a:r>
                <a:r>
                  <a:rPr lang="en-IN"/>
                  <a:t> Thousand crore</a:t>
                </a:r>
              </a:p>
            </c:rich>
          </c:tx>
          <c:overlay val="0"/>
        </c:title>
        <c:numFmt formatCode="0" sourceLinked="0"/>
        <c:majorTickMark val="out"/>
        <c:minorTickMark val="none"/>
        <c:tickLblPos val="nextTo"/>
        <c:spPr>
          <a:noFill/>
          <a:ln>
            <a:noFill/>
          </a:ln>
          <a:effectLst/>
        </c:spPr>
        <c:txPr>
          <a:bodyPr rot="-60000000" vert="horz"/>
          <a:lstStyle/>
          <a:p>
            <a:pPr>
              <a:defRPr/>
            </a:pPr>
            <a:endParaRPr lang="en-US"/>
          </a:p>
        </c:txPr>
        <c:crossAx val="576613120"/>
        <c:crosses val="autoZero"/>
        <c:crossBetween val="between"/>
        <c:majorUnit val="40000"/>
        <c:minorUnit val="5000"/>
        <c:dispUnits>
          <c:builtInUnit val="thousands"/>
        </c:dispUnits>
      </c:valAx>
      <c:valAx>
        <c:axId val="576611552"/>
        <c:scaling>
          <c:orientation val="minMax"/>
          <c:max val="5000"/>
        </c:scaling>
        <c:delete val="0"/>
        <c:axPos val="r"/>
        <c:title>
          <c:tx>
            <c:rich>
              <a:bodyPr rot="-5400000" vert="horz"/>
              <a:lstStyle/>
              <a:p>
                <a:pPr algn="ctr" rtl="0">
                  <a:defRPr/>
                </a:pPr>
                <a:r>
                  <a:rPr lang="en-US"/>
                  <a:t>₹</a:t>
                </a:r>
                <a:r>
                  <a:rPr lang="en-IN"/>
                  <a:t> Thousand crore</a:t>
                </a:r>
              </a:p>
            </c:rich>
          </c:tx>
          <c:layout>
            <c:manualLayout>
              <c:xMode val="edge"/>
              <c:yMode val="edge"/>
              <c:x val="0.95851851851851855"/>
              <c:y val="0.19904853221760563"/>
            </c:manualLayout>
          </c:layout>
          <c:overlay val="0"/>
          <c:spPr>
            <a:noFill/>
            <a:ln>
              <a:noFill/>
            </a:ln>
            <a:effectLst/>
          </c:spPr>
        </c:title>
        <c:numFmt formatCode="#,##0" sourceLinked="1"/>
        <c:majorTickMark val="out"/>
        <c:minorTickMark val="none"/>
        <c:tickLblPos val="nextTo"/>
        <c:spPr>
          <a:noFill/>
          <a:ln>
            <a:noFill/>
          </a:ln>
          <a:effectLst/>
        </c:spPr>
        <c:txPr>
          <a:bodyPr rot="-60000000" vert="horz"/>
          <a:lstStyle/>
          <a:p>
            <a:pPr>
              <a:defRPr/>
            </a:pPr>
            <a:endParaRPr lang="en-US"/>
          </a:p>
        </c:txPr>
        <c:crossAx val="577296360"/>
        <c:crosses val="max"/>
        <c:crossBetween val="between"/>
        <c:majorUnit val="1000"/>
        <c:dispUnits>
          <c:builtInUnit val="thousands"/>
        </c:dispUnits>
      </c:valAx>
      <c:dateAx>
        <c:axId val="577296360"/>
        <c:scaling>
          <c:orientation val="minMax"/>
        </c:scaling>
        <c:delete val="1"/>
        <c:axPos val="b"/>
        <c:numFmt formatCode="[$-409]mmm\-yy;@" sourceLinked="1"/>
        <c:majorTickMark val="out"/>
        <c:minorTickMark val="none"/>
        <c:tickLblPos val="nextTo"/>
        <c:crossAx val="576611552"/>
        <c:crosses val="autoZero"/>
        <c:auto val="1"/>
        <c:lblOffset val="100"/>
        <c:baseTimeUnit val="months"/>
      </c:dateAx>
      <c:spPr>
        <a:ln>
          <a:solidFill>
            <a:sysClr val="window" lastClr="FFFFFF">
              <a:lumMod val="65000"/>
            </a:sysClr>
          </a:solidFill>
        </a:ln>
      </c:spPr>
    </c:plotArea>
    <c:legend>
      <c:legendPos val="b"/>
      <c:layout>
        <c:manualLayout>
          <c:xMode val="edge"/>
          <c:yMode val="edge"/>
          <c:x val="0.20116063823162392"/>
          <c:y val="0.92796071281948211"/>
          <c:w val="0.61914625255176436"/>
          <c:h val="6.7557823833982789E-2"/>
        </c:manualLayout>
      </c:layout>
      <c:overlay val="0"/>
      <c:spPr>
        <a:noFill/>
        <a:ln>
          <a:noFill/>
        </a:ln>
        <a:effectLst/>
      </c:spPr>
      <c:txPr>
        <a:bodyPr rot="0" vert="horz"/>
        <a:lstStyle/>
        <a:p>
          <a:pPr>
            <a:defRPr/>
          </a:pPr>
          <a:endParaRPr lang="en-US"/>
        </a:p>
      </c:txPr>
    </c:legend>
    <c:plotVisOnly val="1"/>
    <c:dispBlanksAs val="gap"/>
    <c:showDLblsOverMax val="0"/>
  </c:chart>
  <c:spPr>
    <a:solidFill>
      <a:sysClr val="window" lastClr="FFFFFF"/>
    </a:solidFill>
    <a:ln w="12700" cap="flat" cmpd="sng" algn="ctr">
      <a:solidFill>
        <a:sysClr val="window" lastClr="FFFFFF">
          <a:lumMod val="65000"/>
        </a:sysClr>
      </a:solidFill>
      <a:prstDash val="solid"/>
      <a:miter lim="800000"/>
    </a:ln>
    <a:effectLst/>
  </c:spPr>
  <c:txPr>
    <a:bodyPr/>
    <a:lstStyle/>
    <a:p>
      <a:pPr>
        <a:defRPr sz="900">
          <a:solidFill>
            <a:sysClr val="windowText" lastClr="000000"/>
          </a:solidFill>
          <a:latin typeface="Garamond" panose="02020404030301010803" pitchFamily="18" charset="0"/>
          <a:ea typeface="+mn-ea"/>
          <a:cs typeface="+mn-cs"/>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'MSCI Chart'!$H$7</c:f>
              <c:strCache>
                <c:ptCount val="1"/>
                <c:pt idx="0">
                  <c:v>MSCI World</c:v>
                </c:pt>
              </c:strCache>
            </c:strRef>
          </c:tx>
          <c:spPr>
            <a:ln w="28575" cap="rnd">
              <a:solidFill>
                <a:schemeClr val="accent6"/>
              </a:solidFill>
              <a:round/>
            </a:ln>
            <a:effectLst/>
          </c:spPr>
          <c:marker>
            <c:symbol val="none"/>
          </c:marker>
          <c:cat>
            <c:numRef>
              <c:f>'MSCI Chart'!$G$8:$G$291</c:f>
              <c:numCache>
                <c:formatCode>m/d/yyyy</c:formatCode>
                <c:ptCount val="284"/>
                <c:pt idx="0">
                  <c:v>44104</c:v>
                </c:pt>
                <c:pt idx="1">
                  <c:v>44105</c:v>
                </c:pt>
                <c:pt idx="2">
                  <c:v>44106</c:v>
                </c:pt>
                <c:pt idx="3">
                  <c:v>44109</c:v>
                </c:pt>
                <c:pt idx="4">
                  <c:v>44110</c:v>
                </c:pt>
                <c:pt idx="5">
                  <c:v>44111</c:v>
                </c:pt>
                <c:pt idx="6">
                  <c:v>44112</c:v>
                </c:pt>
                <c:pt idx="7">
                  <c:v>44113</c:v>
                </c:pt>
                <c:pt idx="8">
                  <c:v>44116</c:v>
                </c:pt>
                <c:pt idx="9">
                  <c:v>44117</c:v>
                </c:pt>
                <c:pt idx="10">
                  <c:v>44118</c:v>
                </c:pt>
                <c:pt idx="11">
                  <c:v>44119</c:v>
                </c:pt>
                <c:pt idx="12">
                  <c:v>44120</c:v>
                </c:pt>
                <c:pt idx="13">
                  <c:v>44123</c:v>
                </c:pt>
                <c:pt idx="14">
                  <c:v>44124</c:v>
                </c:pt>
                <c:pt idx="15">
                  <c:v>44125</c:v>
                </c:pt>
                <c:pt idx="16">
                  <c:v>44126</c:v>
                </c:pt>
                <c:pt idx="17">
                  <c:v>44127</c:v>
                </c:pt>
                <c:pt idx="18">
                  <c:v>44130</c:v>
                </c:pt>
                <c:pt idx="19">
                  <c:v>44131</c:v>
                </c:pt>
                <c:pt idx="20">
                  <c:v>44132</c:v>
                </c:pt>
                <c:pt idx="21">
                  <c:v>44133</c:v>
                </c:pt>
                <c:pt idx="22">
                  <c:v>44134</c:v>
                </c:pt>
                <c:pt idx="23">
                  <c:v>44137</c:v>
                </c:pt>
                <c:pt idx="24">
                  <c:v>44138</c:v>
                </c:pt>
                <c:pt idx="25">
                  <c:v>44139</c:v>
                </c:pt>
                <c:pt idx="26">
                  <c:v>44140</c:v>
                </c:pt>
                <c:pt idx="27">
                  <c:v>44141</c:v>
                </c:pt>
                <c:pt idx="28">
                  <c:v>44144</c:v>
                </c:pt>
                <c:pt idx="29">
                  <c:v>44145</c:v>
                </c:pt>
                <c:pt idx="30">
                  <c:v>44146</c:v>
                </c:pt>
                <c:pt idx="31">
                  <c:v>44147</c:v>
                </c:pt>
                <c:pt idx="32">
                  <c:v>44148</c:v>
                </c:pt>
                <c:pt idx="33">
                  <c:v>44151</c:v>
                </c:pt>
                <c:pt idx="34">
                  <c:v>44152</c:v>
                </c:pt>
                <c:pt idx="35">
                  <c:v>44153</c:v>
                </c:pt>
                <c:pt idx="36">
                  <c:v>44154</c:v>
                </c:pt>
                <c:pt idx="37">
                  <c:v>44155</c:v>
                </c:pt>
                <c:pt idx="38">
                  <c:v>44158</c:v>
                </c:pt>
                <c:pt idx="39">
                  <c:v>44159</c:v>
                </c:pt>
                <c:pt idx="40">
                  <c:v>44160</c:v>
                </c:pt>
                <c:pt idx="41">
                  <c:v>44161</c:v>
                </c:pt>
                <c:pt idx="42">
                  <c:v>44162</c:v>
                </c:pt>
                <c:pt idx="43">
                  <c:v>44165</c:v>
                </c:pt>
                <c:pt idx="44">
                  <c:v>44166</c:v>
                </c:pt>
                <c:pt idx="45">
                  <c:v>44167</c:v>
                </c:pt>
                <c:pt idx="46">
                  <c:v>44168</c:v>
                </c:pt>
                <c:pt idx="47">
                  <c:v>44169</c:v>
                </c:pt>
                <c:pt idx="48">
                  <c:v>44172</c:v>
                </c:pt>
                <c:pt idx="49">
                  <c:v>44173</c:v>
                </c:pt>
                <c:pt idx="50">
                  <c:v>44174</c:v>
                </c:pt>
                <c:pt idx="51">
                  <c:v>44175</c:v>
                </c:pt>
                <c:pt idx="52">
                  <c:v>44176</c:v>
                </c:pt>
                <c:pt idx="53">
                  <c:v>44179</c:v>
                </c:pt>
                <c:pt idx="54">
                  <c:v>44180</c:v>
                </c:pt>
                <c:pt idx="55">
                  <c:v>44181</c:v>
                </c:pt>
                <c:pt idx="56">
                  <c:v>44182</c:v>
                </c:pt>
                <c:pt idx="57">
                  <c:v>44183</c:v>
                </c:pt>
                <c:pt idx="58">
                  <c:v>44186</c:v>
                </c:pt>
                <c:pt idx="59">
                  <c:v>44187</c:v>
                </c:pt>
                <c:pt idx="60">
                  <c:v>44188</c:v>
                </c:pt>
                <c:pt idx="61">
                  <c:v>44189</c:v>
                </c:pt>
                <c:pt idx="62">
                  <c:v>44190</c:v>
                </c:pt>
                <c:pt idx="63">
                  <c:v>44193</c:v>
                </c:pt>
                <c:pt idx="64">
                  <c:v>44194</c:v>
                </c:pt>
                <c:pt idx="65">
                  <c:v>44195</c:v>
                </c:pt>
                <c:pt idx="66">
                  <c:v>44196</c:v>
                </c:pt>
                <c:pt idx="67">
                  <c:v>44197</c:v>
                </c:pt>
                <c:pt idx="68">
                  <c:v>44200</c:v>
                </c:pt>
                <c:pt idx="69">
                  <c:v>44201</c:v>
                </c:pt>
                <c:pt idx="70">
                  <c:v>44202</c:v>
                </c:pt>
                <c:pt idx="71">
                  <c:v>44203</c:v>
                </c:pt>
                <c:pt idx="72">
                  <c:v>44204</c:v>
                </c:pt>
                <c:pt idx="73">
                  <c:v>44207</c:v>
                </c:pt>
                <c:pt idx="74">
                  <c:v>44208</c:v>
                </c:pt>
                <c:pt idx="75">
                  <c:v>44209</c:v>
                </c:pt>
                <c:pt idx="76">
                  <c:v>44210</c:v>
                </c:pt>
                <c:pt idx="77">
                  <c:v>44211</c:v>
                </c:pt>
                <c:pt idx="78">
                  <c:v>44214</c:v>
                </c:pt>
                <c:pt idx="79">
                  <c:v>44215</c:v>
                </c:pt>
                <c:pt idx="80">
                  <c:v>44216</c:v>
                </c:pt>
                <c:pt idx="81">
                  <c:v>44217</c:v>
                </c:pt>
                <c:pt idx="82">
                  <c:v>44218</c:v>
                </c:pt>
                <c:pt idx="83">
                  <c:v>44221</c:v>
                </c:pt>
                <c:pt idx="84">
                  <c:v>44222</c:v>
                </c:pt>
                <c:pt idx="85">
                  <c:v>44223</c:v>
                </c:pt>
                <c:pt idx="86">
                  <c:v>44224</c:v>
                </c:pt>
                <c:pt idx="87">
                  <c:v>44225</c:v>
                </c:pt>
                <c:pt idx="88">
                  <c:v>44228</c:v>
                </c:pt>
                <c:pt idx="89">
                  <c:v>44229</c:v>
                </c:pt>
                <c:pt idx="90">
                  <c:v>44230</c:v>
                </c:pt>
                <c:pt idx="91">
                  <c:v>44231</c:v>
                </c:pt>
                <c:pt idx="92">
                  <c:v>44232</c:v>
                </c:pt>
                <c:pt idx="93">
                  <c:v>44235</c:v>
                </c:pt>
                <c:pt idx="94">
                  <c:v>44236</c:v>
                </c:pt>
                <c:pt idx="95">
                  <c:v>44237</c:v>
                </c:pt>
                <c:pt idx="96">
                  <c:v>44238</c:v>
                </c:pt>
                <c:pt idx="97">
                  <c:v>44239</c:v>
                </c:pt>
                <c:pt idx="98">
                  <c:v>44242</c:v>
                </c:pt>
                <c:pt idx="99">
                  <c:v>44243</c:v>
                </c:pt>
                <c:pt idx="100">
                  <c:v>44244</c:v>
                </c:pt>
                <c:pt idx="101">
                  <c:v>44245</c:v>
                </c:pt>
                <c:pt idx="102">
                  <c:v>44246</c:v>
                </c:pt>
                <c:pt idx="103">
                  <c:v>44249</c:v>
                </c:pt>
                <c:pt idx="104">
                  <c:v>44250</c:v>
                </c:pt>
                <c:pt idx="105">
                  <c:v>44251</c:v>
                </c:pt>
                <c:pt idx="106">
                  <c:v>44252</c:v>
                </c:pt>
                <c:pt idx="107">
                  <c:v>44253</c:v>
                </c:pt>
                <c:pt idx="108">
                  <c:v>44256</c:v>
                </c:pt>
                <c:pt idx="109">
                  <c:v>44257</c:v>
                </c:pt>
                <c:pt idx="110">
                  <c:v>44258</c:v>
                </c:pt>
                <c:pt idx="111">
                  <c:v>44259</c:v>
                </c:pt>
                <c:pt idx="112">
                  <c:v>44260</c:v>
                </c:pt>
                <c:pt idx="113">
                  <c:v>44263</c:v>
                </c:pt>
                <c:pt idx="114">
                  <c:v>44264</c:v>
                </c:pt>
                <c:pt idx="115">
                  <c:v>44265</c:v>
                </c:pt>
                <c:pt idx="116">
                  <c:v>44266</c:v>
                </c:pt>
                <c:pt idx="117">
                  <c:v>44267</c:v>
                </c:pt>
                <c:pt idx="118">
                  <c:v>44270</c:v>
                </c:pt>
                <c:pt idx="119">
                  <c:v>44271</c:v>
                </c:pt>
                <c:pt idx="120">
                  <c:v>44272</c:v>
                </c:pt>
                <c:pt idx="121">
                  <c:v>44273</c:v>
                </c:pt>
                <c:pt idx="122">
                  <c:v>44274</c:v>
                </c:pt>
                <c:pt idx="123">
                  <c:v>44277</c:v>
                </c:pt>
                <c:pt idx="124">
                  <c:v>44278</c:v>
                </c:pt>
                <c:pt idx="125">
                  <c:v>44279</c:v>
                </c:pt>
                <c:pt idx="126">
                  <c:v>44280</c:v>
                </c:pt>
                <c:pt idx="127">
                  <c:v>44281</c:v>
                </c:pt>
                <c:pt idx="128">
                  <c:v>44284</c:v>
                </c:pt>
                <c:pt idx="129">
                  <c:v>44285</c:v>
                </c:pt>
                <c:pt idx="130">
                  <c:v>44286</c:v>
                </c:pt>
                <c:pt idx="131">
                  <c:v>44287</c:v>
                </c:pt>
                <c:pt idx="132">
                  <c:v>44288</c:v>
                </c:pt>
                <c:pt idx="133">
                  <c:v>44291</c:v>
                </c:pt>
                <c:pt idx="134">
                  <c:v>44292</c:v>
                </c:pt>
                <c:pt idx="135">
                  <c:v>44293</c:v>
                </c:pt>
                <c:pt idx="136">
                  <c:v>44294</c:v>
                </c:pt>
                <c:pt idx="137">
                  <c:v>44295</c:v>
                </c:pt>
                <c:pt idx="138">
                  <c:v>44298</c:v>
                </c:pt>
                <c:pt idx="139">
                  <c:v>44299</c:v>
                </c:pt>
                <c:pt idx="140">
                  <c:v>44300</c:v>
                </c:pt>
                <c:pt idx="141">
                  <c:v>44301</c:v>
                </c:pt>
                <c:pt idx="142">
                  <c:v>44302</c:v>
                </c:pt>
                <c:pt idx="143">
                  <c:v>44305</c:v>
                </c:pt>
                <c:pt idx="144">
                  <c:v>44306</c:v>
                </c:pt>
                <c:pt idx="145">
                  <c:v>44307</c:v>
                </c:pt>
                <c:pt idx="146">
                  <c:v>44308</c:v>
                </c:pt>
                <c:pt idx="147">
                  <c:v>44309</c:v>
                </c:pt>
                <c:pt idx="148">
                  <c:v>44312</c:v>
                </c:pt>
                <c:pt idx="149">
                  <c:v>44313</c:v>
                </c:pt>
                <c:pt idx="150">
                  <c:v>44314</c:v>
                </c:pt>
                <c:pt idx="151">
                  <c:v>44315</c:v>
                </c:pt>
                <c:pt idx="152">
                  <c:v>44316</c:v>
                </c:pt>
                <c:pt idx="153">
                  <c:v>44319</c:v>
                </c:pt>
                <c:pt idx="154">
                  <c:v>44320</c:v>
                </c:pt>
                <c:pt idx="155">
                  <c:v>44321</c:v>
                </c:pt>
                <c:pt idx="156">
                  <c:v>44322</c:v>
                </c:pt>
                <c:pt idx="157">
                  <c:v>44323</c:v>
                </c:pt>
                <c:pt idx="158">
                  <c:v>44326</c:v>
                </c:pt>
                <c:pt idx="159">
                  <c:v>44327</c:v>
                </c:pt>
                <c:pt idx="160">
                  <c:v>44328</c:v>
                </c:pt>
                <c:pt idx="161">
                  <c:v>44329</c:v>
                </c:pt>
                <c:pt idx="162">
                  <c:v>44330</c:v>
                </c:pt>
                <c:pt idx="163">
                  <c:v>44333</c:v>
                </c:pt>
                <c:pt idx="164">
                  <c:v>44334</c:v>
                </c:pt>
                <c:pt idx="165">
                  <c:v>44335</c:v>
                </c:pt>
                <c:pt idx="166">
                  <c:v>44336</c:v>
                </c:pt>
                <c:pt idx="167">
                  <c:v>44337</c:v>
                </c:pt>
                <c:pt idx="168">
                  <c:v>44340</c:v>
                </c:pt>
                <c:pt idx="169">
                  <c:v>44341</c:v>
                </c:pt>
                <c:pt idx="170">
                  <c:v>44342</c:v>
                </c:pt>
                <c:pt idx="171">
                  <c:v>44343</c:v>
                </c:pt>
                <c:pt idx="172">
                  <c:v>44344</c:v>
                </c:pt>
                <c:pt idx="173">
                  <c:v>44347</c:v>
                </c:pt>
                <c:pt idx="174">
                  <c:v>44348</c:v>
                </c:pt>
                <c:pt idx="175">
                  <c:v>44349</c:v>
                </c:pt>
                <c:pt idx="176">
                  <c:v>44350</c:v>
                </c:pt>
                <c:pt idx="177">
                  <c:v>44351</c:v>
                </c:pt>
                <c:pt idx="178">
                  <c:v>44354</c:v>
                </c:pt>
                <c:pt idx="179">
                  <c:v>44355</c:v>
                </c:pt>
                <c:pt idx="180">
                  <c:v>44356</c:v>
                </c:pt>
                <c:pt idx="181">
                  <c:v>44357</c:v>
                </c:pt>
                <c:pt idx="182">
                  <c:v>44358</c:v>
                </c:pt>
                <c:pt idx="183">
                  <c:v>44361</c:v>
                </c:pt>
                <c:pt idx="184">
                  <c:v>44362</c:v>
                </c:pt>
                <c:pt idx="185">
                  <c:v>44363</c:v>
                </c:pt>
                <c:pt idx="186">
                  <c:v>44364</c:v>
                </c:pt>
                <c:pt idx="187">
                  <c:v>44365</c:v>
                </c:pt>
                <c:pt idx="188">
                  <c:v>44368</c:v>
                </c:pt>
                <c:pt idx="189">
                  <c:v>44369</c:v>
                </c:pt>
                <c:pt idx="190">
                  <c:v>44370</c:v>
                </c:pt>
                <c:pt idx="191">
                  <c:v>44371</c:v>
                </c:pt>
                <c:pt idx="192">
                  <c:v>44372</c:v>
                </c:pt>
                <c:pt idx="193">
                  <c:v>44375</c:v>
                </c:pt>
                <c:pt idx="194">
                  <c:v>44376</c:v>
                </c:pt>
                <c:pt idx="195">
                  <c:v>44377</c:v>
                </c:pt>
                <c:pt idx="196">
                  <c:v>44378</c:v>
                </c:pt>
                <c:pt idx="197">
                  <c:v>44379</c:v>
                </c:pt>
                <c:pt idx="198">
                  <c:v>44382</c:v>
                </c:pt>
                <c:pt idx="199">
                  <c:v>44383</c:v>
                </c:pt>
                <c:pt idx="200">
                  <c:v>44384</c:v>
                </c:pt>
                <c:pt idx="201">
                  <c:v>44385</c:v>
                </c:pt>
                <c:pt idx="202">
                  <c:v>44386</c:v>
                </c:pt>
                <c:pt idx="203">
                  <c:v>44389</c:v>
                </c:pt>
                <c:pt idx="204">
                  <c:v>44390</c:v>
                </c:pt>
                <c:pt idx="205">
                  <c:v>44391</c:v>
                </c:pt>
                <c:pt idx="206">
                  <c:v>44392</c:v>
                </c:pt>
                <c:pt idx="207">
                  <c:v>44393</c:v>
                </c:pt>
                <c:pt idx="208">
                  <c:v>44396</c:v>
                </c:pt>
                <c:pt idx="209">
                  <c:v>44397</c:v>
                </c:pt>
                <c:pt idx="210">
                  <c:v>44398</c:v>
                </c:pt>
                <c:pt idx="211">
                  <c:v>44399</c:v>
                </c:pt>
                <c:pt idx="212">
                  <c:v>44400</c:v>
                </c:pt>
                <c:pt idx="213">
                  <c:v>44403</c:v>
                </c:pt>
                <c:pt idx="214">
                  <c:v>44404</c:v>
                </c:pt>
                <c:pt idx="215">
                  <c:v>44405</c:v>
                </c:pt>
                <c:pt idx="216">
                  <c:v>44406</c:v>
                </c:pt>
                <c:pt idx="217">
                  <c:v>44407</c:v>
                </c:pt>
                <c:pt idx="218">
                  <c:v>44410</c:v>
                </c:pt>
                <c:pt idx="219">
                  <c:v>44411</c:v>
                </c:pt>
                <c:pt idx="220">
                  <c:v>44412</c:v>
                </c:pt>
                <c:pt idx="221">
                  <c:v>44413</c:v>
                </c:pt>
                <c:pt idx="222">
                  <c:v>44414</c:v>
                </c:pt>
                <c:pt idx="223">
                  <c:v>44417</c:v>
                </c:pt>
                <c:pt idx="224">
                  <c:v>44418</c:v>
                </c:pt>
                <c:pt idx="225">
                  <c:v>44419</c:v>
                </c:pt>
                <c:pt idx="226">
                  <c:v>44420</c:v>
                </c:pt>
                <c:pt idx="227">
                  <c:v>44421</c:v>
                </c:pt>
                <c:pt idx="228">
                  <c:v>44424</c:v>
                </c:pt>
                <c:pt idx="229">
                  <c:v>44425</c:v>
                </c:pt>
                <c:pt idx="230">
                  <c:v>44426</c:v>
                </c:pt>
                <c:pt idx="231">
                  <c:v>44427</c:v>
                </c:pt>
                <c:pt idx="232">
                  <c:v>44428</c:v>
                </c:pt>
                <c:pt idx="233">
                  <c:v>44431</c:v>
                </c:pt>
                <c:pt idx="234">
                  <c:v>44432</c:v>
                </c:pt>
                <c:pt idx="235">
                  <c:v>44433</c:v>
                </c:pt>
                <c:pt idx="236">
                  <c:v>44434</c:v>
                </c:pt>
                <c:pt idx="237">
                  <c:v>44435</c:v>
                </c:pt>
                <c:pt idx="238">
                  <c:v>44438</c:v>
                </c:pt>
                <c:pt idx="239">
                  <c:v>44439</c:v>
                </c:pt>
                <c:pt idx="240">
                  <c:v>44440</c:v>
                </c:pt>
                <c:pt idx="241">
                  <c:v>44441</c:v>
                </c:pt>
                <c:pt idx="242">
                  <c:v>44442</c:v>
                </c:pt>
                <c:pt idx="243">
                  <c:v>44445</c:v>
                </c:pt>
                <c:pt idx="244">
                  <c:v>44446</c:v>
                </c:pt>
                <c:pt idx="245">
                  <c:v>44447</c:v>
                </c:pt>
                <c:pt idx="246">
                  <c:v>44448</c:v>
                </c:pt>
                <c:pt idx="247">
                  <c:v>44449</c:v>
                </c:pt>
                <c:pt idx="248">
                  <c:v>44452</c:v>
                </c:pt>
                <c:pt idx="249">
                  <c:v>44453</c:v>
                </c:pt>
                <c:pt idx="250">
                  <c:v>44454</c:v>
                </c:pt>
                <c:pt idx="251">
                  <c:v>44455</c:v>
                </c:pt>
                <c:pt idx="252">
                  <c:v>44456</c:v>
                </c:pt>
                <c:pt idx="253">
                  <c:v>44459</c:v>
                </c:pt>
                <c:pt idx="254">
                  <c:v>44460</c:v>
                </c:pt>
                <c:pt idx="255">
                  <c:v>44461</c:v>
                </c:pt>
                <c:pt idx="256">
                  <c:v>44462</c:v>
                </c:pt>
                <c:pt idx="257">
                  <c:v>44463</c:v>
                </c:pt>
                <c:pt idx="258">
                  <c:v>44466</c:v>
                </c:pt>
                <c:pt idx="259">
                  <c:v>44467</c:v>
                </c:pt>
                <c:pt idx="260">
                  <c:v>44468</c:v>
                </c:pt>
                <c:pt idx="261">
                  <c:v>44469</c:v>
                </c:pt>
                <c:pt idx="262">
                  <c:v>44470</c:v>
                </c:pt>
                <c:pt idx="263">
                  <c:v>44473</c:v>
                </c:pt>
                <c:pt idx="264">
                  <c:v>44474</c:v>
                </c:pt>
                <c:pt idx="265">
                  <c:v>44475</c:v>
                </c:pt>
                <c:pt idx="266">
                  <c:v>44476</c:v>
                </c:pt>
                <c:pt idx="267">
                  <c:v>44477</c:v>
                </c:pt>
                <c:pt idx="268">
                  <c:v>44480</c:v>
                </c:pt>
                <c:pt idx="269">
                  <c:v>44481</c:v>
                </c:pt>
                <c:pt idx="270">
                  <c:v>44482</c:v>
                </c:pt>
                <c:pt idx="271">
                  <c:v>44483</c:v>
                </c:pt>
                <c:pt idx="272">
                  <c:v>44484</c:v>
                </c:pt>
                <c:pt idx="273">
                  <c:v>44487</c:v>
                </c:pt>
                <c:pt idx="274">
                  <c:v>44488</c:v>
                </c:pt>
                <c:pt idx="275">
                  <c:v>44489</c:v>
                </c:pt>
                <c:pt idx="276">
                  <c:v>44490</c:v>
                </c:pt>
                <c:pt idx="277">
                  <c:v>44491</c:v>
                </c:pt>
                <c:pt idx="278">
                  <c:v>44494</c:v>
                </c:pt>
                <c:pt idx="279">
                  <c:v>44495</c:v>
                </c:pt>
                <c:pt idx="280">
                  <c:v>44496</c:v>
                </c:pt>
                <c:pt idx="281">
                  <c:v>44497</c:v>
                </c:pt>
                <c:pt idx="282">
                  <c:v>44498</c:v>
                </c:pt>
                <c:pt idx="283">
                  <c:v>44501</c:v>
                </c:pt>
              </c:numCache>
            </c:numRef>
          </c:cat>
          <c:val>
            <c:numRef>
              <c:f>'MSCI Chart'!$H$8:$H$291</c:f>
              <c:numCache>
                <c:formatCode>0</c:formatCode>
                <c:ptCount val="284"/>
                <c:pt idx="0" formatCode="0.0">
                  <c:v>100</c:v>
                </c:pt>
                <c:pt idx="1">
                  <c:v>100.53863733329955</c:v>
                </c:pt>
                <c:pt idx="2">
                  <c:v>99.794531253300207</c:v>
                </c:pt>
                <c:pt idx="3">
                  <c:v>101.53045491219844</c:v>
                </c:pt>
                <c:pt idx="4">
                  <c:v>100.64631410865681</c:v>
                </c:pt>
                <c:pt idx="5">
                  <c:v>101.77947593641622</c:v>
                </c:pt>
                <c:pt idx="6">
                  <c:v>102.53828249418109</c:v>
                </c:pt>
                <c:pt idx="7">
                  <c:v>103.39990791080024</c:v>
                </c:pt>
                <c:pt idx="8">
                  <c:v>104.67399155989814</c:v>
                </c:pt>
                <c:pt idx="9">
                  <c:v>104.09370287292961</c:v>
                </c:pt>
                <c:pt idx="10">
                  <c:v>103.64732371043442</c:v>
                </c:pt>
                <c:pt idx="11">
                  <c:v>102.90034512328552</c:v>
                </c:pt>
                <c:pt idx="12">
                  <c:v>103.07806038179004</c:v>
                </c:pt>
                <c:pt idx="13">
                  <c:v>102.12996405141791</c:v>
                </c:pt>
                <c:pt idx="14">
                  <c:v>102.34181145369988</c:v>
                </c:pt>
                <c:pt idx="15">
                  <c:v>102.13596252223029</c:v>
                </c:pt>
                <c:pt idx="16">
                  <c:v>102.26974531844704</c:v>
                </c:pt>
                <c:pt idx="17">
                  <c:v>102.67274117443304</c:v>
                </c:pt>
                <c:pt idx="18">
                  <c:v>100.9634304494207</c:v>
                </c:pt>
                <c:pt idx="19">
                  <c:v>100.60757750488963</c:v>
                </c:pt>
                <c:pt idx="20">
                  <c:v>97.439159876144302</c:v>
                </c:pt>
                <c:pt idx="21">
                  <c:v>97.937159681827623</c:v>
                </c:pt>
                <c:pt idx="22">
                  <c:v>96.85946258770656</c:v>
                </c:pt>
                <c:pt idx="23">
                  <c:v>98.093542350471267</c:v>
                </c:pt>
                <c:pt idx="24">
                  <c:v>100.08465447540843</c:v>
                </c:pt>
                <c:pt idx="25">
                  <c:v>102.08438412179434</c:v>
                </c:pt>
                <c:pt idx="26">
                  <c:v>104.19516996371352</c:v>
                </c:pt>
                <c:pt idx="27">
                  <c:v>104.34162558559018</c:v>
                </c:pt>
                <c:pt idx="28">
                  <c:v>105.69402729726652</c:v>
                </c:pt>
                <c:pt idx="29">
                  <c:v>105.90684628284906</c:v>
                </c:pt>
                <c:pt idx="30">
                  <c:v>106.80019600637023</c:v>
                </c:pt>
                <c:pt idx="31">
                  <c:v>105.99711904429999</c:v>
                </c:pt>
                <c:pt idx="32">
                  <c:v>106.84421295416243</c:v>
                </c:pt>
                <c:pt idx="33">
                  <c:v>108.20464078875671</c:v>
                </c:pt>
                <c:pt idx="34">
                  <c:v>108.07508226775995</c:v>
                </c:pt>
                <c:pt idx="35">
                  <c:v>107.43856847761349</c:v>
                </c:pt>
                <c:pt idx="36">
                  <c:v>107.56305786834628</c:v>
                </c:pt>
                <c:pt idx="37">
                  <c:v>107.29756217077059</c:v>
                </c:pt>
                <c:pt idx="38">
                  <c:v>107.58806557764856</c:v>
                </c:pt>
                <c:pt idx="39">
                  <c:v>109.29011054928256</c:v>
                </c:pt>
                <c:pt idx="40">
                  <c:v>109.39478808923364</c:v>
                </c:pt>
                <c:pt idx="41">
                  <c:v>109.41502236753732</c:v>
                </c:pt>
                <c:pt idx="42">
                  <c:v>109.89236546739497</c:v>
                </c:pt>
                <c:pt idx="43">
                  <c:v>109.11906964562559</c:v>
                </c:pt>
                <c:pt idx="44">
                  <c:v>110.21159394576877</c:v>
                </c:pt>
                <c:pt idx="45">
                  <c:v>110.41887913081314</c:v>
                </c:pt>
                <c:pt idx="46">
                  <c:v>110.7299125152602</c:v>
                </c:pt>
                <c:pt idx="47">
                  <c:v>111.50633430069236</c:v>
                </c:pt>
                <c:pt idx="48">
                  <c:v>111.34682566838595</c:v>
                </c:pt>
                <c:pt idx="49">
                  <c:v>111.60750569221085</c:v>
                </c:pt>
                <c:pt idx="50">
                  <c:v>110.99401420201328</c:v>
                </c:pt>
                <c:pt idx="51">
                  <c:v>111.03866479108846</c:v>
                </c:pt>
                <c:pt idx="52">
                  <c:v>110.75601853611965</c:v>
                </c:pt>
                <c:pt idx="53">
                  <c:v>110.65193239469937</c:v>
                </c:pt>
                <c:pt idx="54">
                  <c:v>111.67872697241971</c:v>
                </c:pt>
                <c:pt idx="55">
                  <c:v>112.1457205979884</c:v>
                </c:pt>
                <c:pt idx="56">
                  <c:v>112.99378609115141</c:v>
                </c:pt>
                <c:pt idx="57">
                  <c:v>112.6320614040646</c:v>
                </c:pt>
                <c:pt idx="58">
                  <c:v>111.73093901413866</c:v>
                </c:pt>
                <c:pt idx="59">
                  <c:v>111.65067778495906</c:v>
                </c:pt>
                <c:pt idx="60">
                  <c:v>112.00302458105752</c:v>
                </c:pt>
                <c:pt idx="61">
                  <c:v>112.32516780933311</c:v>
                </c:pt>
                <c:pt idx="62">
                  <c:v>112.32516780933311</c:v>
                </c:pt>
                <c:pt idx="63">
                  <c:v>113.0754413311536</c:v>
                </c:pt>
                <c:pt idx="64">
                  <c:v>113.30287630899727</c:v>
                </c:pt>
                <c:pt idx="65">
                  <c:v>113.46639800276266</c:v>
                </c:pt>
                <c:pt idx="66">
                  <c:v>113.63486209853542</c:v>
                </c:pt>
                <c:pt idx="67">
                  <c:v>113.63486209853542</c:v>
                </c:pt>
                <c:pt idx="68">
                  <c:v>112.7899648117874</c:v>
                </c:pt>
                <c:pt idx="69">
                  <c:v>113.38706611413144</c:v>
                </c:pt>
                <c:pt idx="70">
                  <c:v>114.03481647636306</c:v>
                </c:pt>
                <c:pt idx="71">
                  <c:v>115.4997528798996</c:v>
                </c:pt>
                <c:pt idx="72">
                  <c:v>116.3072653309508</c:v>
                </c:pt>
                <c:pt idx="73">
                  <c:v>115.32482564304027</c:v>
                </c:pt>
                <c:pt idx="74">
                  <c:v>115.50862385786155</c:v>
                </c:pt>
                <c:pt idx="75">
                  <c:v>115.73964946964222</c:v>
                </c:pt>
                <c:pt idx="76">
                  <c:v>115.66428839971778</c:v>
                </c:pt>
                <c:pt idx="77">
                  <c:v>114.68113058501983</c:v>
                </c:pt>
                <c:pt idx="78">
                  <c:v>114.62507445285071</c:v>
                </c:pt>
                <c:pt idx="79">
                  <c:v>115.42751777363794</c:v>
                </c:pt>
                <c:pt idx="80">
                  <c:v>116.65268431568848</c:v>
                </c:pt>
                <c:pt idx="81">
                  <c:v>116.82511923016803</c:v>
                </c:pt>
                <c:pt idx="82">
                  <c:v>116.4067892551335</c:v>
                </c:pt>
                <c:pt idx="83">
                  <c:v>116.45764952878207</c:v>
                </c:pt>
                <c:pt idx="84">
                  <c:v>116.34148196023264</c:v>
                </c:pt>
                <c:pt idx="85">
                  <c:v>113.81984311041828</c:v>
                </c:pt>
                <c:pt idx="86">
                  <c:v>114.50333084101091</c:v>
                </c:pt>
                <c:pt idx="87">
                  <c:v>112.43715334541471</c:v>
                </c:pt>
                <c:pt idx="88">
                  <c:v>113.96574957651639</c:v>
                </c:pt>
                <c:pt idx="89">
                  <c:v>115.4051713577243</c:v>
                </c:pt>
                <c:pt idx="90">
                  <c:v>115.65778301587903</c:v>
                </c:pt>
                <c:pt idx="91">
                  <c:v>116.49123251678093</c:v>
                </c:pt>
                <c:pt idx="92">
                  <c:v>117.15816108851122</c:v>
                </c:pt>
                <c:pt idx="93">
                  <c:v>118.10617293337893</c:v>
                </c:pt>
                <c:pt idx="94">
                  <c:v>118.21853865423037</c:v>
                </c:pt>
                <c:pt idx="95">
                  <c:v>118.30855795916811</c:v>
                </c:pt>
                <c:pt idx="96">
                  <c:v>118.58207977966177</c:v>
                </c:pt>
                <c:pt idx="97">
                  <c:v>119.07581306737292</c:v>
                </c:pt>
                <c:pt idx="98">
                  <c:v>119.53309085993567</c:v>
                </c:pt>
                <c:pt idx="99">
                  <c:v>119.4689663620964</c:v>
                </c:pt>
                <c:pt idx="100">
                  <c:v>118.95461861131174</c:v>
                </c:pt>
                <c:pt idx="101">
                  <c:v>118.40309723859127</c:v>
                </c:pt>
                <c:pt idx="102">
                  <c:v>118.55305900890055</c:v>
                </c:pt>
                <c:pt idx="103">
                  <c:v>117.77735535025579</c:v>
                </c:pt>
                <c:pt idx="104">
                  <c:v>117.82403359143657</c:v>
                </c:pt>
                <c:pt idx="105">
                  <c:v>118.38087755093422</c:v>
                </c:pt>
                <c:pt idx="106">
                  <c:v>116.60106367250042</c:v>
                </c:pt>
                <c:pt idx="107">
                  <c:v>115.19218340113297</c:v>
                </c:pt>
                <c:pt idx="108">
                  <c:v>117.59119154131132</c:v>
                </c:pt>
                <c:pt idx="109">
                  <c:v>116.93837204881574</c:v>
                </c:pt>
                <c:pt idx="110">
                  <c:v>115.81627782213269</c:v>
                </c:pt>
                <c:pt idx="111">
                  <c:v>114.32899500268243</c:v>
                </c:pt>
                <c:pt idx="112">
                  <c:v>115.261757214006</c:v>
                </c:pt>
                <c:pt idx="113">
                  <c:v>115.01159563547886</c:v>
                </c:pt>
                <c:pt idx="114">
                  <c:v>116.66670890941886</c:v>
                </c:pt>
                <c:pt idx="115">
                  <c:v>117.23816886117766</c:v>
                </c:pt>
                <c:pt idx="116">
                  <c:v>118.53611966526844</c:v>
                </c:pt>
                <c:pt idx="117">
                  <c:v>118.584234160024</c:v>
                </c:pt>
                <c:pt idx="118">
                  <c:v>119.20283702323776</c:v>
                </c:pt>
                <c:pt idx="119">
                  <c:v>119.28031023077216</c:v>
                </c:pt>
                <c:pt idx="120">
                  <c:v>119.41138949084812</c:v>
                </c:pt>
                <c:pt idx="121">
                  <c:v>118.37563944966145</c:v>
                </c:pt>
                <c:pt idx="122">
                  <c:v>118.11664913592452</c:v>
                </c:pt>
                <c:pt idx="123">
                  <c:v>118.68734871814372</c:v>
                </c:pt>
                <c:pt idx="124">
                  <c:v>117.77321556054025</c:v>
                </c:pt>
                <c:pt idx="125">
                  <c:v>116.89659396689017</c:v>
                </c:pt>
                <c:pt idx="126">
                  <c:v>117.22596070579193</c:v>
                </c:pt>
                <c:pt idx="127">
                  <c:v>118.90730672884804</c:v>
                </c:pt>
                <c:pt idx="128">
                  <c:v>118.76689182053593</c:v>
                </c:pt>
                <c:pt idx="129">
                  <c:v>118.49531316664347</c:v>
                </c:pt>
                <c:pt idx="130">
                  <c:v>118.7739041174011</c:v>
                </c:pt>
                <c:pt idx="131">
                  <c:v>119.97731564206876</c:v>
                </c:pt>
                <c:pt idx="132">
                  <c:v>120.04917056356061</c:v>
                </c:pt>
                <c:pt idx="133">
                  <c:v>121.36199081642573</c:v>
                </c:pt>
                <c:pt idx="134">
                  <c:v>121.49978667410146</c:v>
                </c:pt>
                <c:pt idx="135">
                  <c:v>121.70762101492444</c:v>
                </c:pt>
                <c:pt idx="136">
                  <c:v>122.31866242549441</c:v>
                </c:pt>
                <c:pt idx="137">
                  <c:v>122.9304219628518</c:v>
                </c:pt>
                <c:pt idx="138">
                  <c:v>122.81036806110001</c:v>
                </c:pt>
                <c:pt idx="139">
                  <c:v>123.27246152741351</c:v>
                </c:pt>
                <c:pt idx="140">
                  <c:v>123.07565254491467</c:v>
                </c:pt>
                <c:pt idx="141">
                  <c:v>124.2674895554796</c:v>
                </c:pt>
                <c:pt idx="142">
                  <c:v>124.7575054809972</c:v>
                </c:pt>
                <c:pt idx="143">
                  <c:v>124.36481685654793</c:v>
                </c:pt>
                <c:pt idx="144">
                  <c:v>123.17057200910764</c:v>
                </c:pt>
                <c:pt idx="145">
                  <c:v>123.89697837593525</c:v>
                </c:pt>
                <c:pt idx="146">
                  <c:v>123.51409006999633</c:v>
                </c:pt>
                <c:pt idx="147">
                  <c:v>124.4519214115839</c:v>
                </c:pt>
                <c:pt idx="148">
                  <c:v>124.87519378862582</c:v>
                </c:pt>
                <c:pt idx="149">
                  <c:v>124.70085795029728</c:v>
                </c:pt>
                <c:pt idx="150">
                  <c:v>124.69557760627231</c:v>
                </c:pt>
                <c:pt idx="151">
                  <c:v>125.17845450666813</c:v>
                </c:pt>
                <c:pt idx="152">
                  <c:v>124.14147942566767</c:v>
                </c:pt>
                <c:pt idx="153">
                  <c:v>124.56010509996759</c:v>
                </c:pt>
                <c:pt idx="154">
                  <c:v>123.45431657563364</c:v>
                </c:pt>
                <c:pt idx="155">
                  <c:v>123.89144457539709</c:v>
                </c:pt>
                <c:pt idx="156">
                  <c:v>124.7016605625891</c:v>
                </c:pt>
                <c:pt idx="157">
                  <c:v>125.85835160332378</c:v>
                </c:pt>
                <c:pt idx="158">
                  <c:v>125.1050366033449</c:v>
                </c:pt>
                <c:pt idx="159">
                  <c:v>123.70080303471943</c:v>
                </c:pt>
                <c:pt idx="160">
                  <c:v>121.52356934358998</c:v>
                </c:pt>
                <c:pt idx="161">
                  <c:v>122.18635812560471</c:v>
                </c:pt>
                <c:pt idx="162">
                  <c:v>124.13560768311189</c:v>
                </c:pt>
                <c:pt idx="163">
                  <c:v>123.94779640683161</c:v>
                </c:pt>
                <c:pt idx="164">
                  <c:v>123.71558799798935</c:v>
                </c:pt>
                <c:pt idx="165">
                  <c:v>122.96611708846066</c:v>
                </c:pt>
                <c:pt idx="166">
                  <c:v>124.28721692075693</c:v>
                </c:pt>
                <c:pt idx="167">
                  <c:v>124.32586903901975</c:v>
                </c:pt>
                <c:pt idx="168">
                  <c:v>125.3103786217881</c:v>
                </c:pt>
                <c:pt idx="169">
                  <c:v>125.2713040760033</c:v>
                </c:pt>
                <c:pt idx="170">
                  <c:v>125.44027508480248</c:v>
                </c:pt>
                <c:pt idx="171">
                  <c:v>125.48813612304485</c:v>
                </c:pt>
                <c:pt idx="172">
                  <c:v>125.85370490058185</c:v>
                </c:pt>
                <c:pt idx="173">
                  <c:v>125.70179996367139</c:v>
                </c:pt>
                <c:pt idx="174">
                  <c:v>125.96894312858286</c:v>
                </c:pt>
                <c:pt idx="175">
                  <c:v>126.13571751426764</c:v>
                </c:pt>
                <c:pt idx="176">
                  <c:v>125.58216848944159</c:v>
                </c:pt>
                <c:pt idx="177">
                  <c:v>126.61660900531008</c:v>
                </c:pt>
                <c:pt idx="178">
                  <c:v>126.76931655451234</c:v>
                </c:pt>
                <c:pt idx="179">
                  <c:v>126.80572980690854</c:v>
                </c:pt>
                <c:pt idx="180">
                  <c:v>126.58632095198283</c:v>
                </c:pt>
                <c:pt idx="181">
                  <c:v>127.04347201628899</c:v>
                </c:pt>
                <c:pt idx="182">
                  <c:v>127.26355675524989</c:v>
                </c:pt>
                <c:pt idx="183">
                  <c:v>127.56808475585818</c:v>
                </c:pt>
                <c:pt idx="184">
                  <c:v>127.45770444436013</c:v>
                </c:pt>
                <c:pt idx="185">
                  <c:v>127.08639065252396</c:v>
                </c:pt>
                <c:pt idx="186">
                  <c:v>126.58087163694906</c:v>
                </c:pt>
                <c:pt idx="187">
                  <c:v>124.79298939284509</c:v>
                </c:pt>
                <c:pt idx="188">
                  <c:v>125.97240703426326</c:v>
                </c:pt>
                <c:pt idx="189">
                  <c:v>126.77624436587308</c:v>
                </c:pt>
                <c:pt idx="190">
                  <c:v>126.64389782323116</c:v>
                </c:pt>
                <c:pt idx="191">
                  <c:v>127.29261976876334</c:v>
                </c:pt>
                <c:pt idx="192">
                  <c:v>127.78166411098032</c:v>
                </c:pt>
                <c:pt idx="193">
                  <c:v>127.79315283005333</c:v>
                </c:pt>
                <c:pt idx="194">
                  <c:v>127.76028251952687</c:v>
                </c:pt>
                <c:pt idx="195">
                  <c:v>127.45577830158807</c:v>
                </c:pt>
                <c:pt idx="196">
                  <c:v>127.91928985709295</c:v>
                </c:pt>
                <c:pt idx="197">
                  <c:v>128.67512459499778</c:v>
                </c:pt>
                <c:pt idx="198">
                  <c:v>128.83330473499026</c:v>
                </c:pt>
                <c:pt idx="199">
                  <c:v>128.52888280593274</c:v>
                </c:pt>
                <c:pt idx="200">
                  <c:v>128.82581982621349</c:v>
                </c:pt>
                <c:pt idx="201">
                  <c:v>127.66752820759794</c:v>
                </c:pt>
                <c:pt idx="202">
                  <c:v>128.97200729109917</c:v>
                </c:pt>
                <c:pt idx="203">
                  <c:v>129.6117086770839</c:v>
                </c:pt>
                <c:pt idx="204">
                  <c:v>129.23195068581123</c:v>
                </c:pt>
                <c:pt idx="205">
                  <c:v>129.20297089051962</c:v>
                </c:pt>
                <c:pt idx="206">
                  <c:v>128.56647788380724</c:v>
                </c:pt>
                <c:pt idx="207">
                  <c:v>127.76947648557214</c:v>
                </c:pt>
                <c:pt idx="208">
                  <c:v>125.69527540162311</c:v>
                </c:pt>
                <c:pt idx="209">
                  <c:v>126.97565782525876</c:v>
                </c:pt>
                <c:pt idx="210">
                  <c:v>128.27936821739823</c:v>
                </c:pt>
                <c:pt idx="211">
                  <c:v>128.69668436637994</c:v>
                </c:pt>
                <c:pt idx="212">
                  <c:v>129.78570251809057</c:v>
                </c:pt>
                <c:pt idx="213">
                  <c:v>130.12478508999831</c:v>
                </c:pt>
                <c:pt idx="214">
                  <c:v>129.63738821511711</c:v>
                </c:pt>
                <c:pt idx="215">
                  <c:v>129.66378993524199</c:v>
                </c:pt>
                <c:pt idx="216">
                  <c:v>130.52241611645493</c:v>
                </c:pt>
                <c:pt idx="217">
                  <c:v>129.6535249464574</c:v>
                </c:pt>
                <c:pt idx="218">
                  <c:v>129.98559522149998</c:v>
                </c:pt>
                <c:pt idx="219">
                  <c:v>130.63621809088116</c:v>
                </c:pt>
                <c:pt idx="220">
                  <c:v>130.35399426343434</c:v>
                </c:pt>
                <c:pt idx="221">
                  <c:v>131.04660642850212</c:v>
                </c:pt>
                <c:pt idx="222">
                  <c:v>130.8707076083422</c:v>
                </c:pt>
                <c:pt idx="223">
                  <c:v>130.828380370638</c:v>
                </c:pt>
                <c:pt idx="224">
                  <c:v>130.93115698674009</c:v>
                </c:pt>
                <c:pt idx="225">
                  <c:v>131.37356533052849</c:v>
                </c:pt>
                <c:pt idx="226">
                  <c:v>131.61726376796909</c:v>
                </c:pt>
                <c:pt idx="227">
                  <c:v>132.01354302635536</c:v>
                </c:pt>
                <c:pt idx="228">
                  <c:v>131.88128096921781</c:v>
                </c:pt>
                <c:pt idx="229">
                  <c:v>130.95751646411279</c:v>
                </c:pt>
                <c:pt idx="230">
                  <c:v>130.02378266948861</c:v>
                </c:pt>
                <c:pt idx="231">
                  <c:v>129.39901236445368</c:v>
                </c:pt>
                <c:pt idx="232">
                  <c:v>130.10852163040136</c:v>
                </c:pt>
                <c:pt idx="233">
                  <c:v>131.48352321450457</c:v>
                </c:pt>
                <c:pt idx="234">
                  <c:v>131.88174563949198</c:v>
                </c:pt>
                <c:pt idx="235">
                  <c:v>132.04361986592158</c:v>
                </c:pt>
                <c:pt idx="236">
                  <c:v>131.38640712719723</c:v>
                </c:pt>
                <c:pt idx="237">
                  <c:v>132.37480304316793</c:v>
                </c:pt>
                <c:pt idx="238">
                  <c:v>132.92226911167722</c:v>
                </c:pt>
                <c:pt idx="239">
                  <c:v>132.69931186556673</c:v>
                </c:pt>
                <c:pt idx="240">
                  <c:v>133.13500361175537</c:v>
                </c:pt>
                <c:pt idx="241">
                  <c:v>133.5487713695523</c:v>
                </c:pt>
                <c:pt idx="242">
                  <c:v>133.65551880436115</c:v>
                </c:pt>
                <c:pt idx="243">
                  <c:v>133.89448605355534</c:v>
                </c:pt>
                <c:pt idx="244">
                  <c:v>133.44219290575217</c:v>
                </c:pt>
                <c:pt idx="245">
                  <c:v>132.93616697715089</c:v>
                </c:pt>
                <c:pt idx="246">
                  <c:v>132.47491836588136</c:v>
                </c:pt>
                <c:pt idx="247">
                  <c:v>131.88470263214589</c:v>
                </c:pt>
                <c:pt idx="248">
                  <c:v>132.05515213727205</c:v>
                </c:pt>
                <c:pt idx="249">
                  <c:v>131.63171078922133</c:v>
                </c:pt>
                <c:pt idx="250">
                  <c:v>132.1232474538181</c:v>
                </c:pt>
                <c:pt idx="251">
                  <c:v>131.90607746475897</c:v>
                </c:pt>
                <c:pt idx="252">
                  <c:v>130.80954010315679</c:v>
                </c:pt>
                <c:pt idx="253">
                  <c:v>128.67999847926092</c:v>
                </c:pt>
                <c:pt idx="254">
                  <c:v>128.82666531489861</c:v>
                </c:pt>
                <c:pt idx="255">
                  <c:v>129.86921643918944</c:v>
                </c:pt>
                <c:pt idx="256">
                  <c:v>131.22377253122795</c:v>
                </c:pt>
                <c:pt idx="257">
                  <c:v>131.10164873461838</c:v>
                </c:pt>
                <c:pt idx="258">
                  <c:v>130.76493175683385</c:v>
                </c:pt>
                <c:pt idx="259">
                  <c:v>128.10972132456376</c:v>
                </c:pt>
                <c:pt idx="260">
                  <c:v>127.94269348236578</c:v>
                </c:pt>
                <c:pt idx="261">
                  <c:v>127.00722773490141</c:v>
                </c:pt>
                <c:pt idx="262">
                  <c:v>127.69261638934304</c:v>
                </c:pt>
                <c:pt idx="263">
                  <c:v>126.42774166022468</c:v>
                </c:pt>
                <c:pt idx="264">
                  <c:v>127.41225124299302</c:v>
                </c:pt>
                <c:pt idx="265">
                  <c:v>127.40202849696065</c:v>
                </c:pt>
                <c:pt idx="266">
                  <c:v>128.69550156931828</c:v>
                </c:pt>
                <c:pt idx="267">
                  <c:v>128.57612355160168</c:v>
                </c:pt>
                <c:pt idx="268">
                  <c:v>128.06190252907362</c:v>
                </c:pt>
                <c:pt idx="269">
                  <c:v>127.77258191925726</c:v>
                </c:pt>
                <c:pt idx="270">
                  <c:v>128.37627309094447</c:v>
                </c:pt>
                <c:pt idx="271">
                  <c:v>130.30152876520216</c:v>
                </c:pt>
                <c:pt idx="272">
                  <c:v>131.35240171167638</c:v>
                </c:pt>
                <c:pt idx="273">
                  <c:v>131.54439502042445</c:v>
                </c:pt>
                <c:pt idx="274">
                  <c:v>132.48146599247241</c:v>
                </c:pt>
                <c:pt idx="275">
                  <c:v>132.96746885653101</c:v>
                </c:pt>
                <c:pt idx="276">
                  <c:v>133.16296831371164</c:v>
                </c:pt>
                <c:pt idx="277">
                  <c:v>133.11358653639007</c:v>
                </c:pt>
                <c:pt idx="278">
                  <c:v>133.48219679208546</c:v>
                </c:pt>
                <c:pt idx="279">
                  <c:v>133.80129854220269</c:v>
                </c:pt>
                <c:pt idx="280">
                  <c:v>133.15130931410448</c:v>
                </c:pt>
                <c:pt idx="281">
                  <c:v>134.30846502511335</c:v>
                </c:pt>
                <c:pt idx="282">
                  <c:v>134.10912147748255</c:v>
                </c:pt>
              </c:numCache>
            </c:numRef>
          </c:val>
          <c:smooth val="0"/>
          <c:extLst>
            <c:ext xmlns:c16="http://schemas.microsoft.com/office/drawing/2014/chart" uri="{C3380CC4-5D6E-409C-BE32-E72D297353CC}">
              <c16:uniqueId val="{00000000-7820-4ED0-B04D-8BA4719C5215}"/>
            </c:ext>
          </c:extLst>
        </c:ser>
        <c:ser>
          <c:idx val="1"/>
          <c:order val="1"/>
          <c:tx>
            <c:strRef>
              <c:f>'MSCI Chart'!$I$7</c:f>
              <c:strCache>
                <c:ptCount val="1"/>
                <c:pt idx="0">
                  <c:v>MSCI India</c:v>
                </c:pt>
              </c:strCache>
            </c:strRef>
          </c:tx>
          <c:spPr>
            <a:ln w="28575" cap="rnd">
              <a:solidFill>
                <a:schemeClr val="accent5"/>
              </a:solidFill>
              <a:round/>
            </a:ln>
            <a:effectLst/>
          </c:spPr>
          <c:marker>
            <c:symbol val="none"/>
          </c:marker>
          <c:cat>
            <c:numRef>
              <c:f>'MSCI Chart'!$G$8:$G$291</c:f>
              <c:numCache>
                <c:formatCode>m/d/yyyy</c:formatCode>
                <c:ptCount val="284"/>
                <c:pt idx="0">
                  <c:v>44104</c:v>
                </c:pt>
                <c:pt idx="1">
                  <c:v>44105</c:v>
                </c:pt>
                <c:pt idx="2">
                  <c:v>44106</c:v>
                </c:pt>
                <c:pt idx="3">
                  <c:v>44109</c:v>
                </c:pt>
                <c:pt idx="4">
                  <c:v>44110</c:v>
                </c:pt>
                <c:pt idx="5">
                  <c:v>44111</c:v>
                </c:pt>
                <c:pt idx="6">
                  <c:v>44112</c:v>
                </c:pt>
                <c:pt idx="7">
                  <c:v>44113</c:v>
                </c:pt>
                <c:pt idx="8">
                  <c:v>44116</c:v>
                </c:pt>
                <c:pt idx="9">
                  <c:v>44117</c:v>
                </c:pt>
                <c:pt idx="10">
                  <c:v>44118</c:v>
                </c:pt>
                <c:pt idx="11">
                  <c:v>44119</c:v>
                </c:pt>
                <c:pt idx="12">
                  <c:v>44120</c:v>
                </c:pt>
                <c:pt idx="13">
                  <c:v>44123</c:v>
                </c:pt>
                <c:pt idx="14">
                  <c:v>44124</c:v>
                </c:pt>
                <c:pt idx="15">
                  <c:v>44125</c:v>
                </c:pt>
                <c:pt idx="16">
                  <c:v>44126</c:v>
                </c:pt>
                <c:pt idx="17">
                  <c:v>44127</c:v>
                </c:pt>
                <c:pt idx="18">
                  <c:v>44130</c:v>
                </c:pt>
                <c:pt idx="19">
                  <c:v>44131</c:v>
                </c:pt>
                <c:pt idx="20">
                  <c:v>44132</c:v>
                </c:pt>
                <c:pt idx="21">
                  <c:v>44133</c:v>
                </c:pt>
                <c:pt idx="22">
                  <c:v>44134</c:v>
                </c:pt>
                <c:pt idx="23">
                  <c:v>44137</c:v>
                </c:pt>
                <c:pt idx="24">
                  <c:v>44138</c:v>
                </c:pt>
                <c:pt idx="25">
                  <c:v>44139</c:v>
                </c:pt>
                <c:pt idx="26">
                  <c:v>44140</c:v>
                </c:pt>
                <c:pt idx="27">
                  <c:v>44141</c:v>
                </c:pt>
                <c:pt idx="28">
                  <c:v>44144</c:v>
                </c:pt>
                <c:pt idx="29">
                  <c:v>44145</c:v>
                </c:pt>
                <c:pt idx="30">
                  <c:v>44146</c:v>
                </c:pt>
                <c:pt idx="31">
                  <c:v>44147</c:v>
                </c:pt>
                <c:pt idx="32">
                  <c:v>44148</c:v>
                </c:pt>
                <c:pt idx="33">
                  <c:v>44151</c:v>
                </c:pt>
                <c:pt idx="34">
                  <c:v>44152</c:v>
                </c:pt>
                <c:pt idx="35">
                  <c:v>44153</c:v>
                </c:pt>
                <c:pt idx="36">
                  <c:v>44154</c:v>
                </c:pt>
                <c:pt idx="37">
                  <c:v>44155</c:v>
                </c:pt>
                <c:pt idx="38">
                  <c:v>44158</c:v>
                </c:pt>
                <c:pt idx="39">
                  <c:v>44159</c:v>
                </c:pt>
                <c:pt idx="40">
                  <c:v>44160</c:v>
                </c:pt>
                <c:pt idx="41">
                  <c:v>44161</c:v>
                </c:pt>
                <c:pt idx="42">
                  <c:v>44162</c:v>
                </c:pt>
                <c:pt idx="43">
                  <c:v>44165</c:v>
                </c:pt>
                <c:pt idx="44">
                  <c:v>44166</c:v>
                </c:pt>
                <c:pt idx="45">
                  <c:v>44167</c:v>
                </c:pt>
                <c:pt idx="46">
                  <c:v>44168</c:v>
                </c:pt>
                <c:pt idx="47">
                  <c:v>44169</c:v>
                </c:pt>
                <c:pt idx="48">
                  <c:v>44172</c:v>
                </c:pt>
                <c:pt idx="49">
                  <c:v>44173</c:v>
                </c:pt>
                <c:pt idx="50">
                  <c:v>44174</c:v>
                </c:pt>
                <c:pt idx="51">
                  <c:v>44175</c:v>
                </c:pt>
                <c:pt idx="52">
                  <c:v>44176</c:v>
                </c:pt>
                <c:pt idx="53">
                  <c:v>44179</c:v>
                </c:pt>
                <c:pt idx="54">
                  <c:v>44180</c:v>
                </c:pt>
                <c:pt idx="55">
                  <c:v>44181</c:v>
                </c:pt>
                <c:pt idx="56">
                  <c:v>44182</c:v>
                </c:pt>
                <c:pt idx="57">
                  <c:v>44183</c:v>
                </c:pt>
                <c:pt idx="58">
                  <c:v>44186</c:v>
                </c:pt>
                <c:pt idx="59">
                  <c:v>44187</c:v>
                </c:pt>
                <c:pt idx="60">
                  <c:v>44188</c:v>
                </c:pt>
                <c:pt idx="61">
                  <c:v>44189</c:v>
                </c:pt>
                <c:pt idx="62">
                  <c:v>44190</c:v>
                </c:pt>
                <c:pt idx="63">
                  <c:v>44193</c:v>
                </c:pt>
                <c:pt idx="64">
                  <c:v>44194</c:v>
                </c:pt>
                <c:pt idx="65">
                  <c:v>44195</c:v>
                </c:pt>
                <c:pt idx="66">
                  <c:v>44196</c:v>
                </c:pt>
                <c:pt idx="67">
                  <c:v>44197</c:v>
                </c:pt>
                <c:pt idx="68">
                  <c:v>44200</c:v>
                </c:pt>
                <c:pt idx="69">
                  <c:v>44201</c:v>
                </c:pt>
                <c:pt idx="70">
                  <c:v>44202</c:v>
                </c:pt>
                <c:pt idx="71">
                  <c:v>44203</c:v>
                </c:pt>
                <c:pt idx="72">
                  <c:v>44204</c:v>
                </c:pt>
                <c:pt idx="73">
                  <c:v>44207</c:v>
                </c:pt>
                <c:pt idx="74">
                  <c:v>44208</c:v>
                </c:pt>
                <c:pt idx="75">
                  <c:v>44209</c:v>
                </c:pt>
                <c:pt idx="76">
                  <c:v>44210</c:v>
                </c:pt>
                <c:pt idx="77">
                  <c:v>44211</c:v>
                </c:pt>
                <c:pt idx="78">
                  <c:v>44214</c:v>
                </c:pt>
                <c:pt idx="79">
                  <c:v>44215</c:v>
                </c:pt>
                <c:pt idx="80">
                  <c:v>44216</c:v>
                </c:pt>
                <c:pt idx="81">
                  <c:v>44217</c:v>
                </c:pt>
                <c:pt idx="82">
                  <c:v>44218</c:v>
                </c:pt>
                <c:pt idx="83">
                  <c:v>44221</c:v>
                </c:pt>
                <c:pt idx="84">
                  <c:v>44222</c:v>
                </c:pt>
                <c:pt idx="85">
                  <c:v>44223</c:v>
                </c:pt>
                <c:pt idx="86">
                  <c:v>44224</c:v>
                </c:pt>
                <c:pt idx="87">
                  <c:v>44225</c:v>
                </c:pt>
                <c:pt idx="88">
                  <c:v>44228</c:v>
                </c:pt>
                <c:pt idx="89">
                  <c:v>44229</c:v>
                </c:pt>
                <c:pt idx="90">
                  <c:v>44230</c:v>
                </c:pt>
                <c:pt idx="91">
                  <c:v>44231</c:v>
                </c:pt>
                <c:pt idx="92">
                  <c:v>44232</c:v>
                </c:pt>
                <c:pt idx="93">
                  <c:v>44235</c:v>
                </c:pt>
                <c:pt idx="94">
                  <c:v>44236</c:v>
                </c:pt>
                <c:pt idx="95">
                  <c:v>44237</c:v>
                </c:pt>
                <c:pt idx="96">
                  <c:v>44238</c:v>
                </c:pt>
                <c:pt idx="97">
                  <c:v>44239</c:v>
                </c:pt>
                <c:pt idx="98">
                  <c:v>44242</c:v>
                </c:pt>
                <c:pt idx="99">
                  <c:v>44243</c:v>
                </c:pt>
                <c:pt idx="100">
                  <c:v>44244</c:v>
                </c:pt>
                <c:pt idx="101">
                  <c:v>44245</c:v>
                </c:pt>
                <c:pt idx="102">
                  <c:v>44246</c:v>
                </c:pt>
                <c:pt idx="103">
                  <c:v>44249</c:v>
                </c:pt>
                <c:pt idx="104">
                  <c:v>44250</c:v>
                </c:pt>
                <c:pt idx="105">
                  <c:v>44251</c:v>
                </c:pt>
                <c:pt idx="106">
                  <c:v>44252</c:v>
                </c:pt>
                <c:pt idx="107">
                  <c:v>44253</c:v>
                </c:pt>
                <c:pt idx="108">
                  <c:v>44256</c:v>
                </c:pt>
                <c:pt idx="109">
                  <c:v>44257</c:v>
                </c:pt>
                <c:pt idx="110">
                  <c:v>44258</c:v>
                </c:pt>
                <c:pt idx="111">
                  <c:v>44259</c:v>
                </c:pt>
                <c:pt idx="112">
                  <c:v>44260</c:v>
                </c:pt>
                <c:pt idx="113">
                  <c:v>44263</c:v>
                </c:pt>
                <c:pt idx="114">
                  <c:v>44264</c:v>
                </c:pt>
                <c:pt idx="115">
                  <c:v>44265</c:v>
                </c:pt>
                <c:pt idx="116">
                  <c:v>44266</c:v>
                </c:pt>
                <c:pt idx="117">
                  <c:v>44267</c:v>
                </c:pt>
                <c:pt idx="118">
                  <c:v>44270</c:v>
                </c:pt>
                <c:pt idx="119">
                  <c:v>44271</c:v>
                </c:pt>
                <c:pt idx="120">
                  <c:v>44272</c:v>
                </c:pt>
                <c:pt idx="121">
                  <c:v>44273</c:v>
                </c:pt>
                <c:pt idx="122">
                  <c:v>44274</c:v>
                </c:pt>
                <c:pt idx="123">
                  <c:v>44277</c:v>
                </c:pt>
                <c:pt idx="124">
                  <c:v>44278</c:v>
                </c:pt>
                <c:pt idx="125">
                  <c:v>44279</c:v>
                </c:pt>
                <c:pt idx="126">
                  <c:v>44280</c:v>
                </c:pt>
                <c:pt idx="127">
                  <c:v>44281</c:v>
                </c:pt>
                <c:pt idx="128">
                  <c:v>44284</c:v>
                </c:pt>
                <c:pt idx="129">
                  <c:v>44285</c:v>
                </c:pt>
                <c:pt idx="130">
                  <c:v>44286</c:v>
                </c:pt>
                <c:pt idx="131">
                  <c:v>44287</c:v>
                </c:pt>
                <c:pt idx="132">
                  <c:v>44288</c:v>
                </c:pt>
                <c:pt idx="133">
                  <c:v>44291</c:v>
                </c:pt>
                <c:pt idx="134">
                  <c:v>44292</c:v>
                </c:pt>
                <c:pt idx="135">
                  <c:v>44293</c:v>
                </c:pt>
                <c:pt idx="136">
                  <c:v>44294</c:v>
                </c:pt>
                <c:pt idx="137">
                  <c:v>44295</c:v>
                </c:pt>
                <c:pt idx="138">
                  <c:v>44298</c:v>
                </c:pt>
                <c:pt idx="139">
                  <c:v>44299</c:v>
                </c:pt>
                <c:pt idx="140">
                  <c:v>44300</c:v>
                </c:pt>
                <c:pt idx="141">
                  <c:v>44301</c:v>
                </c:pt>
                <c:pt idx="142">
                  <c:v>44302</c:v>
                </c:pt>
                <c:pt idx="143">
                  <c:v>44305</c:v>
                </c:pt>
                <c:pt idx="144">
                  <c:v>44306</c:v>
                </c:pt>
                <c:pt idx="145">
                  <c:v>44307</c:v>
                </c:pt>
                <c:pt idx="146">
                  <c:v>44308</c:v>
                </c:pt>
                <c:pt idx="147">
                  <c:v>44309</c:v>
                </c:pt>
                <c:pt idx="148">
                  <c:v>44312</c:v>
                </c:pt>
                <c:pt idx="149">
                  <c:v>44313</c:v>
                </c:pt>
                <c:pt idx="150">
                  <c:v>44314</c:v>
                </c:pt>
                <c:pt idx="151">
                  <c:v>44315</c:v>
                </c:pt>
                <c:pt idx="152">
                  <c:v>44316</c:v>
                </c:pt>
                <c:pt idx="153">
                  <c:v>44319</c:v>
                </c:pt>
                <c:pt idx="154">
                  <c:v>44320</c:v>
                </c:pt>
                <c:pt idx="155">
                  <c:v>44321</c:v>
                </c:pt>
                <c:pt idx="156">
                  <c:v>44322</c:v>
                </c:pt>
                <c:pt idx="157">
                  <c:v>44323</c:v>
                </c:pt>
                <c:pt idx="158">
                  <c:v>44326</c:v>
                </c:pt>
                <c:pt idx="159">
                  <c:v>44327</c:v>
                </c:pt>
                <c:pt idx="160">
                  <c:v>44328</c:v>
                </c:pt>
                <c:pt idx="161">
                  <c:v>44329</c:v>
                </c:pt>
                <c:pt idx="162">
                  <c:v>44330</c:v>
                </c:pt>
                <c:pt idx="163">
                  <c:v>44333</c:v>
                </c:pt>
                <c:pt idx="164">
                  <c:v>44334</c:v>
                </c:pt>
                <c:pt idx="165">
                  <c:v>44335</c:v>
                </c:pt>
                <c:pt idx="166">
                  <c:v>44336</c:v>
                </c:pt>
                <c:pt idx="167">
                  <c:v>44337</c:v>
                </c:pt>
                <c:pt idx="168">
                  <c:v>44340</c:v>
                </c:pt>
                <c:pt idx="169">
                  <c:v>44341</c:v>
                </c:pt>
                <c:pt idx="170">
                  <c:v>44342</c:v>
                </c:pt>
                <c:pt idx="171">
                  <c:v>44343</c:v>
                </c:pt>
                <c:pt idx="172">
                  <c:v>44344</c:v>
                </c:pt>
                <c:pt idx="173">
                  <c:v>44347</c:v>
                </c:pt>
                <c:pt idx="174">
                  <c:v>44348</c:v>
                </c:pt>
                <c:pt idx="175">
                  <c:v>44349</c:v>
                </c:pt>
                <c:pt idx="176">
                  <c:v>44350</c:v>
                </c:pt>
                <c:pt idx="177">
                  <c:v>44351</c:v>
                </c:pt>
                <c:pt idx="178">
                  <c:v>44354</c:v>
                </c:pt>
                <c:pt idx="179">
                  <c:v>44355</c:v>
                </c:pt>
                <c:pt idx="180">
                  <c:v>44356</c:v>
                </c:pt>
                <c:pt idx="181">
                  <c:v>44357</c:v>
                </c:pt>
                <c:pt idx="182">
                  <c:v>44358</c:v>
                </c:pt>
                <c:pt idx="183">
                  <c:v>44361</c:v>
                </c:pt>
                <c:pt idx="184">
                  <c:v>44362</c:v>
                </c:pt>
                <c:pt idx="185">
                  <c:v>44363</c:v>
                </c:pt>
                <c:pt idx="186">
                  <c:v>44364</c:v>
                </c:pt>
                <c:pt idx="187">
                  <c:v>44365</c:v>
                </c:pt>
                <c:pt idx="188">
                  <c:v>44368</c:v>
                </c:pt>
                <c:pt idx="189">
                  <c:v>44369</c:v>
                </c:pt>
                <c:pt idx="190">
                  <c:v>44370</c:v>
                </c:pt>
                <c:pt idx="191">
                  <c:v>44371</c:v>
                </c:pt>
                <c:pt idx="192">
                  <c:v>44372</c:v>
                </c:pt>
                <c:pt idx="193">
                  <c:v>44375</c:v>
                </c:pt>
                <c:pt idx="194">
                  <c:v>44376</c:v>
                </c:pt>
                <c:pt idx="195">
                  <c:v>44377</c:v>
                </c:pt>
                <c:pt idx="196">
                  <c:v>44378</c:v>
                </c:pt>
                <c:pt idx="197">
                  <c:v>44379</c:v>
                </c:pt>
                <c:pt idx="198">
                  <c:v>44382</c:v>
                </c:pt>
                <c:pt idx="199">
                  <c:v>44383</c:v>
                </c:pt>
                <c:pt idx="200">
                  <c:v>44384</c:v>
                </c:pt>
                <c:pt idx="201">
                  <c:v>44385</c:v>
                </c:pt>
                <c:pt idx="202">
                  <c:v>44386</c:v>
                </c:pt>
                <c:pt idx="203">
                  <c:v>44389</c:v>
                </c:pt>
                <c:pt idx="204">
                  <c:v>44390</c:v>
                </c:pt>
                <c:pt idx="205">
                  <c:v>44391</c:v>
                </c:pt>
                <c:pt idx="206">
                  <c:v>44392</c:v>
                </c:pt>
                <c:pt idx="207">
                  <c:v>44393</c:v>
                </c:pt>
                <c:pt idx="208">
                  <c:v>44396</c:v>
                </c:pt>
                <c:pt idx="209">
                  <c:v>44397</c:v>
                </c:pt>
                <c:pt idx="210">
                  <c:v>44398</c:v>
                </c:pt>
                <c:pt idx="211">
                  <c:v>44399</c:v>
                </c:pt>
                <c:pt idx="212">
                  <c:v>44400</c:v>
                </c:pt>
                <c:pt idx="213">
                  <c:v>44403</c:v>
                </c:pt>
                <c:pt idx="214">
                  <c:v>44404</c:v>
                </c:pt>
                <c:pt idx="215">
                  <c:v>44405</c:v>
                </c:pt>
                <c:pt idx="216">
                  <c:v>44406</c:v>
                </c:pt>
                <c:pt idx="217">
                  <c:v>44407</c:v>
                </c:pt>
                <c:pt idx="218">
                  <c:v>44410</c:v>
                </c:pt>
                <c:pt idx="219">
                  <c:v>44411</c:v>
                </c:pt>
                <c:pt idx="220">
                  <c:v>44412</c:v>
                </c:pt>
                <c:pt idx="221">
                  <c:v>44413</c:v>
                </c:pt>
                <c:pt idx="222">
                  <c:v>44414</c:v>
                </c:pt>
                <c:pt idx="223">
                  <c:v>44417</c:v>
                </c:pt>
                <c:pt idx="224">
                  <c:v>44418</c:v>
                </c:pt>
                <c:pt idx="225">
                  <c:v>44419</c:v>
                </c:pt>
                <c:pt idx="226">
                  <c:v>44420</c:v>
                </c:pt>
                <c:pt idx="227">
                  <c:v>44421</c:v>
                </c:pt>
                <c:pt idx="228">
                  <c:v>44424</c:v>
                </c:pt>
                <c:pt idx="229">
                  <c:v>44425</c:v>
                </c:pt>
                <c:pt idx="230">
                  <c:v>44426</c:v>
                </c:pt>
                <c:pt idx="231">
                  <c:v>44427</c:v>
                </c:pt>
                <c:pt idx="232">
                  <c:v>44428</c:v>
                </c:pt>
                <c:pt idx="233">
                  <c:v>44431</c:v>
                </c:pt>
                <c:pt idx="234">
                  <c:v>44432</c:v>
                </c:pt>
                <c:pt idx="235">
                  <c:v>44433</c:v>
                </c:pt>
                <c:pt idx="236">
                  <c:v>44434</c:v>
                </c:pt>
                <c:pt idx="237">
                  <c:v>44435</c:v>
                </c:pt>
                <c:pt idx="238">
                  <c:v>44438</c:v>
                </c:pt>
                <c:pt idx="239">
                  <c:v>44439</c:v>
                </c:pt>
                <c:pt idx="240">
                  <c:v>44440</c:v>
                </c:pt>
                <c:pt idx="241">
                  <c:v>44441</c:v>
                </c:pt>
                <c:pt idx="242">
                  <c:v>44442</c:v>
                </c:pt>
                <c:pt idx="243">
                  <c:v>44445</c:v>
                </c:pt>
                <c:pt idx="244">
                  <c:v>44446</c:v>
                </c:pt>
                <c:pt idx="245">
                  <c:v>44447</c:v>
                </c:pt>
                <c:pt idx="246">
                  <c:v>44448</c:v>
                </c:pt>
                <c:pt idx="247">
                  <c:v>44449</c:v>
                </c:pt>
                <c:pt idx="248">
                  <c:v>44452</c:v>
                </c:pt>
                <c:pt idx="249">
                  <c:v>44453</c:v>
                </c:pt>
                <c:pt idx="250">
                  <c:v>44454</c:v>
                </c:pt>
                <c:pt idx="251">
                  <c:v>44455</c:v>
                </c:pt>
                <c:pt idx="252">
                  <c:v>44456</c:v>
                </c:pt>
                <c:pt idx="253">
                  <c:v>44459</c:v>
                </c:pt>
                <c:pt idx="254">
                  <c:v>44460</c:v>
                </c:pt>
                <c:pt idx="255">
                  <c:v>44461</c:v>
                </c:pt>
                <c:pt idx="256">
                  <c:v>44462</c:v>
                </c:pt>
                <c:pt idx="257">
                  <c:v>44463</c:v>
                </c:pt>
                <c:pt idx="258">
                  <c:v>44466</c:v>
                </c:pt>
                <c:pt idx="259">
                  <c:v>44467</c:v>
                </c:pt>
                <c:pt idx="260">
                  <c:v>44468</c:v>
                </c:pt>
                <c:pt idx="261">
                  <c:v>44469</c:v>
                </c:pt>
                <c:pt idx="262">
                  <c:v>44470</c:v>
                </c:pt>
                <c:pt idx="263">
                  <c:v>44473</c:v>
                </c:pt>
                <c:pt idx="264">
                  <c:v>44474</c:v>
                </c:pt>
                <c:pt idx="265">
                  <c:v>44475</c:v>
                </c:pt>
                <c:pt idx="266">
                  <c:v>44476</c:v>
                </c:pt>
                <c:pt idx="267">
                  <c:v>44477</c:v>
                </c:pt>
                <c:pt idx="268">
                  <c:v>44480</c:v>
                </c:pt>
                <c:pt idx="269">
                  <c:v>44481</c:v>
                </c:pt>
                <c:pt idx="270">
                  <c:v>44482</c:v>
                </c:pt>
                <c:pt idx="271">
                  <c:v>44483</c:v>
                </c:pt>
                <c:pt idx="272">
                  <c:v>44484</c:v>
                </c:pt>
                <c:pt idx="273">
                  <c:v>44487</c:v>
                </c:pt>
                <c:pt idx="274">
                  <c:v>44488</c:v>
                </c:pt>
                <c:pt idx="275">
                  <c:v>44489</c:v>
                </c:pt>
                <c:pt idx="276">
                  <c:v>44490</c:v>
                </c:pt>
                <c:pt idx="277">
                  <c:v>44491</c:v>
                </c:pt>
                <c:pt idx="278">
                  <c:v>44494</c:v>
                </c:pt>
                <c:pt idx="279">
                  <c:v>44495</c:v>
                </c:pt>
                <c:pt idx="280">
                  <c:v>44496</c:v>
                </c:pt>
                <c:pt idx="281">
                  <c:v>44497</c:v>
                </c:pt>
                <c:pt idx="282">
                  <c:v>44498</c:v>
                </c:pt>
                <c:pt idx="283">
                  <c:v>44501</c:v>
                </c:pt>
              </c:numCache>
            </c:numRef>
          </c:cat>
          <c:val>
            <c:numRef>
              <c:f>'MSCI Chart'!$I$8:$I$291</c:f>
              <c:numCache>
                <c:formatCode>0</c:formatCode>
                <c:ptCount val="284"/>
                <c:pt idx="0" formatCode="0.0">
                  <c:v>100</c:v>
                </c:pt>
                <c:pt idx="1">
                  <c:v>101.18253226429491</c:v>
                </c:pt>
                <c:pt idx="2">
                  <c:v>101.18253226429491</c:v>
                </c:pt>
                <c:pt idx="3">
                  <c:v>101.95494766508347</c:v>
                </c:pt>
                <c:pt idx="4">
                  <c:v>103.14816433664404</c:v>
                </c:pt>
                <c:pt idx="5">
                  <c:v>103.71660468963294</c:v>
                </c:pt>
                <c:pt idx="6">
                  <c:v>104.40130334825417</c:v>
                </c:pt>
                <c:pt idx="7">
                  <c:v>104.64039497937465</c:v>
                </c:pt>
                <c:pt idx="8">
                  <c:v>104.78422353872055</c:v>
                </c:pt>
                <c:pt idx="9">
                  <c:v>104.88449259152169</c:v>
                </c:pt>
                <c:pt idx="10">
                  <c:v>105.09765772389254</c:v>
                </c:pt>
                <c:pt idx="11">
                  <c:v>102.77107200468625</c:v>
                </c:pt>
                <c:pt idx="12">
                  <c:v>103.22527138768041</c:v>
                </c:pt>
                <c:pt idx="13">
                  <c:v>104.12552609498368</c:v>
                </c:pt>
                <c:pt idx="14">
                  <c:v>104.28855670095396</c:v>
                </c:pt>
                <c:pt idx="15">
                  <c:v>104.25254352401645</c:v>
                </c:pt>
                <c:pt idx="16">
                  <c:v>103.93671842253325</c:v>
                </c:pt>
                <c:pt idx="17">
                  <c:v>104.28504504262187</c:v>
                </c:pt>
                <c:pt idx="18">
                  <c:v>102.72825965948874</c:v>
                </c:pt>
                <c:pt idx="19">
                  <c:v>103.15884874390976</c:v>
                </c:pt>
                <c:pt idx="20">
                  <c:v>101.85228769597114</c:v>
                </c:pt>
                <c:pt idx="21">
                  <c:v>101.58099341078413</c:v>
                </c:pt>
                <c:pt idx="22">
                  <c:v>101.3963698418783</c:v>
                </c:pt>
                <c:pt idx="23">
                  <c:v>101.08995897337049</c:v>
                </c:pt>
                <c:pt idx="24">
                  <c:v>102.04923942710664</c:v>
                </c:pt>
                <c:pt idx="25">
                  <c:v>102.8201605052007</c:v>
                </c:pt>
                <c:pt idx="26">
                  <c:v>104.56209247018276</c:v>
                </c:pt>
                <c:pt idx="27">
                  <c:v>105.47826171418249</c:v>
                </c:pt>
                <c:pt idx="28">
                  <c:v>107.07524437779776</c:v>
                </c:pt>
                <c:pt idx="29">
                  <c:v>107.73872365415703</c:v>
                </c:pt>
                <c:pt idx="30">
                  <c:v>108.79633054119147</c:v>
                </c:pt>
                <c:pt idx="31">
                  <c:v>108.68657253928023</c:v>
                </c:pt>
                <c:pt idx="32">
                  <c:v>109.15250235542624</c:v>
                </c:pt>
                <c:pt idx="33">
                  <c:v>109.59258038895734</c:v>
                </c:pt>
                <c:pt idx="34">
                  <c:v>110.03968173915261</c:v>
                </c:pt>
                <c:pt idx="35">
                  <c:v>110.37231797094897</c:v>
                </c:pt>
                <c:pt idx="36">
                  <c:v>109.02137553898362</c:v>
                </c:pt>
                <c:pt idx="37">
                  <c:v>109.31979178107584</c:v>
                </c:pt>
                <c:pt idx="38">
                  <c:v>110.06852216715652</c:v>
                </c:pt>
                <c:pt idx="39">
                  <c:v>110.7896075833889</c:v>
                </c:pt>
                <c:pt idx="40">
                  <c:v>109.36379958442895</c:v>
                </c:pt>
                <c:pt idx="41">
                  <c:v>110.40691154132671</c:v>
                </c:pt>
                <c:pt idx="42">
                  <c:v>109.98282276062679</c:v>
                </c:pt>
                <c:pt idx="43">
                  <c:v>109.98282276062679</c:v>
                </c:pt>
                <c:pt idx="44">
                  <c:v>111.48147899094376</c:v>
                </c:pt>
                <c:pt idx="45">
                  <c:v>111.93156898652802</c:v>
                </c:pt>
                <c:pt idx="46">
                  <c:v>112.45189214875396</c:v>
                </c:pt>
                <c:pt idx="47">
                  <c:v>113.33877266794144</c:v>
                </c:pt>
                <c:pt idx="48">
                  <c:v>114.3833789475337</c:v>
                </c:pt>
                <c:pt idx="49">
                  <c:v>114.73588967116694</c:v>
                </c:pt>
                <c:pt idx="50">
                  <c:v>115.55634754658375</c:v>
                </c:pt>
                <c:pt idx="51">
                  <c:v>115.29648483000969</c:v>
                </c:pt>
                <c:pt idx="52">
                  <c:v>115.53624890634268</c:v>
                </c:pt>
                <c:pt idx="53">
                  <c:v>115.93157197517341</c:v>
                </c:pt>
                <c:pt idx="54">
                  <c:v>115.90497303121126</c:v>
                </c:pt>
                <c:pt idx="55">
                  <c:v>116.87785182146737</c:v>
                </c:pt>
                <c:pt idx="56">
                  <c:v>117.03221535580954</c:v>
                </c:pt>
                <c:pt idx="57">
                  <c:v>117.57898802972815</c:v>
                </c:pt>
                <c:pt idx="58">
                  <c:v>113.86432595959809</c:v>
                </c:pt>
                <c:pt idx="59">
                  <c:v>115.30089308195846</c:v>
                </c:pt>
                <c:pt idx="60">
                  <c:v>116.65198494619328</c:v>
                </c:pt>
                <c:pt idx="61">
                  <c:v>117.71078729138331</c:v>
                </c:pt>
                <c:pt idx="62">
                  <c:v>117.71078729138331</c:v>
                </c:pt>
                <c:pt idx="63">
                  <c:v>118.66087766054827</c:v>
                </c:pt>
                <c:pt idx="64">
                  <c:v>118.92948216488516</c:v>
                </c:pt>
                <c:pt idx="65">
                  <c:v>119.41737852464036</c:v>
                </c:pt>
                <c:pt idx="66">
                  <c:v>119.55679883203747</c:v>
                </c:pt>
                <c:pt idx="67">
                  <c:v>120.0402869398439</c:v>
                </c:pt>
                <c:pt idx="68">
                  <c:v>121.43942127870699</c:v>
                </c:pt>
                <c:pt idx="69">
                  <c:v>122.30642730605759</c:v>
                </c:pt>
                <c:pt idx="70">
                  <c:v>121.84371028370477</c:v>
                </c:pt>
                <c:pt idx="71">
                  <c:v>121.85431997483573</c:v>
                </c:pt>
                <c:pt idx="72">
                  <c:v>123.89294971081132</c:v>
                </c:pt>
                <c:pt idx="73">
                  <c:v>125.07219446517827</c:v>
                </c:pt>
                <c:pt idx="74">
                  <c:v>125.32279238104643</c:v>
                </c:pt>
                <c:pt idx="75">
                  <c:v>125.05000377316492</c:v>
                </c:pt>
                <c:pt idx="76">
                  <c:v>125.31972901952271</c:v>
                </c:pt>
                <c:pt idx="77">
                  <c:v>123.58429735826174</c:v>
                </c:pt>
                <c:pt idx="78">
                  <c:v>121.87740726046577</c:v>
                </c:pt>
                <c:pt idx="79">
                  <c:v>123.99247160226518</c:v>
                </c:pt>
                <c:pt idx="80">
                  <c:v>125.27161182875967</c:v>
                </c:pt>
                <c:pt idx="81">
                  <c:v>124.90169224573548</c:v>
                </c:pt>
                <c:pt idx="82">
                  <c:v>123.26122479171019</c:v>
                </c:pt>
                <c:pt idx="83">
                  <c:v>121.88428114486047</c:v>
                </c:pt>
                <c:pt idx="84">
                  <c:v>121.88428114486047</c:v>
                </c:pt>
                <c:pt idx="85">
                  <c:v>119.79170635961331</c:v>
                </c:pt>
                <c:pt idx="86">
                  <c:v>118.812626130175</c:v>
                </c:pt>
                <c:pt idx="87">
                  <c:v>116.57487789515692</c:v>
                </c:pt>
                <c:pt idx="88">
                  <c:v>121.21355440343285</c:v>
                </c:pt>
                <c:pt idx="89">
                  <c:v>123.86171836649619</c:v>
                </c:pt>
                <c:pt idx="90">
                  <c:v>125.01204797672453</c:v>
                </c:pt>
                <c:pt idx="91">
                  <c:v>125.91372229058759</c:v>
                </c:pt>
                <c:pt idx="92">
                  <c:v>125.52796288700166</c:v>
                </c:pt>
                <c:pt idx="93">
                  <c:v>127.28991877609003</c:v>
                </c:pt>
                <c:pt idx="94">
                  <c:v>127.16559112790739</c:v>
                </c:pt>
                <c:pt idx="95">
                  <c:v>127.61769845912926</c:v>
                </c:pt>
                <c:pt idx="96">
                  <c:v>128.38847010495383</c:v>
                </c:pt>
                <c:pt idx="97">
                  <c:v>128.32309348706931</c:v>
                </c:pt>
                <c:pt idx="98">
                  <c:v>129.37315404449652</c:v>
                </c:pt>
                <c:pt idx="99">
                  <c:v>129.29619642572962</c:v>
                </c:pt>
                <c:pt idx="100">
                  <c:v>128.80889779505222</c:v>
                </c:pt>
                <c:pt idx="101">
                  <c:v>128.35402596684551</c:v>
                </c:pt>
                <c:pt idx="102">
                  <c:v>127.1289055057573</c:v>
                </c:pt>
                <c:pt idx="103">
                  <c:v>124.36209232075043</c:v>
                </c:pt>
                <c:pt idx="104">
                  <c:v>125.07518311056722</c:v>
                </c:pt>
                <c:pt idx="105">
                  <c:v>126.60529483360347</c:v>
                </c:pt>
                <c:pt idx="106">
                  <c:v>127.68128188978028</c:v>
                </c:pt>
                <c:pt idx="107">
                  <c:v>123.43994578597265</c:v>
                </c:pt>
                <c:pt idx="108">
                  <c:v>125.26167458284115</c:v>
                </c:pt>
                <c:pt idx="109">
                  <c:v>126.89011273917569</c:v>
                </c:pt>
                <c:pt idx="110">
                  <c:v>129.65319011744631</c:v>
                </c:pt>
                <c:pt idx="111">
                  <c:v>128.63899330468718</c:v>
                </c:pt>
                <c:pt idx="112">
                  <c:v>127.38211848634079</c:v>
                </c:pt>
                <c:pt idx="113">
                  <c:v>127.53386695596754</c:v>
                </c:pt>
                <c:pt idx="114">
                  <c:v>128.16618960414644</c:v>
                </c:pt>
                <c:pt idx="115">
                  <c:v>129.11411320540435</c:v>
                </c:pt>
                <c:pt idx="116">
                  <c:v>129.11411320540435</c:v>
                </c:pt>
                <c:pt idx="117">
                  <c:v>127.79283307892489</c:v>
                </c:pt>
                <c:pt idx="118">
                  <c:v>127.05814932617254</c:v>
                </c:pt>
                <c:pt idx="119">
                  <c:v>127.22386971299289</c:v>
                </c:pt>
                <c:pt idx="120">
                  <c:v>125.50891027264663</c:v>
                </c:pt>
                <c:pt idx="121">
                  <c:v>123.8502120817484</c:v>
                </c:pt>
                <c:pt idx="122">
                  <c:v>125.58885653680254</c:v>
                </c:pt>
                <c:pt idx="123">
                  <c:v>126.06337870844193</c:v>
                </c:pt>
                <c:pt idx="124">
                  <c:v>126.71490340324522</c:v>
                </c:pt>
                <c:pt idx="125">
                  <c:v>124.5567278517094</c:v>
                </c:pt>
                <c:pt idx="126">
                  <c:v>122.3733729627712</c:v>
                </c:pt>
                <c:pt idx="127">
                  <c:v>123.93045721044324</c:v>
                </c:pt>
                <c:pt idx="128">
                  <c:v>123.93045721044324</c:v>
                </c:pt>
                <c:pt idx="129">
                  <c:v>126.32675308334811</c:v>
                </c:pt>
                <c:pt idx="130">
                  <c:v>125.54141179125209</c:v>
                </c:pt>
                <c:pt idx="131">
                  <c:v>127.14960187507612</c:v>
                </c:pt>
                <c:pt idx="132">
                  <c:v>127.14960187507612</c:v>
                </c:pt>
                <c:pt idx="133">
                  <c:v>125.57226955489357</c:v>
                </c:pt>
                <c:pt idx="134">
                  <c:v>126.23119114703465</c:v>
                </c:pt>
                <c:pt idx="135">
                  <c:v>127.54350533734709</c:v>
                </c:pt>
                <c:pt idx="136">
                  <c:v>128.38391242073553</c:v>
                </c:pt>
                <c:pt idx="137">
                  <c:v>128.14407362826779</c:v>
                </c:pt>
                <c:pt idx="138">
                  <c:v>123.55015208469223</c:v>
                </c:pt>
                <c:pt idx="139">
                  <c:v>124.95892480493484</c:v>
                </c:pt>
                <c:pt idx="140">
                  <c:v>124.95892480493484</c:v>
                </c:pt>
                <c:pt idx="141">
                  <c:v>125.41499209129712</c:v>
                </c:pt>
                <c:pt idx="142">
                  <c:v>125.96071873932958</c:v>
                </c:pt>
                <c:pt idx="143">
                  <c:v>123.74404045430397</c:v>
                </c:pt>
                <c:pt idx="144">
                  <c:v>123.43493980494603</c:v>
                </c:pt>
                <c:pt idx="145">
                  <c:v>123.43493980494603</c:v>
                </c:pt>
                <c:pt idx="146">
                  <c:v>123.90550202144499</c:v>
                </c:pt>
                <c:pt idx="147">
                  <c:v>123.46818848489872</c:v>
                </c:pt>
                <c:pt idx="148">
                  <c:v>124.74336875625278</c:v>
                </c:pt>
                <c:pt idx="149">
                  <c:v>125.97140314659525</c:v>
                </c:pt>
                <c:pt idx="150">
                  <c:v>127.34505928351706</c:v>
                </c:pt>
                <c:pt idx="151">
                  <c:v>127.66260285609893</c:v>
                </c:pt>
                <c:pt idx="152">
                  <c:v>125.95765537780584</c:v>
                </c:pt>
                <c:pt idx="153">
                  <c:v>126.1931606344595</c:v>
                </c:pt>
                <c:pt idx="154">
                  <c:v>125.14302536089758</c:v>
                </c:pt>
                <c:pt idx="155">
                  <c:v>126.2650375560651</c:v>
                </c:pt>
                <c:pt idx="156">
                  <c:v>127.26204965783744</c:v>
                </c:pt>
                <c:pt idx="157">
                  <c:v>127.9146950946616</c:v>
                </c:pt>
                <c:pt idx="158">
                  <c:v>128.98978555722169</c:v>
                </c:pt>
                <c:pt idx="159">
                  <c:v>128.48866444162016</c:v>
                </c:pt>
                <c:pt idx="160">
                  <c:v>127.33497260532918</c:v>
                </c:pt>
                <c:pt idx="161">
                  <c:v>127.33497260532918</c:v>
                </c:pt>
                <c:pt idx="162">
                  <c:v>127.02310745898642</c:v>
                </c:pt>
                <c:pt idx="163">
                  <c:v>128.68434599846529</c:v>
                </c:pt>
                <c:pt idx="164">
                  <c:v>130.24374644631382</c:v>
                </c:pt>
                <c:pt idx="165">
                  <c:v>129.90348916877551</c:v>
                </c:pt>
                <c:pt idx="166">
                  <c:v>129.02893681181769</c:v>
                </c:pt>
                <c:pt idx="167">
                  <c:v>130.62061462986745</c:v>
                </c:pt>
                <c:pt idx="168">
                  <c:v>130.78117960339179</c:v>
                </c:pt>
                <c:pt idx="169">
                  <c:v>131.18748594402712</c:v>
                </c:pt>
                <c:pt idx="170">
                  <c:v>131.9831380627152</c:v>
                </c:pt>
                <c:pt idx="171">
                  <c:v>132.16581901211816</c:v>
                </c:pt>
                <c:pt idx="172">
                  <c:v>132.76115717360813</c:v>
                </c:pt>
                <c:pt idx="173">
                  <c:v>134.02468172794508</c:v>
                </c:pt>
                <c:pt idx="174">
                  <c:v>134.05411988502678</c:v>
                </c:pt>
                <c:pt idx="175">
                  <c:v>134.73582989825903</c:v>
                </c:pt>
                <c:pt idx="176">
                  <c:v>135.72268060570872</c:v>
                </c:pt>
                <c:pt idx="177">
                  <c:v>135.86561257143791</c:v>
                </c:pt>
                <c:pt idx="178">
                  <c:v>136.54171887456573</c:v>
                </c:pt>
                <c:pt idx="179">
                  <c:v>136.77968976366532</c:v>
                </c:pt>
                <c:pt idx="180">
                  <c:v>135.76721142200486</c:v>
                </c:pt>
                <c:pt idx="181">
                  <c:v>136.88578667497501</c:v>
                </c:pt>
                <c:pt idx="182">
                  <c:v>137.4589341444516</c:v>
                </c:pt>
                <c:pt idx="183">
                  <c:v>137.51003998060361</c:v>
                </c:pt>
                <c:pt idx="184">
                  <c:v>137.90902414003588</c:v>
                </c:pt>
                <c:pt idx="185">
                  <c:v>136.90648304429391</c:v>
                </c:pt>
                <c:pt idx="186">
                  <c:v>136.1936164028813</c:v>
                </c:pt>
                <c:pt idx="187">
                  <c:v>135.84357131169398</c:v>
                </c:pt>
                <c:pt idx="188">
                  <c:v>136.44951916431492</c:v>
                </c:pt>
                <c:pt idx="189">
                  <c:v>136.86523973792563</c:v>
                </c:pt>
                <c:pt idx="190">
                  <c:v>136.02214287368707</c:v>
                </c:pt>
                <c:pt idx="191">
                  <c:v>136.56906497987515</c:v>
                </c:pt>
                <c:pt idx="192">
                  <c:v>137.10500381425862</c:v>
                </c:pt>
                <c:pt idx="193">
                  <c:v>136.82063420549471</c:v>
                </c:pt>
                <c:pt idx="194">
                  <c:v>136.32040968350987</c:v>
                </c:pt>
                <c:pt idx="195">
                  <c:v>136.06921403856393</c:v>
                </c:pt>
                <c:pt idx="196">
                  <c:v>135.86135375175857</c:v>
                </c:pt>
                <c:pt idx="197">
                  <c:v>136.17478793693056</c:v>
                </c:pt>
                <c:pt idx="198">
                  <c:v>136.97649206253138</c:v>
                </c:pt>
                <c:pt idx="199">
                  <c:v>136.52580433786929</c:v>
                </c:pt>
                <c:pt idx="200">
                  <c:v>137.0651801144501</c:v>
                </c:pt>
                <c:pt idx="201">
                  <c:v>136.01795877014246</c:v>
                </c:pt>
                <c:pt idx="202">
                  <c:v>135.94085171910609</c:v>
                </c:pt>
                <c:pt idx="203">
                  <c:v>136.06734613519578</c:v>
                </c:pt>
                <c:pt idx="204">
                  <c:v>136.7894775773143</c:v>
                </c:pt>
                <c:pt idx="205">
                  <c:v>137.07242757951843</c:v>
                </c:pt>
                <c:pt idx="206">
                  <c:v>137.51781045861503</c:v>
                </c:pt>
                <c:pt idx="207">
                  <c:v>137.58326179263426</c:v>
                </c:pt>
                <c:pt idx="208">
                  <c:v>136.52983900914444</c:v>
                </c:pt>
                <c:pt idx="209">
                  <c:v>135.67232193090393</c:v>
                </c:pt>
                <c:pt idx="210">
                  <c:v>135.67232193090393</c:v>
                </c:pt>
                <c:pt idx="211">
                  <c:v>137.60134309723773</c:v>
                </c:pt>
                <c:pt idx="212">
                  <c:v>137.78544365320047</c:v>
                </c:pt>
                <c:pt idx="213">
                  <c:v>137.62853977027768</c:v>
                </c:pt>
                <c:pt idx="214">
                  <c:v>136.83094503208676</c:v>
                </c:pt>
                <c:pt idx="215">
                  <c:v>136.8337095290716</c:v>
                </c:pt>
                <c:pt idx="216">
                  <c:v>137.36449295015902</c:v>
                </c:pt>
                <c:pt idx="217">
                  <c:v>137.23740080499155</c:v>
                </c:pt>
                <c:pt idx="218">
                  <c:v>138.58998699192085</c:v>
                </c:pt>
                <c:pt idx="219">
                  <c:v>140.61449537843342</c:v>
                </c:pt>
                <c:pt idx="220">
                  <c:v>141.05845865097024</c:v>
                </c:pt>
                <c:pt idx="221">
                  <c:v>141.21132786261788</c:v>
                </c:pt>
                <c:pt idx="222">
                  <c:v>140.70527548212448</c:v>
                </c:pt>
                <c:pt idx="223">
                  <c:v>140.59327599617149</c:v>
                </c:pt>
                <c:pt idx="224">
                  <c:v>140.67777994454559</c:v>
                </c:pt>
                <c:pt idx="225">
                  <c:v>140.8097286384702</c:v>
                </c:pt>
                <c:pt idx="226">
                  <c:v>141.52356658963424</c:v>
                </c:pt>
                <c:pt idx="227">
                  <c:v>142.5878232126592</c:v>
                </c:pt>
                <c:pt idx="228">
                  <c:v>142.94511576891483</c:v>
                </c:pt>
                <c:pt idx="229">
                  <c:v>143.8105527574362</c:v>
                </c:pt>
                <c:pt idx="230">
                  <c:v>143.67046000482657</c:v>
                </c:pt>
                <c:pt idx="231">
                  <c:v>143.67046000482657</c:v>
                </c:pt>
                <c:pt idx="232">
                  <c:v>142.53970602189622</c:v>
                </c:pt>
                <c:pt idx="233">
                  <c:v>142.80644262286498</c:v>
                </c:pt>
                <c:pt idx="234">
                  <c:v>143.79807516293712</c:v>
                </c:pt>
                <c:pt idx="235">
                  <c:v>144.11703834207876</c:v>
                </c:pt>
                <c:pt idx="236">
                  <c:v>144.34581914660714</c:v>
                </c:pt>
                <c:pt idx="237">
                  <c:v>145.21940019381353</c:v>
                </c:pt>
                <c:pt idx="238">
                  <c:v>147.31384288242879</c:v>
                </c:pt>
                <c:pt idx="239">
                  <c:v>149.31122931203612</c:v>
                </c:pt>
                <c:pt idx="240">
                  <c:v>149.08820164988154</c:v>
                </c:pt>
                <c:pt idx="241">
                  <c:v>150.54322365751901</c:v>
                </c:pt>
                <c:pt idx="242">
                  <c:v>151.5094527117846</c:v>
                </c:pt>
                <c:pt idx="243">
                  <c:v>152.02970115787576</c:v>
                </c:pt>
                <c:pt idx="244">
                  <c:v>151.72336500550267</c:v>
                </c:pt>
                <c:pt idx="245">
                  <c:v>151.69713964221415</c:v>
                </c:pt>
                <c:pt idx="246">
                  <c:v>151.98121038643916</c:v>
                </c:pt>
                <c:pt idx="247">
                  <c:v>151.98121038643916</c:v>
                </c:pt>
                <c:pt idx="248">
                  <c:v>152.05801857293662</c:v>
                </c:pt>
                <c:pt idx="249">
                  <c:v>152.33177849056958</c:v>
                </c:pt>
                <c:pt idx="250">
                  <c:v>153.56937654615689</c:v>
                </c:pt>
                <c:pt idx="251">
                  <c:v>154.11062022610582</c:v>
                </c:pt>
                <c:pt idx="252">
                  <c:v>153.21716468706256</c:v>
                </c:pt>
                <c:pt idx="253">
                  <c:v>151.34291044748227</c:v>
                </c:pt>
                <c:pt idx="254">
                  <c:v>152.8349169418087</c:v>
                </c:pt>
                <c:pt idx="255">
                  <c:v>153.02895474368989</c:v>
                </c:pt>
                <c:pt idx="256">
                  <c:v>155.13990969807944</c:v>
                </c:pt>
                <c:pt idx="257">
                  <c:v>154.93137696606155</c:v>
                </c:pt>
                <c:pt idx="258">
                  <c:v>154.56930257718349</c:v>
                </c:pt>
                <c:pt idx="259">
                  <c:v>153.50467237348491</c:v>
                </c:pt>
                <c:pt idx="260">
                  <c:v>153.27962737569274</c:v>
                </c:pt>
                <c:pt idx="261">
                  <c:v>152.58887671015879</c:v>
                </c:pt>
                <c:pt idx="262">
                  <c:v>152.06646149616057</c:v>
                </c:pt>
                <c:pt idx="263">
                  <c:v>153.69086498121996</c:v>
                </c:pt>
                <c:pt idx="264">
                  <c:v>154.78351373544049</c:v>
                </c:pt>
                <c:pt idx="265">
                  <c:v>153.0322422536178</c:v>
                </c:pt>
                <c:pt idx="266">
                  <c:v>154.65776648069809</c:v>
                </c:pt>
                <c:pt idx="267">
                  <c:v>155.49511020256278</c:v>
                </c:pt>
                <c:pt idx="268">
                  <c:v>155.69011931419544</c:v>
                </c:pt>
                <c:pt idx="269">
                  <c:v>156.19684413990134</c:v>
                </c:pt>
                <c:pt idx="270">
                  <c:v>157.77679152479928</c:v>
                </c:pt>
                <c:pt idx="271">
                  <c:v>158.81392619091901</c:v>
                </c:pt>
                <c:pt idx="272">
                  <c:v>158.81392619091901</c:v>
                </c:pt>
                <c:pt idx="273">
                  <c:v>159.96253733004869</c:v>
                </c:pt>
                <c:pt idx="274">
                  <c:v>159.06631729402059</c:v>
                </c:pt>
                <c:pt idx="275">
                  <c:v>157.43257429212056</c:v>
                </c:pt>
                <c:pt idx="276">
                  <c:v>156.30301576734581</c:v>
                </c:pt>
                <c:pt idx="277">
                  <c:v>155.39222608504627</c:v>
                </c:pt>
                <c:pt idx="278">
                  <c:v>155.24600660938918</c:v>
                </c:pt>
                <c:pt idx="279">
                  <c:v>156.71746616666618</c:v>
                </c:pt>
                <c:pt idx="280">
                  <c:v>156.55876909650996</c:v>
                </c:pt>
                <c:pt idx="281">
                  <c:v>153.78553032391676</c:v>
                </c:pt>
                <c:pt idx="282">
                  <c:v>152.56735846335798</c:v>
                </c:pt>
              </c:numCache>
            </c:numRef>
          </c:val>
          <c:smooth val="0"/>
          <c:extLst>
            <c:ext xmlns:c16="http://schemas.microsoft.com/office/drawing/2014/chart" uri="{C3380CC4-5D6E-409C-BE32-E72D297353CC}">
              <c16:uniqueId val="{00000001-7820-4ED0-B04D-8BA4719C5215}"/>
            </c:ext>
          </c:extLst>
        </c:ser>
        <c:ser>
          <c:idx val="2"/>
          <c:order val="2"/>
          <c:tx>
            <c:strRef>
              <c:f>'MSCI Chart'!$J$7</c:f>
              <c:strCache>
                <c:ptCount val="1"/>
                <c:pt idx="0">
                  <c:v>MSCI All country</c:v>
                </c:pt>
              </c:strCache>
            </c:strRef>
          </c:tx>
          <c:spPr>
            <a:ln w="28575" cap="rnd">
              <a:solidFill>
                <a:schemeClr val="tx1">
                  <a:lumMod val="75000"/>
                  <a:lumOff val="25000"/>
                </a:schemeClr>
              </a:solidFill>
              <a:round/>
            </a:ln>
            <a:effectLst/>
          </c:spPr>
          <c:marker>
            <c:symbol val="none"/>
          </c:marker>
          <c:cat>
            <c:numRef>
              <c:f>'MSCI Chart'!$G$8:$G$291</c:f>
              <c:numCache>
                <c:formatCode>m/d/yyyy</c:formatCode>
                <c:ptCount val="284"/>
                <c:pt idx="0">
                  <c:v>44104</c:v>
                </c:pt>
                <c:pt idx="1">
                  <c:v>44105</c:v>
                </c:pt>
                <c:pt idx="2">
                  <c:v>44106</c:v>
                </c:pt>
                <c:pt idx="3">
                  <c:v>44109</c:v>
                </c:pt>
                <c:pt idx="4">
                  <c:v>44110</c:v>
                </c:pt>
                <c:pt idx="5">
                  <c:v>44111</c:v>
                </c:pt>
                <c:pt idx="6">
                  <c:v>44112</c:v>
                </c:pt>
                <c:pt idx="7">
                  <c:v>44113</c:v>
                </c:pt>
                <c:pt idx="8">
                  <c:v>44116</c:v>
                </c:pt>
                <c:pt idx="9">
                  <c:v>44117</c:v>
                </c:pt>
                <c:pt idx="10">
                  <c:v>44118</c:v>
                </c:pt>
                <c:pt idx="11">
                  <c:v>44119</c:v>
                </c:pt>
                <c:pt idx="12">
                  <c:v>44120</c:v>
                </c:pt>
                <c:pt idx="13">
                  <c:v>44123</c:v>
                </c:pt>
                <c:pt idx="14">
                  <c:v>44124</c:v>
                </c:pt>
                <c:pt idx="15">
                  <c:v>44125</c:v>
                </c:pt>
                <c:pt idx="16">
                  <c:v>44126</c:v>
                </c:pt>
                <c:pt idx="17">
                  <c:v>44127</c:v>
                </c:pt>
                <c:pt idx="18">
                  <c:v>44130</c:v>
                </c:pt>
                <c:pt idx="19">
                  <c:v>44131</c:v>
                </c:pt>
                <c:pt idx="20">
                  <c:v>44132</c:v>
                </c:pt>
                <c:pt idx="21">
                  <c:v>44133</c:v>
                </c:pt>
                <c:pt idx="22">
                  <c:v>44134</c:v>
                </c:pt>
                <c:pt idx="23">
                  <c:v>44137</c:v>
                </c:pt>
                <c:pt idx="24">
                  <c:v>44138</c:v>
                </c:pt>
                <c:pt idx="25">
                  <c:v>44139</c:v>
                </c:pt>
                <c:pt idx="26">
                  <c:v>44140</c:v>
                </c:pt>
                <c:pt idx="27">
                  <c:v>44141</c:v>
                </c:pt>
                <c:pt idx="28">
                  <c:v>44144</c:v>
                </c:pt>
                <c:pt idx="29">
                  <c:v>44145</c:v>
                </c:pt>
                <c:pt idx="30">
                  <c:v>44146</c:v>
                </c:pt>
                <c:pt idx="31">
                  <c:v>44147</c:v>
                </c:pt>
                <c:pt idx="32">
                  <c:v>44148</c:v>
                </c:pt>
                <c:pt idx="33">
                  <c:v>44151</c:v>
                </c:pt>
                <c:pt idx="34">
                  <c:v>44152</c:v>
                </c:pt>
                <c:pt idx="35">
                  <c:v>44153</c:v>
                </c:pt>
                <c:pt idx="36">
                  <c:v>44154</c:v>
                </c:pt>
                <c:pt idx="37">
                  <c:v>44155</c:v>
                </c:pt>
                <c:pt idx="38">
                  <c:v>44158</c:v>
                </c:pt>
                <c:pt idx="39">
                  <c:v>44159</c:v>
                </c:pt>
                <c:pt idx="40">
                  <c:v>44160</c:v>
                </c:pt>
                <c:pt idx="41">
                  <c:v>44161</c:v>
                </c:pt>
                <c:pt idx="42">
                  <c:v>44162</c:v>
                </c:pt>
                <c:pt idx="43">
                  <c:v>44165</c:v>
                </c:pt>
                <c:pt idx="44">
                  <c:v>44166</c:v>
                </c:pt>
                <c:pt idx="45">
                  <c:v>44167</c:v>
                </c:pt>
                <c:pt idx="46">
                  <c:v>44168</c:v>
                </c:pt>
                <c:pt idx="47">
                  <c:v>44169</c:v>
                </c:pt>
                <c:pt idx="48">
                  <c:v>44172</c:v>
                </c:pt>
                <c:pt idx="49">
                  <c:v>44173</c:v>
                </c:pt>
                <c:pt idx="50">
                  <c:v>44174</c:v>
                </c:pt>
                <c:pt idx="51">
                  <c:v>44175</c:v>
                </c:pt>
                <c:pt idx="52">
                  <c:v>44176</c:v>
                </c:pt>
                <c:pt idx="53">
                  <c:v>44179</c:v>
                </c:pt>
                <c:pt idx="54">
                  <c:v>44180</c:v>
                </c:pt>
                <c:pt idx="55">
                  <c:v>44181</c:v>
                </c:pt>
                <c:pt idx="56">
                  <c:v>44182</c:v>
                </c:pt>
                <c:pt idx="57">
                  <c:v>44183</c:v>
                </c:pt>
                <c:pt idx="58">
                  <c:v>44186</c:v>
                </c:pt>
                <c:pt idx="59">
                  <c:v>44187</c:v>
                </c:pt>
                <c:pt idx="60">
                  <c:v>44188</c:v>
                </c:pt>
                <c:pt idx="61">
                  <c:v>44189</c:v>
                </c:pt>
                <c:pt idx="62">
                  <c:v>44190</c:v>
                </c:pt>
                <c:pt idx="63">
                  <c:v>44193</c:v>
                </c:pt>
                <c:pt idx="64">
                  <c:v>44194</c:v>
                </c:pt>
                <c:pt idx="65">
                  <c:v>44195</c:v>
                </c:pt>
                <c:pt idx="66">
                  <c:v>44196</c:v>
                </c:pt>
                <c:pt idx="67">
                  <c:v>44197</c:v>
                </c:pt>
                <c:pt idx="68">
                  <c:v>44200</c:v>
                </c:pt>
                <c:pt idx="69">
                  <c:v>44201</c:v>
                </c:pt>
                <c:pt idx="70">
                  <c:v>44202</c:v>
                </c:pt>
                <c:pt idx="71">
                  <c:v>44203</c:v>
                </c:pt>
                <c:pt idx="72">
                  <c:v>44204</c:v>
                </c:pt>
                <c:pt idx="73">
                  <c:v>44207</c:v>
                </c:pt>
                <c:pt idx="74">
                  <c:v>44208</c:v>
                </c:pt>
                <c:pt idx="75">
                  <c:v>44209</c:v>
                </c:pt>
                <c:pt idx="76">
                  <c:v>44210</c:v>
                </c:pt>
                <c:pt idx="77">
                  <c:v>44211</c:v>
                </c:pt>
                <c:pt idx="78">
                  <c:v>44214</c:v>
                </c:pt>
                <c:pt idx="79">
                  <c:v>44215</c:v>
                </c:pt>
                <c:pt idx="80">
                  <c:v>44216</c:v>
                </c:pt>
                <c:pt idx="81">
                  <c:v>44217</c:v>
                </c:pt>
                <c:pt idx="82">
                  <c:v>44218</c:v>
                </c:pt>
                <c:pt idx="83">
                  <c:v>44221</c:v>
                </c:pt>
                <c:pt idx="84">
                  <c:v>44222</c:v>
                </c:pt>
                <c:pt idx="85">
                  <c:v>44223</c:v>
                </c:pt>
                <c:pt idx="86">
                  <c:v>44224</c:v>
                </c:pt>
                <c:pt idx="87">
                  <c:v>44225</c:v>
                </c:pt>
                <c:pt idx="88">
                  <c:v>44228</c:v>
                </c:pt>
                <c:pt idx="89">
                  <c:v>44229</c:v>
                </c:pt>
                <c:pt idx="90">
                  <c:v>44230</c:v>
                </c:pt>
                <c:pt idx="91">
                  <c:v>44231</c:v>
                </c:pt>
                <c:pt idx="92">
                  <c:v>44232</c:v>
                </c:pt>
                <c:pt idx="93">
                  <c:v>44235</c:v>
                </c:pt>
                <c:pt idx="94">
                  <c:v>44236</c:v>
                </c:pt>
                <c:pt idx="95">
                  <c:v>44237</c:v>
                </c:pt>
                <c:pt idx="96">
                  <c:v>44238</c:v>
                </c:pt>
                <c:pt idx="97">
                  <c:v>44239</c:v>
                </c:pt>
                <c:pt idx="98">
                  <c:v>44242</c:v>
                </c:pt>
                <c:pt idx="99">
                  <c:v>44243</c:v>
                </c:pt>
                <c:pt idx="100">
                  <c:v>44244</c:v>
                </c:pt>
                <c:pt idx="101">
                  <c:v>44245</c:v>
                </c:pt>
                <c:pt idx="102">
                  <c:v>44246</c:v>
                </c:pt>
                <c:pt idx="103">
                  <c:v>44249</c:v>
                </c:pt>
                <c:pt idx="104">
                  <c:v>44250</c:v>
                </c:pt>
                <c:pt idx="105">
                  <c:v>44251</c:v>
                </c:pt>
                <c:pt idx="106">
                  <c:v>44252</c:v>
                </c:pt>
                <c:pt idx="107">
                  <c:v>44253</c:v>
                </c:pt>
                <c:pt idx="108">
                  <c:v>44256</c:v>
                </c:pt>
                <c:pt idx="109">
                  <c:v>44257</c:v>
                </c:pt>
                <c:pt idx="110">
                  <c:v>44258</c:v>
                </c:pt>
                <c:pt idx="111">
                  <c:v>44259</c:v>
                </c:pt>
                <c:pt idx="112">
                  <c:v>44260</c:v>
                </c:pt>
                <c:pt idx="113">
                  <c:v>44263</c:v>
                </c:pt>
                <c:pt idx="114">
                  <c:v>44264</c:v>
                </c:pt>
                <c:pt idx="115">
                  <c:v>44265</c:v>
                </c:pt>
                <c:pt idx="116">
                  <c:v>44266</c:v>
                </c:pt>
                <c:pt idx="117">
                  <c:v>44267</c:v>
                </c:pt>
                <c:pt idx="118">
                  <c:v>44270</c:v>
                </c:pt>
                <c:pt idx="119">
                  <c:v>44271</c:v>
                </c:pt>
                <c:pt idx="120">
                  <c:v>44272</c:v>
                </c:pt>
                <c:pt idx="121">
                  <c:v>44273</c:v>
                </c:pt>
                <c:pt idx="122">
                  <c:v>44274</c:v>
                </c:pt>
                <c:pt idx="123">
                  <c:v>44277</c:v>
                </c:pt>
                <c:pt idx="124">
                  <c:v>44278</c:v>
                </c:pt>
                <c:pt idx="125">
                  <c:v>44279</c:v>
                </c:pt>
                <c:pt idx="126">
                  <c:v>44280</c:v>
                </c:pt>
                <c:pt idx="127">
                  <c:v>44281</c:v>
                </c:pt>
                <c:pt idx="128">
                  <c:v>44284</c:v>
                </c:pt>
                <c:pt idx="129">
                  <c:v>44285</c:v>
                </c:pt>
                <c:pt idx="130">
                  <c:v>44286</c:v>
                </c:pt>
                <c:pt idx="131">
                  <c:v>44287</c:v>
                </c:pt>
                <c:pt idx="132">
                  <c:v>44288</c:v>
                </c:pt>
                <c:pt idx="133">
                  <c:v>44291</c:v>
                </c:pt>
                <c:pt idx="134">
                  <c:v>44292</c:v>
                </c:pt>
                <c:pt idx="135">
                  <c:v>44293</c:v>
                </c:pt>
                <c:pt idx="136">
                  <c:v>44294</c:v>
                </c:pt>
                <c:pt idx="137">
                  <c:v>44295</c:v>
                </c:pt>
                <c:pt idx="138">
                  <c:v>44298</c:v>
                </c:pt>
                <c:pt idx="139">
                  <c:v>44299</c:v>
                </c:pt>
                <c:pt idx="140">
                  <c:v>44300</c:v>
                </c:pt>
                <c:pt idx="141">
                  <c:v>44301</c:v>
                </c:pt>
                <c:pt idx="142">
                  <c:v>44302</c:v>
                </c:pt>
                <c:pt idx="143">
                  <c:v>44305</c:v>
                </c:pt>
                <c:pt idx="144">
                  <c:v>44306</c:v>
                </c:pt>
                <c:pt idx="145">
                  <c:v>44307</c:v>
                </c:pt>
                <c:pt idx="146">
                  <c:v>44308</c:v>
                </c:pt>
                <c:pt idx="147">
                  <c:v>44309</c:v>
                </c:pt>
                <c:pt idx="148">
                  <c:v>44312</c:v>
                </c:pt>
                <c:pt idx="149">
                  <c:v>44313</c:v>
                </c:pt>
                <c:pt idx="150">
                  <c:v>44314</c:v>
                </c:pt>
                <c:pt idx="151">
                  <c:v>44315</c:v>
                </c:pt>
                <c:pt idx="152">
                  <c:v>44316</c:v>
                </c:pt>
                <c:pt idx="153">
                  <c:v>44319</c:v>
                </c:pt>
                <c:pt idx="154">
                  <c:v>44320</c:v>
                </c:pt>
                <c:pt idx="155">
                  <c:v>44321</c:v>
                </c:pt>
                <c:pt idx="156">
                  <c:v>44322</c:v>
                </c:pt>
                <c:pt idx="157">
                  <c:v>44323</c:v>
                </c:pt>
                <c:pt idx="158">
                  <c:v>44326</c:v>
                </c:pt>
                <c:pt idx="159">
                  <c:v>44327</c:v>
                </c:pt>
                <c:pt idx="160">
                  <c:v>44328</c:v>
                </c:pt>
                <c:pt idx="161">
                  <c:v>44329</c:v>
                </c:pt>
                <c:pt idx="162">
                  <c:v>44330</c:v>
                </c:pt>
                <c:pt idx="163">
                  <c:v>44333</c:v>
                </c:pt>
                <c:pt idx="164">
                  <c:v>44334</c:v>
                </c:pt>
                <c:pt idx="165">
                  <c:v>44335</c:v>
                </c:pt>
                <c:pt idx="166">
                  <c:v>44336</c:v>
                </c:pt>
                <c:pt idx="167">
                  <c:v>44337</c:v>
                </c:pt>
                <c:pt idx="168">
                  <c:v>44340</c:v>
                </c:pt>
                <c:pt idx="169">
                  <c:v>44341</c:v>
                </c:pt>
                <c:pt idx="170">
                  <c:v>44342</c:v>
                </c:pt>
                <c:pt idx="171">
                  <c:v>44343</c:v>
                </c:pt>
                <c:pt idx="172">
                  <c:v>44344</c:v>
                </c:pt>
                <c:pt idx="173">
                  <c:v>44347</c:v>
                </c:pt>
                <c:pt idx="174">
                  <c:v>44348</c:v>
                </c:pt>
                <c:pt idx="175">
                  <c:v>44349</c:v>
                </c:pt>
                <c:pt idx="176">
                  <c:v>44350</c:v>
                </c:pt>
                <c:pt idx="177">
                  <c:v>44351</c:v>
                </c:pt>
                <c:pt idx="178">
                  <c:v>44354</c:v>
                </c:pt>
                <c:pt idx="179">
                  <c:v>44355</c:v>
                </c:pt>
                <c:pt idx="180">
                  <c:v>44356</c:v>
                </c:pt>
                <c:pt idx="181">
                  <c:v>44357</c:v>
                </c:pt>
                <c:pt idx="182">
                  <c:v>44358</c:v>
                </c:pt>
                <c:pt idx="183">
                  <c:v>44361</c:v>
                </c:pt>
                <c:pt idx="184">
                  <c:v>44362</c:v>
                </c:pt>
                <c:pt idx="185">
                  <c:v>44363</c:v>
                </c:pt>
                <c:pt idx="186">
                  <c:v>44364</c:v>
                </c:pt>
                <c:pt idx="187">
                  <c:v>44365</c:v>
                </c:pt>
                <c:pt idx="188">
                  <c:v>44368</c:v>
                </c:pt>
                <c:pt idx="189">
                  <c:v>44369</c:v>
                </c:pt>
                <c:pt idx="190">
                  <c:v>44370</c:v>
                </c:pt>
                <c:pt idx="191">
                  <c:v>44371</c:v>
                </c:pt>
                <c:pt idx="192">
                  <c:v>44372</c:v>
                </c:pt>
                <c:pt idx="193">
                  <c:v>44375</c:v>
                </c:pt>
                <c:pt idx="194">
                  <c:v>44376</c:v>
                </c:pt>
                <c:pt idx="195">
                  <c:v>44377</c:v>
                </c:pt>
                <c:pt idx="196">
                  <c:v>44378</c:v>
                </c:pt>
                <c:pt idx="197">
                  <c:v>44379</c:v>
                </c:pt>
                <c:pt idx="198">
                  <c:v>44382</c:v>
                </c:pt>
                <c:pt idx="199">
                  <c:v>44383</c:v>
                </c:pt>
                <c:pt idx="200">
                  <c:v>44384</c:v>
                </c:pt>
                <c:pt idx="201">
                  <c:v>44385</c:v>
                </c:pt>
                <c:pt idx="202">
                  <c:v>44386</c:v>
                </c:pt>
                <c:pt idx="203">
                  <c:v>44389</c:v>
                </c:pt>
                <c:pt idx="204">
                  <c:v>44390</c:v>
                </c:pt>
                <c:pt idx="205">
                  <c:v>44391</c:v>
                </c:pt>
                <c:pt idx="206">
                  <c:v>44392</c:v>
                </c:pt>
                <c:pt idx="207">
                  <c:v>44393</c:v>
                </c:pt>
                <c:pt idx="208">
                  <c:v>44396</c:v>
                </c:pt>
                <c:pt idx="209">
                  <c:v>44397</c:v>
                </c:pt>
                <c:pt idx="210">
                  <c:v>44398</c:v>
                </c:pt>
                <c:pt idx="211">
                  <c:v>44399</c:v>
                </c:pt>
                <c:pt idx="212">
                  <c:v>44400</c:v>
                </c:pt>
                <c:pt idx="213">
                  <c:v>44403</c:v>
                </c:pt>
                <c:pt idx="214">
                  <c:v>44404</c:v>
                </c:pt>
                <c:pt idx="215">
                  <c:v>44405</c:v>
                </c:pt>
                <c:pt idx="216">
                  <c:v>44406</c:v>
                </c:pt>
                <c:pt idx="217">
                  <c:v>44407</c:v>
                </c:pt>
                <c:pt idx="218">
                  <c:v>44410</c:v>
                </c:pt>
                <c:pt idx="219">
                  <c:v>44411</c:v>
                </c:pt>
                <c:pt idx="220">
                  <c:v>44412</c:v>
                </c:pt>
                <c:pt idx="221">
                  <c:v>44413</c:v>
                </c:pt>
                <c:pt idx="222">
                  <c:v>44414</c:v>
                </c:pt>
                <c:pt idx="223">
                  <c:v>44417</c:v>
                </c:pt>
                <c:pt idx="224">
                  <c:v>44418</c:v>
                </c:pt>
                <c:pt idx="225">
                  <c:v>44419</c:v>
                </c:pt>
                <c:pt idx="226">
                  <c:v>44420</c:v>
                </c:pt>
                <c:pt idx="227">
                  <c:v>44421</c:v>
                </c:pt>
                <c:pt idx="228">
                  <c:v>44424</c:v>
                </c:pt>
                <c:pt idx="229">
                  <c:v>44425</c:v>
                </c:pt>
                <c:pt idx="230">
                  <c:v>44426</c:v>
                </c:pt>
                <c:pt idx="231">
                  <c:v>44427</c:v>
                </c:pt>
                <c:pt idx="232">
                  <c:v>44428</c:v>
                </c:pt>
                <c:pt idx="233">
                  <c:v>44431</c:v>
                </c:pt>
                <c:pt idx="234">
                  <c:v>44432</c:v>
                </c:pt>
                <c:pt idx="235">
                  <c:v>44433</c:v>
                </c:pt>
                <c:pt idx="236">
                  <c:v>44434</c:v>
                </c:pt>
                <c:pt idx="237">
                  <c:v>44435</c:v>
                </c:pt>
                <c:pt idx="238">
                  <c:v>44438</c:v>
                </c:pt>
                <c:pt idx="239">
                  <c:v>44439</c:v>
                </c:pt>
                <c:pt idx="240">
                  <c:v>44440</c:v>
                </c:pt>
                <c:pt idx="241">
                  <c:v>44441</c:v>
                </c:pt>
                <c:pt idx="242">
                  <c:v>44442</c:v>
                </c:pt>
                <c:pt idx="243">
                  <c:v>44445</c:v>
                </c:pt>
                <c:pt idx="244">
                  <c:v>44446</c:v>
                </c:pt>
                <c:pt idx="245">
                  <c:v>44447</c:v>
                </c:pt>
                <c:pt idx="246">
                  <c:v>44448</c:v>
                </c:pt>
                <c:pt idx="247">
                  <c:v>44449</c:v>
                </c:pt>
                <c:pt idx="248">
                  <c:v>44452</c:v>
                </c:pt>
                <c:pt idx="249">
                  <c:v>44453</c:v>
                </c:pt>
                <c:pt idx="250">
                  <c:v>44454</c:v>
                </c:pt>
                <c:pt idx="251">
                  <c:v>44455</c:v>
                </c:pt>
                <c:pt idx="252">
                  <c:v>44456</c:v>
                </c:pt>
                <c:pt idx="253">
                  <c:v>44459</c:v>
                </c:pt>
                <c:pt idx="254">
                  <c:v>44460</c:v>
                </c:pt>
                <c:pt idx="255">
                  <c:v>44461</c:v>
                </c:pt>
                <c:pt idx="256">
                  <c:v>44462</c:v>
                </c:pt>
                <c:pt idx="257">
                  <c:v>44463</c:v>
                </c:pt>
                <c:pt idx="258">
                  <c:v>44466</c:v>
                </c:pt>
                <c:pt idx="259">
                  <c:v>44467</c:v>
                </c:pt>
                <c:pt idx="260">
                  <c:v>44468</c:v>
                </c:pt>
                <c:pt idx="261">
                  <c:v>44469</c:v>
                </c:pt>
                <c:pt idx="262">
                  <c:v>44470</c:v>
                </c:pt>
                <c:pt idx="263">
                  <c:v>44473</c:v>
                </c:pt>
                <c:pt idx="264">
                  <c:v>44474</c:v>
                </c:pt>
                <c:pt idx="265">
                  <c:v>44475</c:v>
                </c:pt>
                <c:pt idx="266">
                  <c:v>44476</c:v>
                </c:pt>
                <c:pt idx="267">
                  <c:v>44477</c:v>
                </c:pt>
                <c:pt idx="268">
                  <c:v>44480</c:v>
                </c:pt>
                <c:pt idx="269">
                  <c:v>44481</c:v>
                </c:pt>
                <c:pt idx="270">
                  <c:v>44482</c:v>
                </c:pt>
                <c:pt idx="271">
                  <c:v>44483</c:v>
                </c:pt>
                <c:pt idx="272">
                  <c:v>44484</c:v>
                </c:pt>
                <c:pt idx="273">
                  <c:v>44487</c:v>
                </c:pt>
                <c:pt idx="274">
                  <c:v>44488</c:v>
                </c:pt>
                <c:pt idx="275">
                  <c:v>44489</c:v>
                </c:pt>
                <c:pt idx="276">
                  <c:v>44490</c:v>
                </c:pt>
                <c:pt idx="277">
                  <c:v>44491</c:v>
                </c:pt>
                <c:pt idx="278">
                  <c:v>44494</c:v>
                </c:pt>
                <c:pt idx="279">
                  <c:v>44495</c:v>
                </c:pt>
                <c:pt idx="280">
                  <c:v>44496</c:v>
                </c:pt>
                <c:pt idx="281">
                  <c:v>44497</c:v>
                </c:pt>
                <c:pt idx="282">
                  <c:v>44498</c:v>
                </c:pt>
                <c:pt idx="283">
                  <c:v>44501</c:v>
                </c:pt>
              </c:numCache>
            </c:numRef>
          </c:cat>
          <c:val>
            <c:numRef>
              <c:f>'MSCI Chart'!$J$8:$J$291</c:f>
              <c:numCache>
                <c:formatCode>0</c:formatCode>
                <c:ptCount val="284"/>
                <c:pt idx="0" formatCode="0.0">
                  <c:v>100</c:v>
                </c:pt>
                <c:pt idx="1">
                  <c:v>100.50446962565557</c:v>
                </c:pt>
                <c:pt idx="2">
                  <c:v>99.816685186889075</c:v>
                </c:pt>
                <c:pt idx="3">
                  <c:v>101.44829319045628</c:v>
                </c:pt>
                <c:pt idx="4">
                  <c:v>100.80085216615822</c:v>
                </c:pt>
                <c:pt idx="5">
                  <c:v>101.85579706554741</c:v>
                </c:pt>
                <c:pt idx="6">
                  <c:v>102.62975362206004</c:v>
                </c:pt>
                <c:pt idx="7">
                  <c:v>103.44263803463869</c:v>
                </c:pt>
                <c:pt idx="8">
                  <c:v>104.72672645041649</c:v>
                </c:pt>
                <c:pt idx="9">
                  <c:v>104.20987068873993</c:v>
                </c:pt>
                <c:pt idx="10">
                  <c:v>103.80909071606018</c:v>
                </c:pt>
                <c:pt idx="11">
                  <c:v>102.98258155385842</c:v>
                </c:pt>
                <c:pt idx="12">
                  <c:v>103.17881333739123</c:v>
                </c:pt>
                <c:pt idx="13">
                  <c:v>102.38503896324498</c:v>
                </c:pt>
                <c:pt idx="14">
                  <c:v>102.64709421248942</c:v>
                </c:pt>
                <c:pt idx="15">
                  <c:v>102.51226227466076</c:v>
                </c:pt>
                <c:pt idx="16">
                  <c:v>102.61382859003301</c:v>
                </c:pt>
                <c:pt idx="17">
                  <c:v>102.96559485302963</c:v>
                </c:pt>
                <c:pt idx="18">
                  <c:v>101.40211059757796</c:v>
                </c:pt>
                <c:pt idx="19">
                  <c:v>101.12873088111431</c:v>
                </c:pt>
                <c:pt idx="20">
                  <c:v>98.201886939350373</c:v>
                </c:pt>
                <c:pt idx="21">
                  <c:v>98.630624190477519</c:v>
                </c:pt>
                <c:pt idx="22">
                  <c:v>97.495700241352694</c:v>
                </c:pt>
                <c:pt idx="23">
                  <c:v>98.706356565005962</c:v>
                </c:pt>
                <c:pt idx="24">
                  <c:v>100.52039465768259</c:v>
                </c:pt>
                <c:pt idx="25">
                  <c:v>102.43670684493264</c:v>
                </c:pt>
                <c:pt idx="26">
                  <c:v>104.64090822227097</c:v>
                </c:pt>
                <c:pt idx="27">
                  <c:v>104.88544593628572</c:v>
                </c:pt>
                <c:pt idx="28">
                  <c:v>106.25376007700638</c:v>
                </c:pt>
                <c:pt idx="29">
                  <c:v>106.29711155307989</c:v>
                </c:pt>
                <c:pt idx="30">
                  <c:v>107.06735226878622</c:v>
                </c:pt>
                <c:pt idx="31">
                  <c:v>106.40115509565634</c:v>
                </c:pt>
                <c:pt idx="32">
                  <c:v>107.21474728743618</c:v>
                </c:pt>
                <c:pt idx="33">
                  <c:v>108.57492196734304</c:v>
                </c:pt>
                <c:pt idx="34">
                  <c:v>108.44292114631918</c:v>
                </c:pt>
                <c:pt idx="35">
                  <c:v>107.955792111093</c:v>
                </c:pt>
                <c:pt idx="36">
                  <c:v>107.98321855513952</c:v>
                </c:pt>
                <c:pt idx="37">
                  <c:v>107.85210245811714</c:v>
                </c:pt>
                <c:pt idx="38">
                  <c:v>108.23589572996805</c:v>
                </c:pt>
                <c:pt idx="39">
                  <c:v>109.78911718700232</c:v>
                </c:pt>
                <c:pt idx="40">
                  <c:v>109.79230219340774</c:v>
                </c:pt>
                <c:pt idx="41">
                  <c:v>109.93969721205772</c:v>
                </c:pt>
                <c:pt idx="42">
                  <c:v>110.37091169038908</c:v>
                </c:pt>
                <c:pt idx="43">
                  <c:v>109.39895390234062</c:v>
                </c:pt>
                <c:pt idx="44">
                  <c:v>110.57510598993539</c:v>
                </c:pt>
                <c:pt idx="45">
                  <c:v>110.81115035353572</c:v>
                </c:pt>
                <c:pt idx="46">
                  <c:v>111.20909920941065</c:v>
                </c:pt>
                <c:pt idx="47">
                  <c:v>112.02286834599082</c:v>
                </c:pt>
                <c:pt idx="48">
                  <c:v>111.91139312180175</c:v>
                </c:pt>
                <c:pt idx="49">
                  <c:v>112.14867609900418</c:v>
                </c:pt>
                <c:pt idx="50">
                  <c:v>111.63235117172849</c:v>
                </c:pt>
                <c:pt idx="51">
                  <c:v>111.661547063778</c:v>
                </c:pt>
                <c:pt idx="52">
                  <c:v>111.44585135221217</c:v>
                </c:pt>
                <c:pt idx="53">
                  <c:v>111.27032211031448</c:v>
                </c:pt>
                <c:pt idx="54">
                  <c:v>112.16353946222938</c:v>
                </c:pt>
                <c:pt idx="55">
                  <c:v>112.73117838159209</c:v>
                </c:pt>
                <c:pt idx="56">
                  <c:v>113.57874397502957</c:v>
                </c:pt>
                <c:pt idx="57">
                  <c:v>113.20910628720264</c:v>
                </c:pt>
                <c:pt idx="58">
                  <c:v>112.28917027044244</c:v>
                </c:pt>
                <c:pt idx="59">
                  <c:v>112.12124965495764</c:v>
                </c:pt>
                <c:pt idx="60">
                  <c:v>112.53937021806676</c:v>
                </c:pt>
                <c:pt idx="61">
                  <c:v>112.76656734165209</c:v>
                </c:pt>
                <c:pt idx="62">
                  <c:v>112.7947015648998</c:v>
                </c:pt>
                <c:pt idx="63">
                  <c:v>113.40675362913784</c:v>
                </c:pt>
                <c:pt idx="64">
                  <c:v>113.77550659296324</c:v>
                </c:pt>
                <c:pt idx="65">
                  <c:v>114.18053324085017</c:v>
                </c:pt>
                <c:pt idx="66">
                  <c:v>114.35376220034397</c:v>
                </c:pt>
                <c:pt idx="67">
                  <c:v>114.35960137875387</c:v>
                </c:pt>
                <c:pt idx="68">
                  <c:v>113.77196769695723</c:v>
                </c:pt>
                <c:pt idx="69">
                  <c:v>114.47603105735131</c:v>
                </c:pt>
                <c:pt idx="70">
                  <c:v>114.98669375101741</c:v>
                </c:pt>
                <c:pt idx="71">
                  <c:v>116.34722232052486</c:v>
                </c:pt>
                <c:pt idx="72">
                  <c:v>117.41915392074286</c:v>
                </c:pt>
                <c:pt idx="73">
                  <c:v>116.51514293600965</c:v>
                </c:pt>
                <c:pt idx="74">
                  <c:v>116.72216835236078</c:v>
                </c:pt>
                <c:pt idx="75">
                  <c:v>117.04686206091148</c:v>
                </c:pt>
                <c:pt idx="76">
                  <c:v>117.05924819693247</c:v>
                </c:pt>
                <c:pt idx="77">
                  <c:v>116.05172450402371</c:v>
                </c:pt>
                <c:pt idx="78">
                  <c:v>116.01385831675948</c:v>
                </c:pt>
                <c:pt idx="79">
                  <c:v>116.97608414079141</c:v>
                </c:pt>
                <c:pt idx="80">
                  <c:v>118.27627453339653</c:v>
                </c:pt>
                <c:pt idx="81">
                  <c:v>118.48648495615303</c:v>
                </c:pt>
                <c:pt idx="82">
                  <c:v>117.96644418807104</c:v>
                </c:pt>
                <c:pt idx="83">
                  <c:v>118.21398996369088</c:v>
                </c:pt>
                <c:pt idx="84">
                  <c:v>117.86151592149309</c:v>
                </c:pt>
                <c:pt idx="85">
                  <c:v>115.45595136141326</c:v>
                </c:pt>
                <c:pt idx="86">
                  <c:v>115.80966401721315</c:v>
                </c:pt>
                <c:pt idx="87">
                  <c:v>113.75905072653532</c:v>
                </c:pt>
                <c:pt idx="88">
                  <c:v>115.46285220862495</c:v>
                </c:pt>
                <c:pt idx="89">
                  <c:v>116.95502770955569</c:v>
                </c:pt>
                <c:pt idx="90">
                  <c:v>117.30962508935707</c:v>
                </c:pt>
                <c:pt idx="91">
                  <c:v>117.97900726889235</c:v>
                </c:pt>
                <c:pt idx="92">
                  <c:v>118.65192834443363</c:v>
                </c:pt>
                <c:pt idx="93">
                  <c:v>119.53222872592661</c:v>
                </c:pt>
                <c:pt idx="94">
                  <c:v>119.73943108707805</c:v>
                </c:pt>
                <c:pt idx="95">
                  <c:v>119.97936823628497</c:v>
                </c:pt>
                <c:pt idx="96">
                  <c:v>120.27610466638822</c:v>
                </c:pt>
                <c:pt idx="97">
                  <c:v>120.71899750153935</c:v>
                </c:pt>
                <c:pt idx="98">
                  <c:v>121.22187462399222</c:v>
                </c:pt>
                <c:pt idx="99">
                  <c:v>121.21780489358531</c:v>
                </c:pt>
                <c:pt idx="100">
                  <c:v>120.80092294407828</c:v>
                </c:pt>
                <c:pt idx="101">
                  <c:v>120.0874815092683</c:v>
                </c:pt>
                <c:pt idx="102">
                  <c:v>120.27592772158788</c:v>
                </c:pt>
                <c:pt idx="103">
                  <c:v>119.21974420859661</c:v>
                </c:pt>
                <c:pt idx="104">
                  <c:v>119.26681152547643</c:v>
                </c:pt>
                <c:pt idx="105">
                  <c:v>119.50250199947617</c:v>
                </c:pt>
                <c:pt idx="106">
                  <c:v>118.03032126097936</c:v>
                </c:pt>
                <c:pt idx="107">
                  <c:v>116.27856773800838</c:v>
                </c:pt>
                <c:pt idx="108">
                  <c:v>118.64502749722189</c:v>
                </c:pt>
                <c:pt idx="109">
                  <c:v>118.04235350739977</c:v>
                </c:pt>
                <c:pt idx="110">
                  <c:v>117.27954447330603</c:v>
                </c:pt>
                <c:pt idx="111">
                  <c:v>115.6088316688725</c:v>
                </c:pt>
                <c:pt idx="112">
                  <c:v>116.33996758371251</c:v>
                </c:pt>
                <c:pt idx="113">
                  <c:v>115.75463418431976</c:v>
                </c:pt>
                <c:pt idx="114">
                  <c:v>117.31298704056272</c:v>
                </c:pt>
                <c:pt idx="115">
                  <c:v>117.89460459914915</c:v>
                </c:pt>
                <c:pt idx="116">
                  <c:v>119.41226015132308</c:v>
                </c:pt>
                <c:pt idx="117">
                  <c:v>119.34342862400634</c:v>
                </c:pt>
                <c:pt idx="118">
                  <c:v>119.78950646556291</c:v>
                </c:pt>
                <c:pt idx="119">
                  <c:v>119.9609659770537</c:v>
                </c:pt>
                <c:pt idx="120">
                  <c:v>120.00148633632244</c:v>
                </c:pt>
                <c:pt idx="121">
                  <c:v>119.15126657088047</c:v>
                </c:pt>
                <c:pt idx="122">
                  <c:v>118.80162364548747</c:v>
                </c:pt>
                <c:pt idx="123">
                  <c:v>119.29299935592086</c:v>
                </c:pt>
                <c:pt idx="124">
                  <c:v>118.34811412231832</c:v>
                </c:pt>
                <c:pt idx="125">
                  <c:v>117.28485281731503</c:v>
                </c:pt>
                <c:pt idx="126">
                  <c:v>117.45436593600253</c:v>
                </c:pt>
                <c:pt idx="127">
                  <c:v>119.14578128207116</c:v>
                </c:pt>
                <c:pt idx="128">
                  <c:v>119.054300820316</c:v>
                </c:pt>
                <c:pt idx="129">
                  <c:v>118.92796223290173</c:v>
                </c:pt>
                <c:pt idx="130">
                  <c:v>119.13481070445256</c:v>
                </c:pt>
                <c:pt idx="131">
                  <c:v>120.40633603940907</c:v>
                </c:pt>
                <c:pt idx="132">
                  <c:v>120.50418651397501</c:v>
                </c:pt>
                <c:pt idx="133">
                  <c:v>121.65627410872895</c:v>
                </c:pt>
                <c:pt idx="134">
                  <c:v>121.87214676509507</c:v>
                </c:pt>
                <c:pt idx="135">
                  <c:v>121.9574341588397</c:v>
                </c:pt>
                <c:pt idx="136">
                  <c:v>122.54471395103572</c:v>
                </c:pt>
                <c:pt idx="137">
                  <c:v>122.92532221648123</c:v>
                </c:pt>
                <c:pt idx="138">
                  <c:v>122.72572848174272</c:v>
                </c:pt>
                <c:pt idx="139">
                  <c:v>123.14809572005906</c:v>
                </c:pt>
                <c:pt idx="140">
                  <c:v>123.12544678562064</c:v>
                </c:pt>
                <c:pt idx="141">
                  <c:v>124.21825787227405</c:v>
                </c:pt>
                <c:pt idx="142">
                  <c:v>124.73529057875092</c:v>
                </c:pt>
                <c:pt idx="143">
                  <c:v>124.39113294216725</c:v>
                </c:pt>
                <c:pt idx="144">
                  <c:v>123.33813443558135</c:v>
                </c:pt>
                <c:pt idx="145">
                  <c:v>123.84525823324144</c:v>
                </c:pt>
                <c:pt idx="146">
                  <c:v>123.56497766956609</c:v>
                </c:pt>
                <c:pt idx="147">
                  <c:v>124.51977181198542</c:v>
                </c:pt>
                <c:pt idx="148">
                  <c:v>124.97876662396388</c:v>
                </c:pt>
                <c:pt idx="149">
                  <c:v>124.84234218293248</c:v>
                </c:pt>
                <c:pt idx="150">
                  <c:v>124.8731305781847</c:v>
                </c:pt>
                <c:pt idx="151">
                  <c:v>125.28930474849054</c:v>
                </c:pt>
                <c:pt idx="152">
                  <c:v>124.18516919461793</c:v>
                </c:pt>
                <c:pt idx="153">
                  <c:v>124.44757833346297</c:v>
                </c:pt>
                <c:pt idx="154">
                  <c:v>123.43686963414882</c:v>
                </c:pt>
                <c:pt idx="155">
                  <c:v>123.79535979955681</c:v>
                </c:pt>
                <c:pt idx="156">
                  <c:v>124.59355779371056</c:v>
                </c:pt>
                <c:pt idx="157">
                  <c:v>125.69415445157715</c:v>
                </c:pt>
                <c:pt idx="158">
                  <c:v>125.01097057761847</c:v>
                </c:pt>
                <c:pt idx="159">
                  <c:v>123.58231825999547</c:v>
                </c:pt>
                <c:pt idx="160">
                  <c:v>121.51984966769754</c:v>
                </c:pt>
                <c:pt idx="161">
                  <c:v>121.833218909029</c:v>
                </c:pt>
                <c:pt idx="162">
                  <c:v>123.70759517860795</c:v>
                </c:pt>
                <c:pt idx="163">
                  <c:v>123.58992688640839</c:v>
                </c:pt>
                <c:pt idx="164">
                  <c:v>123.6435411608993</c:v>
                </c:pt>
                <c:pt idx="165">
                  <c:v>122.9231988788776</c:v>
                </c:pt>
                <c:pt idx="166">
                  <c:v>124.09651984966754</c:v>
                </c:pt>
                <c:pt idx="167">
                  <c:v>124.13880965693929</c:v>
                </c:pt>
                <c:pt idx="168">
                  <c:v>124.95806408232873</c:v>
                </c:pt>
                <c:pt idx="169">
                  <c:v>125.14580251544713</c:v>
                </c:pt>
                <c:pt idx="170">
                  <c:v>125.36928379822616</c:v>
                </c:pt>
                <c:pt idx="171">
                  <c:v>125.4390000495444</c:v>
                </c:pt>
                <c:pt idx="172">
                  <c:v>125.83464862301544</c:v>
                </c:pt>
                <c:pt idx="173">
                  <c:v>125.88737817350489</c:v>
                </c:pt>
                <c:pt idx="174">
                  <c:v>126.29541288299689</c:v>
                </c:pt>
                <c:pt idx="175">
                  <c:v>126.41201950639466</c:v>
                </c:pt>
                <c:pt idx="176">
                  <c:v>125.87163008627816</c:v>
                </c:pt>
                <c:pt idx="177">
                  <c:v>126.74768379256395</c:v>
                </c:pt>
                <c:pt idx="178">
                  <c:v>126.86889098076952</c:v>
                </c:pt>
                <c:pt idx="179">
                  <c:v>126.86269791275902</c:v>
                </c:pt>
                <c:pt idx="180">
                  <c:v>126.61621380594097</c:v>
                </c:pt>
                <c:pt idx="181">
                  <c:v>127.08653308513863</c:v>
                </c:pt>
                <c:pt idx="182">
                  <c:v>127.31585354632756</c:v>
                </c:pt>
                <c:pt idx="183">
                  <c:v>127.5952493860014</c:v>
                </c:pt>
                <c:pt idx="184">
                  <c:v>127.44006879613822</c:v>
                </c:pt>
                <c:pt idx="185">
                  <c:v>127.01787850262218</c:v>
                </c:pt>
                <c:pt idx="186">
                  <c:v>126.49270633533148</c:v>
                </c:pt>
                <c:pt idx="187">
                  <c:v>124.9171898334594</c:v>
                </c:pt>
                <c:pt idx="188">
                  <c:v>125.8150077501821</c:v>
                </c:pt>
                <c:pt idx="189">
                  <c:v>126.47041129049367</c:v>
                </c:pt>
                <c:pt idx="190">
                  <c:v>126.51889416577592</c:v>
                </c:pt>
                <c:pt idx="191">
                  <c:v>127.16615824527368</c:v>
                </c:pt>
                <c:pt idx="192">
                  <c:v>127.7378668950433</c:v>
                </c:pt>
                <c:pt idx="193">
                  <c:v>127.76363288908381</c:v>
                </c:pt>
                <c:pt idx="194">
                  <c:v>127.69003429190218</c:v>
                </c:pt>
                <c:pt idx="195">
                  <c:v>127.39494097121451</c:v>
                </c:pt>
                <c:pt idx="196">
                  <c:v>127.72134555903928</c:v>
                </c:pt>
                <c:pt idx="197">
                  <c:v>128.22517075173215</c:v>
                </c:pt>
                <c:pt idx="198">
                  <c:v>128.35181156086534</c:v>
                </c:pt>
                <c:pt idx="199">
                  <c:v>127.99231298704044</c:v>
                </c:pt>
                <c:pt idx="200">
                  <c:v>128.17994808439548</c:v>
                </c:pt>
                <c:pt idx="201">
                  <c:v>126.87894374570897</c:v>
                </c:pt>
                <c:pt idx="202">
                  <c:v>128.03713186634286</c:v>
                </c:pt>
                <c:pt idx="203">
                  <c:v>128.69758488042058</c:v>
                </c:pt>
                <c:pt idx="204">
                  <c:v>128.51934165917586</c:v>
                </c:pt>
                <c:pt idx="205">
                  <c:v>128.47754959762739</c:v>
                </c:pt>
                <c:pt idx="206">
                  <c:v>128.04806121582297</c:v>
                </c:pt>
                <c:pt idx="207">
                  <c:v>127.25376060784063</c:v>
                </c:pt>
                <c:pt idx="208">
                  <c:v>125.17464345622724</c:v>
                </c:pt>
                <c:pt idx="209">
                  <c:v>126.21486937934826</c:v>
                </c:pt>
                <c:pt idx="210">
                  <c:v>127.36203613920586</c:v>
                </c:pt>
                <c:pt idx="211">
                  <c:v>127.89605554651156</c:v>
                </c:pt>
                <c:pt idx="212">
                  <c:v>128.66240347661127</c:v>
                </c:pt>
                <c:pt idx="213">
                  <c:v>128.58118581327352</c:v>
                </c:pt>
                <c:pt idx="214">
                  <c:v>127.82633929519332</c:v>
                </c:pt>
                <c:pt idx="215">
                  <c:v>128.03867305555343</c:v>
                </c:pt>
                <c:pt idx="216">
                  <c:v>129.11237410377444</c:v>
                </c:pt>
                <c:pt idx="217">
                  <c:v>128.1450168805338</c:v>
                </c:pt>
                <c:pt idx="218">
                  <c:v>128.61763644213539</c:v>
                </c:pt>
                <c:pt idx="219">
                  <c:v>129.19659982871732</c:v>
                </c:pt>
                <c:pt idx="220">
                  <c:v>129.06884568290064</c:v>
                </c:pt>
                <c:pt idx="221">
                  <c:v>129.62462930064328</c:v>
                </c:pt>
                <c:pt idx="222">
                  <c:v>129.38079936582974</c:v>
                </c:pt>
                <c:pt idx="223">
                  <c:v>129.36398960980122</c:v>
                </c:pt>
                <c:pt idx="224">
                  <c:v>129.52713271567791</c:v>
                </c:pt>
                <c:pt idx="225">
                  <c:v>129.8788989786745</c:v>
                </c:pt>
                <c:pt idx="226">
                  <c:v>130.01089979969839</c:v>
                </c:pt>
                <c:pt idx="227">
                  <c:v>130.23508886167861</c:v>
                </c:pt>
                <c:pt idx="228">
                  <c:v>130.01567730930648</c:v>
                </c:pt>
                <c:pt idx="229">
                  <c:v>129.01505446360943</c:v>
                </c:pt>
                <c:pt idx="230">
                  <c:v>128.2717093575487</c:v>
                </c:pt>
                <c:pt idx="231">
                  <c:v>127.37902284003471</c:v>
                </c:pt>
                <c:pt idx="232">
                  <c:v>127.85748158004617</c:v>
                </c:pt>
                <c:pt idx="233">
                  <c:v>129.25481466801605</c:v>
                </c:pt>
                <c:pt idx="234">
                  <c:v>129.98984336846266</c:v>
                </c:pt>
                <c:pt idx="235">
                  <c:v>130.19421461280928</c:v>
                </c:pt>
                <c:pt idx="236">
                  <c:v>129.51244629725301</c:v>
                </c:pt>
                <c:pt idx="237">
                  <c:v>130.45096151804475</c:v>
                </c:pt>
                <c:pt idx="238">
                  <c:v>131.07964639351101</c:v>
                </c:pt>
                <c:pt idx="239">
                  <c:v>131.16404906325414</c:v>
                </c:pt>
                <c:pt idx="240">
                  <c:v>131.58836269437376</c:v>
                </c:pt>
                <c:pt idx="241">
                  <c:v>131.94207535017367</c:v>
                </c:pt>
                <c:pt idx="242">
                  <c:v>132.08292341121253</c:v>
                </c:pt>
                <c:pt idx="243">
                  <c:v>132.39222292213708</c:v>
                </c:pt>
                <c:pt idx="244">
                  <c:v>132.01391493909546</c:v>
                </c:pt>
                <c:pt idx="245">
                  <c:v>131.42928931890393</c:v>
                </c:pt>
                <c:pt idx="246">
                  <c:v>130.86430457154572</c:v>
                </c:pt>
                <c:pt idx="247">
                  <c:v>130.45839319965731</c:v>
                </c:pt>
                <c:pt idx="248">
                  <c:v>130.51802359735845</c:v>
                </c:pt>
                <c:pt idx="249">
                  <c:v>130.0848627262238</c:v>
                </c:pt>
                <c:pt idx="250">
                  <c:v>130.42282729479697</c:v>
                </c:pt>
                <c:pt idx="251">
                  <c:v>130.09123273903458</c:v>
                </c:pt>
                <c:pt idx="252">
                  <c:v>129.16775782626837</c:v>
                </c:pt>
                <c:pt idx="253">
                  <c:v>127.06158386829631</c:v>
                </c:pt>
                <c:pt idx="254">
                  <c:v>127.22720420137721</c:v>
                </c:pt>
                <c:pt idx="255">
                  <c:v>128.15103300374403</c:v>
                </c:pt>
                <c:pt idx="256">
                  <c:v>129.44644588674103</c:v>
                </c:pt>
                <c:pt idx="257">
                  <c:v>129.25109882720974</c:v>
                </c:pt>
                <c:pt idx="258">
                  <c:v>128.985327737159</c:v>
                </c:pt>
                <c:pt idx="259">
                  <c:v>126.59728071230887</c:v>
                </c:pt>
                <c:pt idx="260">
                  <c:v>126.33664102146683</c:v>
                </c:pt>
                <c:pt idx="261">
                  <c:v>125.54445915052327</c:v>
                </c:pt>
                <c:pt idx="262">
                  <c:v>126.06290741540256</c:v>
                </c:pt>
                <c:pt idx="263">
                  <c:v>124.84004190052858</c:v>
                </c:pt>
                <c:pt idx="264">
                  <c:v>125.69804723718377</c:v>
                </c:pt>
                <c:pt idx="265">
                  <c:v>125.5766631041779</c:v>
                </c:pt>
                <c:pt idx="266">
                  <c:v>127.01575516501859</c:v>
                </c:pt>
                <c:pt idx="267">
                  <c:v>126.95700949131896</c:v>
                </c:pt>
                <c:pt idx="268">
                  <c:v>126.61267490993497</c:v>
                </c:pt>
                <c:pt idx="269">
                  <c:v>126.21684939166366</c:v>
                </c:pt>
                <c:pt idx="270">
                  <c:v>126.82129282948878</c:v>
                </c:pt>
                <c:pt idx="271">
                  <c:v>128.57375413166096</c:v>
                </c:pt>
                <c:pt idx="272">
                  <c:v>129.69204526955761</c:v>
                </c:pt>
                <c:pt idx="273">
                  <c:v>129.85129558982769</c:v>
                </c:pt>
                <c:pt idx="274">
                  <c:v>130.80520500824551</c:v>
                </c:pt>
                <c:pt idx="275">
                  <c:v>131.30684351709627</c:v>
                </c:pt>
                <c:pt idx="276">
                  <c:v>131.37956783001962</c:v>
                </c:pt>
                <c:pt idx="277">
                  <c:v>131.33816274674939</c:v>
                </c:pt>
                <c:pt idx="278">
                  <c:v>131.70833126897719</c:v>
                </c:pt>
                <c:pt idx="279">
                  <c:v>131.97162513182374</c:v>
                </c:pt>
                <c:pt idx="280">
                  <c:v>131.24809784339664</c:v>
                </c:pt>
                <c:pt idx="281">
                  <c:v>132.17334220416583</c:v>
                </c:pt>
                <c:pt idx="282">
                  <c:v>131.86439658284186</c:v>
                </c:pt>
              </c:numCache>
            </c:numRef>
          </c:val>
          <c:smooth val="0"/>
          <c:extLst>
            <c:ext xmlns:c16="http://schemas.microsoft.com/office/drawing/2014/chart" uri="{C3380CC4-5D6E-409C-BE32-E72D297353CC}">
              <c16:uniqueId val="{00000002-7820-4ED0-B04D-8BA4719C5215}"/>
            </c:ext>
          </c:extLst>
        </c:ser>
        <c:ser>
          <c:idx val="3"/>
          <c:order val="3"/>
          <c:tx>
            <c:strRef>
              <c:f>'MSCI Chart'!$K$7</c:f>
              <c:strCache>
                <c:ptCount val="1"/>
                <c:pt idx="0">
                  <c:v>MSCI Emerging Markets</c:v>
                </c:pt>
              </c:strCache>
            </c:strRef>
          </c:tx>
          <c:spPr>
            <a:ln w="28575" cap="rnd">
              <a:solidFill>
                <a:schemeClr val="accent6">
                  <a:lumMod val="60000"/>
                </a:schemeClr>
              </a:solidFill>
              <a:round/>
            </a:ln>
            <a:effectLst/>
          </c:spPr>
          <c:marker>
            <c:symbol val="none"/>
          </c:marker>
          <c:cat>
            <c:numRef>
              <c:f>'MSCI Chart'!$G$8:$G$291</c:f>
              <c:numCache>
                <c:formatCode>m/d/yyyy</c:formatCode>
                <c:ptCount val="284"/>
                <c:pt idx="0">
                  <c:v>44104</c:v>
                </c:pt>
                <c:pt idx="1">
                  <c:v>44105</c:v>
                </c:pt>
                <c:pt idx="2">
                  <c:v>44106</c:v>
                </c:pt>
                <c:pt idx="3">
                  <c:v>44109</c:v>
                </c:pt>
                <c:pt idx="4">
                  <c:v>44110</c:v>
                </c:pt>
                <c:pt idx="5">
                  <c:v>44111</c:v>
                </c:pt>
                <c:pt idx="6">
                  <c:v>44112</c:v>
                </c:pt>
                <c:pt idx="7">
                  <c:v>44113</c:v>
                </c:pt>
                <c:pt idx="8">
                  <c:v>44116</c:v>
                </c:pt>
                <c:pt idx="9">
                  <c:v>44117</c:v>
                </c:pt>
                <c:pt idx="10">
                  <c:v>44118</c:v>
                </c:pt>
                <c:pt idx="11">
                  <c:v>44119</c:v>
                </c:pt>
                <c:pt idx="12">
                  <c:v>44120</c:v>
                </c:pt>
                <c:pt idx="13">
                  <c:v>44123</c:v>
                </c:pt>
                <c:pt idx="14">
                  <c:v>44124</c:v>
                </c:pt>
                <c:pt idx="15">
                  <c:v>44125</c:v>
                </c:pt>
                <c:pt idx="16">
                  <c:v>44126</c:v>
                </c:pt>
                <c:pt idx="17">
                  <c:v>44127</c:v>
                </c:pt>
                <c:pt idx="18">
                  <c:v>44130</c:v>
                </c:pt>
                <c:pt idx="19">
                  <c:v>44131</c:v>
                </c:pt>
                <c:pt idx="20">
                  <c:v>44132</c:v>
                </c:pt>
                <c:pt idx="21">
                  <c:v>44133</c:v>
                </c:pt>
                <c:pt idx="22">
                  <c:v>44134</c:v>
                </c:pt>
                <c:pt idx="23">
                  <c:v>44137</c:v>
                </c:pt>
                <c:pt idx="24">
                  <c:v>44138</c:v>
                </c:pt>
                <c:pt idx="25">
                  <c:v>44139</c:v>
                </c:pt>
                <c:pt idx="26">
                  <c:v>44140</c:v>
                </c:pt>
                <c:pt idx="27">
                  <c:v>44141</c:v>
                </c:pt>
                <c:pt idx="28">
                  <c:v>44144</c:v>
                </c:pt>
                <c:pt idx="29">
                  <c:v>44145</c:v>
                </c:pt>
                <c:pt idx="30">
                  <c:v>44146</c:v>
                </c:pt>
                <c:pt idx="31">
                  <c:v>44147</c:v>
                </c:pt>
                <c:pt idx="32">
                  <c:v>44148</c:v>
                </c:pt>
                <c:pt idx="33">
                  <c:v>44151</c:v>
                </c:pt>
                <c:pt idx="34">
                  <c:v>44152</c:v>
                </c:pt>
                <c:pt idx="35">
                  <c:v>44153</c:v>
                </c:pt>
                <c:pt idx="36">
                  <c:v>44154</c:v>
                </c:pt>
                <c:pt idx="37">
                  <c:v>44155</c:v>
                </c:pt>
                <c:pt idx="38">
                  <c:v>44158</c:v>
                </c:pt>
                <c:pt idx="39">
                  <c:v>44159</c:v>
                </c:pt>
                <c:pt idx="40">
                  <c:v>44160</c:v>
                </c:pt>
                <c:pt idx="41">
                  <c:v>44161</c:v>
                </c:pt>
                <c:pt idx="42">
                  <c:v>44162</c:v>
                </c:pt>
                <c:pt idx="43">
                  <c:v>44165</c:v>
                </c:pt>
                <c:pt idx="44">
                  <c:v>44166</c:v>
                </c:pt>
                <c:pt idx="45">
                  <c:v>44167</c:v>
                </c:pt>
                <c:pt idx="46">
                  <c:v>44168</c:v>
                </c:pt>
                <c:pt idx="47">
                  <c:v>44169</c:v>
                </c:pt>
                <c:pt idx="48">
                  <c:v>44172</c:v>
                </c:pt>
                <c:pt idx="49">
                  <c:v>44173</c:v>
                </c:pt>
                <c:pt idx="50">
                  <c:v>44174</c:v>
                </c:pt>
                <c:pt idx="51">
                  <c:v>44175</c:v>
                </c:pt>
                <c:pt idx="52">
                  <c:v>44176</c:v>
                </c:pt>
                <c:pt idx="53">
                  <c:v>44179</c:v>
                </c:pt>
                <c:pt idx="54">
                  <c:v>44180</c:v>
                </c:pt>
                <c:pt idx="55">
                  <c:v>44181</c:v>
                </c:pt>
                <c:pt idx="56">
                  <c:v>44182</c:v>
                </c:pt>
                <c:pt idx="57">
                  <c:v>44183</c:v>
                </c:pt>
                <c:pt idx="58">
                  <c:v>44186</c:v>
                </c:pt>
                <c:pt idx="59">
                  <c:v>44187</c:v>
                </c:pt>
                <c:pt idx="60">
                  <c:v>44188</c:v>
                </c:pt>
                <c:pt idx="61">
                  <c:v>44189</c:v>
                </c:pt>
                <c:pt idx="62">
                  <c:v>44190</c:v>
                </c:pt>
                <c:pt idx="63">
                  <c:v>44193</c:v>
                </c:pt>
                <c:pt idx="64">
                  <c:v>44194</c:v>
                </c:pt>
                <c:pt idx="65">
                  <c:v>44195</c:v>
                </c:pt>
                <c:pt idx="66">
                  <c:v>44196</c:v>
                </c:pt>
                <c:pt idx="67">
                  <c:v>44197</c:v>
                </c:pt>
                <c:pt idx="68">
                  <c:v>44200</c:v>
                </c:pt>
                <c:pt idx="69">
                  <c:v>44201</c:v>
                </c:pt>
                <c:pt idx="70">
                  <c:v>44202</c:v>
                </c:pt>
                <c:pt idx="71">
                  <c:v>44203</c:v>
                </c:pt>
                <c:pt idx="72">
                  <c:v>44204</c:v>
                </c:pt>
                <c:pt idx="73">
                  <c:v>44207</c:v>
                </c:pt>
                <c:pt idx="74">
                  <c:v>44208</c:v>
                </c:pt>
                <c:pt idx="75">
                  <c:v>44209</c:v>
                </c:pt>
                <c:pt idx="76">
                  <c:v>44210</c:v>
                </c:pt>
                <c:pt idx="77">
                  <c:v>44211</c:v>
                </c:pt>
                <c:pt idx="78">
                  <c:v>44214</c:v>
                </c:pt>
                <c:pt idx="79">
                  <c:v>44215</c:v>
                </c:pt>
                <c:pt idx="80">
                  <c:v>44216</c:v>
                </c:pt>
                <c:pt idx="81">
                  <c:v>44217</c:v>
                </c:pt>
                <c:pt idx="82">
                  <c:v>44218</c:v>
                </c:pt>
                <c:pt idx="83">
                  <c:v>44221</c:v>
                </c:pt>
                <c:pt idx="84">
                  <c:v>44222</c:v>
                </c:pt>
                <c:pt idx="85">
                  <c:v>44223</c:v>
                </c:pt>
                <c:pt idx="86">
                  <c:v>44224</c:v>
                </c:pt>
                <c:pt idx="87">
                  <c:v>44225</c:v>
                </c:pt>
                <c:pt idx="88">
                  <c:v>44228</c:v>
                </c:pt>
                <c:pt idx="89">
                  <c:v>44229</c:v>
                </c:pt>
                <c:pt idx="90">
                  <c:v>44230</c:v>
                </c:pt>
                <c:pt idx="91">
                  <c:v>44231</c:v>
                </c:pt>
                <c:pt idx="92">
                  <c:v>44232</c:v>
                </c:pt>
                <c:pt idx="93">
                  <c:v>44235</c:v>
                </c:pt>
                <c:pt idx="94">
                  <c:v>44236</c:v>
                </c:pt>
                <c:pt idx="95">
                  <c:v>44237</c:v>
                </c:pt>
                <c:pt idx="96">
                  <c:v>44238</c:v>
                </c:pt>
                <c:pt idx="97">
                  <c:v>44239</c:v>
                </c:pt>
                <c:pt idx="98">
                  <c:v>44242</c:v>
                </c:pt>
                <c:pt idx="99">
                  <c:v>44243</c:v>
                </c:pt>
                <c:pt idx="100">
                  <c:v>44244</c:v>
                </c:pt>
                <c:pt idx="101">
                  <c:v>44245</c:v>
                </c:pt>
                <c:pt idx="102">
                  <c:v>44246</c:v>
                </c:pt>
                <c:pt idx="103">
                  <c:v>44249</c:v>
                </c:pt>
                <c:pt idx="104">
                  <c:v>44250</c:v>
                </c:pt>
                <c:pt idx="105">
                  <c:v>44251</c:v>
                </c:pt>
                <c:pt idx="106">
                  <c:v>44252</c:v>
                </c:pt>
                <c:pt idx="107">
                  <c:v>44253</c:v>
                </c:pt>
                <c:pt idx="108">
                  <c:v>44256</c:v>
                </c:pt>
                <c:pt idx="109">
                  <c:v>44257</c:v>
                </c:pt>
                <c:pt idx="110">
                  <c:v>44258</c:v>
                </c:pt>
                <c:pt idx="111">
                  <c:v>44259</c:v>
                </c:pt>
                <c:pt idx="112">
                  <c:v>44260</c:v>
                </c:pt>
                <c:pt idx="113">
                  <c:v>44263</c:v>
                </c:pt>
                <c:pt idx="114">
                  <c:v>44264</c:v>
                </c:pt>
                <c:pt idx="115">
                  <c:v>44265</c:v>
                </c:pt>
                <c:pt idx="116">
                  <c:v>44266</c:v>
                </c:pt>
                <c:pt idx="117">
                  <c:v>44267</c:v>
                </c:pt>
                <c:pt idx="118">
                  <c:v>44270</c:v>
                </c:pt>
                <c:pt idx="119">
                  <c:v>44271</c:v>
                </c:pt>
                <c:pt idx="120">
                  <c:v>44272</c:v>
                </c:pt>
                <c:pt idx="121">
                  <c:v>44273</c:v>
                </c:pt>
                <c:pt idx="122">
                  <c:v>44274</c:v>
                </c:pt>
                <c:pt idx="123">
                  <c:v>44277</c:v>
                </c:pt>
                <c:pt idx="124">
                  <c:v>44278</c:v>
                </c:pt>
                <c:pt idx="125">
                  <c:v>44279</c:v>
                </c:pt>
                <c:pt idx="126">
                  <c:v>44280</c:v>
                </c:pt>
                <c:pt idx="127">
                  <c:v>44281</c:v>
                </c:pt>
                <c:pt idx="128">
                  <c:v>44284</c:v>
                </c:pt>
                <c:pt idx="129">
                  <c:v>44285</c:v>
                </c:pt>
                <c:pt idx="130">
                  <c:v>44286</c:v>
                </c:pt>
                <c:pt idx="131">
                  <c:v>44287</c:v>
                </c:pt>
                <c:pt idx="132">
                  <c:v>44288</c:v>
                </c:pt>
                <c:pt idx="133">
                  <c:v>44291</c:v>
                </c:pt>
                <c:pt idx="134">
                  <c:v>44292</c:v>
                </c:pt>
                <c:pt idx="135">
                  <c:v>44293</c:v>
                </c:pt>
                <c:pt idx="136">
                  <c:v>44294</c:v>
                </c:pt>
                <c:pt idx="137">
                  <c:v>44295</c:v>
                </c:pt>
                <c:pt idx="138">
                  <c:v>44298</c:v>
                </c:pt>
                <c:pt idx="139">
                  <c:v>44299</c:v>
                </c:pt>
                <c:pt idx="140">
                  <c:v>44300</c:v>
                </c:pt>
                <c:pt idx="141">
                  <c:v>44301</c:v>
                </c:pt>
                <c:pt idx="142">
                  <c:v>44302</c:v>
                </c:pt>
                <c:pt idx="143">
                  <c:v>44305</c:v>
                </c:pt>
                <c:pt idx="144">
                  <c:v>44306</c:v>
                </c:pt>
                <c:pt idx="145">
                  <c:v>44307</c:v>
                </c:pt>
                <c:pt idx="146">
                  <c:v>44308</c:v>
                </c:pt>
                <c:pt idx="147">
                  <c:v>44309</c:v>
                </c:pt>
                <c:pt idx="148">
                  <c:v>44312</c:v>
                </c:pt>
                <c:pt idx="149">
                  <c:v>44313</c:v>
                </c:pt>
                <c:pt idx="150">
                  <c:v>44314</c:v>
                </c:pt>
                <c:pt idx="151">
                  <c:v>44315</c:v>
                </c:pt>
                <c:pt idx="152">
                  <c:v>44316</c:v>
                </c:pt>
                <c:pt idx="153">
                  <c:v>44319</c:v>
                </c:pt>
                <c:pt idx="154">
                  <c:v>44320</c:v>
                </c:pt>
                <c:pt idx="155">
                  <c:v>44321</c:v>
                </c:pt>
                <c:pt idx="156">
                  <c:v>44322</c:v>
                </c:pt>
                <c:pt idx="157">
                  <c:v>44323</c:v>
                </c:pt>
                <c:pt idx="158">
                  <c:v>44326</c:v>
                </c:pt>
                <c:pt idx="159">
                  <c:v>44327</c:v>
                </c:pt>
                <c:pt idx="160">
                  <c:v>44328</c:v>
                </c:pt>
                <c:pt idx="161">
                  <c:v>44329</c:v>
                </c:pt>
                <c:pt idx="162">
                  <c:v>44330</c:v>
                </c:pt>
                <c:pt idx="163">
                  <c:v>44333</c:v>
                </c:pt>
                <c:pt idx="164">
                  <c:v>44334</c:v>
                </c:pt>
                <c:pt idx="165">
                  <c:v>44335</c:v>
                </c:pt>
                <c:pt idx="166">
                  <c:v>44336</c:v>
                </c:pt>
                <c:pt idx="167">
                  <c:v>44337</c:v>
                </c:pt>
                <c:pt idx="168">
                  <c:v>44340</c:v>
                </c:pt>
                <c:pt idx="169">
                  <c:v>44341</c:v>
                </c:pt>
                <c:pt idx="170">
                  <c:v>44342</c:v>
                </c:pt>
                <c:pt idx="171">
                  <c:v>44343</c:v>
                </c:pt>
                <c:pt idx="172">
                  <c:v>44344</c:v>
                </c:pt>
                <c:pt idx="173">
                  <c:v>44347</c:v>
                </c:pt>
                <c:pt idx="174">
                  <c:v>44348</c:v>
                </c:pt>
                <c:pt idx="175">
                  <c:v>44349</c:v>
                </c:pt>
                <c:pt idx="176">
                  <c:v>44350</c:v>
                </c:pt>
                <c:pt idx="177">
                  <c:v>44351</c:v>
                </c:pt>
                <c:pt idx="178">
                  <c:v>44354</c:v>
                </c:pt>
                <c:pt idx="179">
                  <c:v>44355</c:v>
                </c:pt>
                <c:pt idx="180">
                  <c:v>44356</c:v>
                </c:pt>
                <c:pt idx="181">
                  <c:v>44357</c:v>
                </c:pt>
                <c:pt idx="182">
                  <c:v>44358</c:v>
                </c:pt>
                <c:pt idx="183">
                  <c:v>44361</c:v>
                </c:pt>
                <c:pt idx="184">
                  <c:v>44362</c:v>
                </c:pt>
                <c:pt idx="185">
                  <c:v>44363</c:v>
                </c:pt>
                <c:pt idx="186">
                  <c:v>44364</c:v>
                </c:pt>
                <c:pt idx="187">
                  <c:v>44365</c:v>
                </c:pt>
                <c:pt idx="188">
                  <c:v>44368</c:v>
                </c:pt>
                <c:pt idx="189">
                  <c:v>44369</c:v>
                </c:pt>
                <c:pt idx="190">
                  <c:v>44370</c:v>
                </c:pt>
                <c:pt idx="191">
                  <c:v>44371</c:v>
                </c:pt>
                <c:pt idx="192">
                  <c:v>44372</c:v>
                </c:pt>
                <c:pt idx="193">
                  <c:v>44375</c:v>
                </c:pt>
                <c:pt idx="194">
                  <c:v>44376</c:v>
                </c:pt>
                <c:pt idx="195">
                  <c:v>44377</c:v>
                </c:pt>
                <c:pt idx="196">
                  <c:v>44378</c:v>
                </c:pt>
                <c:pt idx="197">
                  <c:v>44379</c:v>
                </c:pt>
                <c:pt idx="198">
                  <c:v>44382</c:v>
                </c:pt>
                <c:pt idx="199">
                  <c:v>44383</c:v>
                </c:pt>
                <c:pt idx="200">
                  <c:v>44384</c:v>
                </c:pt>
                <c:pt idx="201">
                  <c:v>44385</c:v>
                </c:pt>
                <c:pt idx="202">
                  <c:v>44386</c:v>
                </c:pt>
                <c:pt idx="203">
                  <c:v>44389</c:v>
                </c:pt>
                <c:pt idx="204">
                  <c:v>44390</c:v>
                </c:pt>
                <c:pt idx="205">
                  <c:v>44391</c:v>
                </c:pt>
                <c:pt idx="206">
                  <c:v>44392</c:v>
                </c:pt>
                <c:pt idx="207">
                  <c:v>44393</c:v>
                </c:pt>
                <c:pt idx="208">
                  <c:v>44396</c:v>
                </c:pt>
                <c:pt idx="209">
                  <c:v>44397</c:v>
                </c:pt>
                <c:pt idx="210">
                  <c:v>44398</c:v>
                </c:pt>
                <c:pt idx="211">
                  <c:v>44399</c:v>
                </c:pt>
                <c:pt idx="212">
                  <c:v>44400</c:v>
                </c:pt>
                <c:pt idx="213">
                  <c:v>44403</c:v>
                </c:pt>
                <c:pt idx="214">
                  <c:v>44404</c:v>
                </c:pt>
                <c:pt idx="215">
                  <c:v>44405</c:v>
                </c:pt>
                <c:pt idx="216">
                  <c:v>44406</c:v>
                </c:pt>
                <c:pt idx="217">
                  <c:v>44407</c:v>
                </c:pt>
                <c:pt idx="218">
                  <c:v>44410</c:v>
                </c:pt>
                <c:pt idx="219">
                  <c:v>44411</c:v>
                </c:pt>
                <c:pt idx="220">
                  <c:v>44412</c:v>
                </c:pt>
                <c:pt idx="221">
                  <c:v>44413</c:v>
                </c:pt>
                <c:pt idx="222">
                  <c:v>44414</c:v>
                </c:pt>
                <c:pt idx="223">
                  <c:v>44417</c:v>
                </c:pt>
                <c:pt idx="224">
                  <c:v>44418</c:v>
                </c:pt>
                <c:pt idx="225">
                  <c:v>44419</c:v>
                </c:pt>
                <c:pt idx="226">
                  <c:v>44420</c:v>
                </c:pt>
                <c:pt idx="227">
                  <c:v>44421</c:v>
                </c:pt>
                <c:pt idx="228">
                  <c:v>44424</c:v>
                </c:pt>
                <c:pt idx="229">
                  <c:v>44425</c:v>
                </c:pt>
                <c:pt idx="230">
                  <c:v>44426</c:v>
                </c:pt>
                <c:pt idx="231">
                  <c:v>44427</c:v>
                </c:pt>
                <c:pt idx="232">
                  <c:v>44428</c:v>
                </c:pt>
                <c:pt idx="233">
                  <c:v>44431</c:v>
                </c:pt>
                <c:pt idx="234">
                  <c:v>44432</c:v>
                </c:pt>
                <c:pt idx="235">
                  <c:v>44433</c:v>
                </c:pt>
                <c:pt idx="236">
                  <c:v>44434</c:v>
                </c:pt>
                <c:pt idx="237">
                  <c:v>44435</c:v>
                </c:pt>
                <c:pt idx="238">
                  <c:v>44438</c:v>
                </c:pt>
                <c:pt idx="239">
                  <c:v>44439</c:v>
                </c:pt>
                <c:pt idx="240">
                  <c:v>44440</c:v>
                </c:pt>
                <c:pt idx="241">
                  <c:v>44441</c:v>
                </c:pt>
                <c:pt idx="242">
                  <c:v>44442</c:v>
                </c:pt>
                <c:pt idx="243">
                  <c:v>44445</c:v>
                </c:pt>
                <c:pt idx="244">
                  <c:v>44446</c:v>
                </c:pt>
                <c:pt idx="245">
                  <c:v>44447</c:v>
                </c:pt>
                <c:pt idx="246">
                  <c:v>44448</c:v>
                </c:pt>
                <c:pt idx="247">
                  <c:v>44449</c:v>
                </c:pt>
                <c:pt idx="248">
                  <c:v>44452</c:v>
                </c:pt>
                <c:pt idx="249">
                  <c:v>44453</c:v>
                </c:pt>
                <c:pt idx="250">
                  <c:v>44454</c:v>
                </c:pt>
                <c:pt idx="251">
                  <c:v>44455</c:v>
                </c:pt>
                <c:pt idx="252">
                  <c:v>44456</c:v>
                </c:pt>
                <c:pt idx="253">
                  <c:v>44459</c:v>
                </c:pt>
                <c:pt idx="254">
                  <c:v>44460</c:v>
                </c:pt>
                <c:pt idx="255">
                  <c:v>44461</c:v>
                </c:pt>
                <c:pt idx="256">
                  <c:v>44462</c:v>
                </c:pt>
                <c:pt idx="257">
                  <c:v>44463</c:v>
                </c:pt>
                <c:pt idx="258">
                  <c:v>44466</c:v>
                </c:pt>
                <c:pt idx="259">
                  <c:v>44467</c:v>
                </c:pt>
                <c:pt idx="260">
                  <c:v>44468</c:v>
                </c:pt>
                <c:pt idx="261">
                  <c:v>44469</c:v>
                </c:pt>
                <c:pt idx="262">
                  <c:v>44470</c:v>
                </c:pt>
                <c:pt idx="263">
                  <c:v>44473</c:v>
                </c:pt>
                <c:pt idx="264">
                  <c:v>44474</c:v>
                </c:pt>
                <c:pt idx="265">
                  <c:v>44475</c:v>
                </c:pt>
                <c:pt idx="266">
                  <c:v>44476</c:v>
                </c:pt>
                <c:pt idx="267">
                  <c:v>44477</c:v>
                </c:pt>
                <c:pt idx="268">
                  <c:v>44480</c:v>
                </c:pt>
                <c:pt idx="269">
                  <c:v>44481</c:v>
                </c:pt>
                <c:pt idx="270">
                  <c:v>44482</c:v>
                </c:pt>
                <c:pt idx="271">
                  <c:v>44483</c:v>
                </c:pt>
                <c:pt idx="272">
                  <c:v>44484</c:v>
                </c:pt>
                <c:pt idx="273">
                  <c:v>44487</c:v>
                </c:pt>
                <c:pt idx="274">
                  <c:v>44488</c:v>
                </c:pt>
                <c:pt idx="275">
                  <c:v>44489</c:v>
                </c:pt>
                <c:pt idx="276">
                  <c:v>44490</c:v>
                </c:pt>
                <c:pt idx="277">
                  <c:v>44491</c:v>
                </c:pt>
                <c:pt idx="278">
                  <c:v>44494</c:v>
                </c:pt>
                <c:pt idx="279">
                  <c:v>44495</c:v>
                </c:pt>
                <c:pt idx="280">
                  <c:v>44496</c:v>
                </c:pt>
                <c:pt idx="281">
                  <c:v>44497</c:v>
                </c:pt>
                <c:pt idx="282">
                  <c:v>44498</c:v>
                </c:pt>
                <c:pt idx="283">
                  <c:v>44501</c:v>
                </c:pt>
              </c:numCache>
            </c:numRef>
          </c:cat>
          <c:val>
            <c:numRef>
              <c:f>'MSCI Chart'!$K$8:$K$291</c:f>
              <c:numCache>
                <c:formatCode>0</c:formatCode>
                <c:ptCount val="284"/>
                <c:pt idx="0" formatCode="0.0">
                  <c:v>100</c:v>
                </c:pt>
                <c:pt idx="1">
                  <c:v>100.26238544319941</c:v>
                </c:pt>
                <c:pt idx="2">
                  <c:v>99.973197682801015</c:v>
                </c:pt>
                <c:pt idx="3">
                  <c:v>100.86737843762823</c:v>
                </c:pt>
                <c:pt idx="4">
                  <c:v>101.89224359424618</c:v>
                </c:pt>
                <c:pt idx="5">
                  <c:v>102.39400145656728</c:v>
                </c:pt>
                <c:pt idx="6">
                  <c:v>103.27542800527911</c:v>
                </c:pt>
                <c:pt idx="7">
                  <c:v>103.74391402556016</c:v>
                </c:pt>
                <c:pt idx="8">
                  <c:v>105.09900221442591</c:v>
                </c:pt>
                <c:pt idx="9">
                  <c:v>105.02950103327552</c:v>
                </c:pt>
                <c:pt idx="10">
                  <c:v>104.95020314308</c:v>
                </c:pt>
                <c:pt idx="11">
                  <c:v>103.56239764287483</c:v>
                </c:pt>
                <c:pt idx="12">
                  <c:v>103.88957075626895</c:v>
                </c:pt>
                <c:pt idx="13">
                  <c:v>104.18495077615813</c:v>
                </c:pt>
                <c:pt idx="14">
                  <c:v>104.80084954103341</c:v>
                </c:pt>
                <c:pt idx="15">
                  <c:v>105.16748675595841</c:v>
                </c:pt>
                <c:pt idx="16">
                  <c:v>105.041238599773</c:v>
                </c:pt>
                <c:pt idx="17">
                  <c:v>105.0323661085623</c:v>
                </c:pt>
                <c:pt idx="18">
                  <c:v>104.49622734279977</c:v>
                </c:pt>
                <c:pt idx="19">
                  <c:v>104.80537820842218</c:v>
                </c:pt>
                <c:pt idx="20">
                  <c:v>103.58180621739818</c:v>
                </c:pt>
                <c:pt idx="21">
                  <c:v>103.52210174529293</c:v>
                </c:pt>
                <c:pt idx="22">
                  <c:v>101.98355631628951</c:v>
                </c:pt>
                <c:pt idx="23">
                  <c:v>103.02792246921429</c:v>
                </c:pt>
                <c:pt idx="24">
                  <c:v>103.59391347102945</c:v>
                </c:pt>
                <c:pt idx="25">
                  <c:v>104.92256902983004</c:v>
                </c:pt>
                <c:pt idx="26">
                  <c:v>107.78477924132804</c:v>
                </c:pt>
                <c:pt idx="27">
                  <c:v>108.72138159475634</c:v>
                </c:pt>
                <c:pt idx="28">
                  <c:v>110.20123919127239</c:v>
                </c:pt>
                <c:pt idx="29">
                  <c:v>109.05058798738624</c:v>
                </c:pt>
                <c:pt idx="30">
                  <c:v>108.95197394445078</c:v>
                </c:pt>
                <c:pt idx="31">
                  <c:v>109.25169778816185</c:v>
                </c:pt>
                <c:pt idx="32">
                  <c:v>109.82905666934072</c:v>
                </c:pt>
                <c:pt idx="33">
                  <c:v>111.18728719884359</c:v>
                </c:pt>
                <c:pt idx="34">
                  <c:v>111.03821086214735</c:v>
                </c:pt>
                <c:pt idx="35">
                  <c:v>111.60364733326183</c:v>
                </c:pt>
                <c:pt idx="36">
                  <c:v>110.94717540545433</c:v>
                </c:pt>
                <c:pt idx="37">
                  <c:v>111.76178100473567</c:v>
                </c:pt>
                <c:pt idx="38">
                  <c:v>112.8023578645392</c:v>
                </c:pt>
                <c:pt idx="39">
                  <c:v>113.30855197246565</c:v>
                </c:pt>
                <c:pt idx="40">
                  <c:v>112.59616486567414</c:v>
                </c:pt>
                <c:pt idx="41">
                  <c:v>113.64006890968167</c:v>
                </c:pt>
                <c:pt idx="42">
                  <c:v>113.74552216459205</c:v>
                </c:pt>
                <c:pt idx="43">
                  <c:v>111.37453373210246</c:v>
                </c:pt>
                <c:pt idx="44">
                  <c:v>113.1245402016273</c:v>
                </c:pt>
                <c:pt idx="45">
                  <c:v>113.55947711451793</c:v>
                </c:pt>
                <c:pt idx="46">
                  <c:v>114.55319613011501</c:v>
                </c:pt>
                <c:pt idx="47">
                  <c:v>115.62307069527051</c:v>
                </c:pt>
                <c:pt idx="48">
                  <c:v>115.84053915171583</c:v>
                </c:pt>
                <c:pt idx="49">
                  <c:v>115.91826587159278</c:v>
                </c:pt>
                <c:pt idx="50">
                  <c:v>116.06817400434004</c:v>
                </c:pt>
                <c:pt idx="51">
                  <c:v>115.99192603299818</c:v>
                </c:pt>
                <c:pt idx="52">
                  <c:v>116.235272588808</c:v>
                </c:pt>
                <c:pt idx="53">
                  <c:v>115.5684494212547</c:v>
                </c:pt>
                <c:pt idx="54">
                  <c:v>115.54673030214521</c:v>
                </c:pt>
                <c:pt idx="55">
                  <c:v>116.80431350947684</c:v>
                </c:pt>
                <c:pt idx="56">
                  <c:v>117.64914103194459</c:v>
                </c:pt>
                <c:pt idx="57">
                  <c:v>117.22437051523289</c:v>
                </c:pt>
                <c:pt idx="58">
                  <c:v>116.17482874243521</c:v>
                </c:pt>
                <c:pt idx="59">
                  <c:v>115.40754309627754</c:v>
                </c:pt>
                <c:pt idx="60">
                  <c:v>116.275383642823</c:v>
                </c:pt>
                <c:pt idx="61">
                  <c:v>115.85357062318151</c:v>
                </c:pt>
                <c:pt idx="62">
                  <c:v>116.00800742331758</c:v>
                </c:pt>
                <c:pt idx="63">
                  <c:v>115.74229479591415</c:v>
                </c:pt>
                <c:pt idx="64">
                  <c:v>117.07686534885519</c:v>
                </c:pt>
                <c:pt idx="65">
                  <c:v>119.1348212008177</c:v>
                </c:pt>
                <c:pt idx="66">
                  <c:v>119.3409217778993</c:v>
                </c:pt>
                <c:pt idx="67">
                  <c:v>119.38611603000373</c:v>
                </c:pt>
                <c:pt idx="68">
                  <c:v>120.55756213516494</c:v>
                </c:pt>
                <c:pt idx="69">
                  <c:v>121.99407391524544</c:v>
                </c:pt>
                <c:pt idx="70">
                  <c:v>121.5646823093615</c:v>
                </c:pt>
                <c:pt idx="71">
                  <c:v>122.20895456175431</c:v>
                </c:pt>
                <c:pt idx="72">
                  <c:v>125.09574896764859</c:v>
                </c:pt>
                <c:pt idx="73">
                  <c:v>124.73197682801037</c:v>
                </c:pt>
                <c:pt idx="74">
                  <c:v>125.09953826076982</c:v>
                </c:pt>
                <c:pt idx="75">
                  <c:v>126.06987456515543</c:v>
                </c:pt>
                <c:pt idx="76">
                  <c:v>126.68771418748307</c:v>
                </c:pt>
                <c:pt idx="77">
                  <c:v>125.51155457136618</c:v>
                </c:pt>
                <c:pt idx="78">
                  <c:v>125.59917042207174</c:v>
                </c:pt>
                <c:pt idx="79">
                  <c:v>127.66294884639122</c:v>
                </c:pt>
                <c:pt idx="80">
                  <c:v>129.48005353069689</c:v>
                </c:pt>
                <c:pt idx="81">
                  <c:v>129.95103493913095</c:v>
                </c:pt>
                <c:pt idx="82">
                  <c:v>128.72995833625995</c:v>
                </c:pt>
                <c:pt idx="83">
                  <c:v>130.33319901367466</c:v>
                </c:pt>
                <c:pt idx="84">
                  <c:v>128.35158355483748</c:v>
                </c:pt>
                <c:pt idx="85">
                  <c:v>126.74862014277311</c:v>
                </c:pt>
                <c:pt idx="86">
                  <c:v>124.82375165897095</c:v>
                </c:pt>
                <c:pt idx="87">
                  <c:v>122.88086092739708</c:v>
                </c:pt>
                <c:pt idx="88">
                  <c:v>125.79445765049033</c:v>
                </c:pt>
                <c:pt idx="89">
                  <c:v>127.6518582323779</c:v>
                </c:pt>
                <c:pt idx="90">
                  <c:v>128.71018007460279</c:v>
                </c:pt>
                <c:pt idx="91">
                  <c:v>128.24576061279333</c:v>
                </c:pt>
                <c:pt idx="92">
                  <c:v>128.96073552952132</c:v>
                </c:pt>
                <c:pt idx="93">
                  <c:v>129.37339879260179</c:v>
                </c:pt>
                <c:pt idx="94">
                  <c:v>130.23476981430611</c:v>
                </c:pt>
                <c:pt idx="95">
                  <c:v>131.51111464367699</c:v>
                </c:pt>
                <c:pt idx="96">
                  <c:v>131.96777067567712</c:v>
                </c:pt>
                <c:pt idx="97">
                  <c:v>132.05871371058666</c:v>
                </c:pt>
                <c:pt idx="98">
                  <c:v>132.87664649407202</c:v>
                </c:pt>
                <c:pt idx="99">
                  <c:v>133.28764616505046</c:v>
                </c:pt>
                <c:pt idx="100">
                  <c:v>133.5430075527081</c:v>
                </c:pt>
                <c:pt idx="101">
                  <c:v>131.71277897515327</c:v>
                </c:pt>
                <c:pt idx="102">
                  <c:v>132.16555329224872</c:v>
                </c:pt>
                <c:pt idx="103">
                  <c:v>129.17469195819572</c:v>
                </c:pt>
                <c:pt idx="104">
                  <c:v>129.22432245590551</c:v>
                </c:pt>
                <c:pt idx="105">
                  <c:v>127.24289184063521</c:v>
                </c:pt>
                <c:pt idx="106">
                  <c:v>127.89428057035326</c:v>
                </c:pt>
                <c:pt idx="107">
                  <c:v>123.7767052743263</c:v>
                </c:pt>
                <c:pt idx="108">
                  <c:v>125.92144518094334</c:v>
                </c:pt>
                <c:pt idx="109">
                  <c:v>125.66109301697971</c:v>
                </c:pt>
                <c:pt idx="110">
                  <c:v>127.35897360064178</c:v>
                </c:pt>
                <c:pt idx="111">
                  <c:v>124.43132876646496</c:v>
                </c:pt>
                <c:pt idx="112">
                  <c:v>123.78178847241581</c:v>
                </c:pt>
                <c:pt idx="113">
                  <c:v>120.90053937352819</c:v>
                </c:pt>
                <c:pt idx="114">
                  <c:v>121.79841699969317</c:v>
                </c:pt>
                <c:pt idx="115">
                  <c:v>122.44952846406086</c:v>
                </c:pt>
                <c:pt idx="116">
                  <c:v>125.47153593913472</c:v>
                </c:pt>
                <c:pt idx="117">
                  <c:v>124.60332570545549</c:v>
                </c:pt>
                <c:pt idx="118">
                  <c:v>123.8680179963697</c:v>
                </c:pt>
                <c:pt idx="119">
                  <c:v>124.68317812635169</c:v>
                </c:pt>
                <c:pt idx="120">
                  <c:v>124.1038783877205</c:v>
                </c:pt>
                <c:pt idx="121">
                  <c:v>124.52245664494141</c:v>
                </c:pt>
                <c:pt idx="122">
                  <c:v>123.55304455839025</c:v>
                </c:pt>
                <c:pt idx="123">
                  <c:v>123.50064140717713</c:v>
                </c:pt>
                <c:pt idx="124">
                  <c:v>122.34490700520152</c:v>
                </c:pt>
                <c:pt idx="125">
                  <c:v>120.00404807411491</c:v>
                </c:pt>
                <c:pt idx="126">
                  <c:v>119.07788938221584</c:v>
                </c:pt>
                <c:pt idx="127">
                  <c:v>120.83926373110441</c:v>
                </c:pt>
                <c:pt idx="128">
                  <c:v>121.08297997404799</c:v>
                </c:pt>
                <c:pt idx="129">
                  <c:v>121.95017356810935</c:v>
                </c:pt>
                <c:pt idx="130">
                  <c:v>121.66634627115076</c:v>
                </c:pt>
                <c:pt idx="131">
                  <c:v>123.40489243952847</c:v>
                </c:pt>
                <c:pt idx="132">
                  <c:v>123.68123357202803</c:v>
                </c:pt>
                <c:pt idx="133">
                  <c:v>123.73308219254049</c:v>
                </c:pt>
                <c:pt idx="134">
                  <c:v>124.4835470741112</c:v>
                </c:pt>
                <c:pt idx="135">
                  <c:v>123.73049438260402</c:v>
                </c:pt>
                <c:pt idx="136">
                  <c:v>124.15535732109916</c:v>
                </c:pt>
                <c:pt idx="137">
                  <c:v>122.95452108880257</c:v>
                </c:pt>
                <c:pt idx="138">
                  <c:v>122.21071057563985</c:v>
                </c:pt>
                <c:pt idx="139">
                  <c:v>122.36135808265466</c:v>
                </c:pt>
                <c:pt idx="140">
                  <c:v>123.52975426896221</c:v>
                </c:pt>
                <c:pt idx="141">
                  <c:v>123.94565229446323</c:v>
                </c:pt>
                <c:pt idx="142">
                  <c:v>124.64861237934339</c:v>
                </c:pt>
                <c:pt idx="143">
                  <c:v>124.63558090787768</c:v>
                </c:pt>
                <c:pt idx="144">
                  <c:v>124.54814990073903</c:v>
                </c:pt>
                <c:pt idx="145">
                  <c:v>123.55544752475981</c:v>
                </c:pt>
                <c:pt idx="146">
                  <c:v>123.97698327905096</c:v>
                </c:pt>
                <c:pt idx="147">
                  <c:v>125.04852143630848</c:v>
                </c:pt>
                <c:pt idx="148">
                  <c:v>125.75259058258996</c:v>
                </c:pt>
                <c:pt idx="149">
                  <c:v>125.8744949149535</c:v>
                </c:pt>
                <c:pt idx="150">
                  <c:v>126.15212995242129</c:v>
                </c:pt>
                <c:pt idx="151">
                  <c:v>126.11312795980764</c:v>
                </c:pt>
                <c:pt idx="152">
                  <c:v>124.54870443143972</c:v>
                </c:pt>
                <c:pt idx="153">
                  <c:v>123.74269405801874</c:v>
                </c:pt>
                <c:pt idx="154">
                  <c:v>123.38197183723419</c:v>
                </c:pt>
                <c:pt idx="155">
                  <c:v>123.20276599913497</c:v>
                </c:pt>
                <c:pt idx="156">
                  <c:v>123.91884997726427</c:v>
                </c:pt>
                <c:pt idx="157">
                  <c:v>124.6372444999797</c:v>
                </c:pt>
                <c:pt idx="158">
                  <c:v>124.43243782786631</c:v>
                </c:pt>
                <c:pt idx="159">
                  <c:v>122.8360363624265</c:v>
                </c:pt>
                <c:pt idx="160">
                  <c:v>121.55765825381982</c:v>
                </c:pt>
                <c:pt idx="161">
                  <c:v>119.4812180451684</c:v>
                </c:pt>
                <c:pt idx="162">
                  <c:v>120.84462419454421</c:v>
                </c:pt>
                <c:pt idx="163">
                  <c:v>121.2069175856473</c:v>
                </c:pt>
                <c:pt idx="164">
                  <c:v>123.21505809633311</c:v>
                </c:pt>
                <c:pt idx="165">
                  <c:v>122.69342955057138</c:v>
                </c:pt>
                <c:pt idx="166">
                  <c:v>122.85683126370155</c:v>
                </c:pt>
                <c:pt idx="167">
                  <c:v>122.92476127453337</c:v>
                </c:pt>
                <c:pt idx="168">
                  <c:v>122.61394681680896</c:v>
                </c:pt>
                <c:pt idx="169">
                  <c:v>124.35286267232041</c:v>
                </c:pt>
                <c:pt idx="170">
                  <c:v>124.94981497158953</c:v>
                </c:pt>
                <c:pt idx="171">
                  <c:v>125.16811522408584</c:v>
                </c:pt>
                <c:pt idx="172">
                  <c:v>125.76589931940595</c:v>
                </c:pt>
                <c:pt idx="173">
                  <c:v>127.19159775082345</c:v>
                </c:pt>
                <c:pt idx="174">
                  <c:v>128.54446781688654</c:v>
                </c:pt>
                <c:pt idx="175">
                  <c:v>128.32450397228823</c:v>
                </c:pt>
                <c:pt idx="176">
                  <c:v>127.87228418589346</c:v>
                </c:pt>
                <c:pt idx="177">
                  <c:v>127.68614671403589</c:v>
                </c:pt>
                <c:pt idx="178">
                  <c:v>127.5967748494449</c:v>
                </c:pt>
                <c:pt idx="179">
                  <c:v>127.30472201375973</c:v>
                </c:pt>
                <c:pt idx="180">
                  <c:v>126.8769939999778</c:v>
                </c:pt>
                <c:pt idx="181">
                  <c:v>127.43577610268426</c:v>
                </c:pt>
                <c:pt idx="182">
                  <c:v>127.72616534626742</c:v>
                </c:pt>
                <c:pt idx="183">
                  <c:v>127.83697906461758</c:v>
                </c:pt>
                <c:pt idx="184">
                  <c:v>127.38189420293602</c:v>
                </c:pt>
                <c:pt idx="185">
                  <c:v>126.61784331919893</c:v>
                </c:pt>
                <c:pt idx="186">
                  <c:v>125.96026232999009</c:v>
                </c:pt>
                <c:pt idx="187">
                  <c:v>125.80878302692427</c:v>
                </c:pt>
                <c:pt idx="188">
                  <c:v>124.81774424304704</c:v>
                </c:pt>
                <c:pt idx="189">
                  <c:v>124.47735481462033</c:v>
                </c:pt>
                <c:pt idx="190">
                  <c:v>125.7393742675573</c:v>
                </c:pt>
                <c:pt idx="191">
                  <c:v>126.37699215154208</c:v>
                </c:pt>
                <c:pt idx="192">
                  <c:v>127.50379853529951</c:v>
                </c:pt>
                <c:pt idx="193">
                  <c:v>127.62542560231269</c:v>
                </c:pt>
                <c:pt idx="194">
                  <c:v>127.27856664904483</c:v>
                </c:pt>
                <c:pt idx="195">
                  <c:v>127.04640312903183</c:v>
                </c:pt>
                <c:pt idx="196">
                  <c:v>126.45324012288394</c:v>
                </c:pt>
                <c:pt idx="197">
                  <c:v>125.26691411058815</c:v>
                </c:pt>
                <c:pt idx="198">
                  <c:v>125.18207091338593</c:v>
                </c:pt>
                <c:pt idx="199">
                  <c:v>124.45314030735783</c:v>
                </c:pt>
                <c:pt idx="200">
                  <c:v>123.90803662860117</c:v>
                </c:pt>
                <c:pt idx="201">
                  <c:v>121.64989519369753</c:v>
                </c:pt>
                <c:pt idx="202">
                  <c:v>121.82808439217885</c:v>
                </c:pt>
                <c:pt idx="203">
                  <c:v>122.62790250610902</c:v>
                </c:pt>
                <c:pt idx="204">
                  <c:v>123.80027282910466</c:v>
                </c:pt>
                <c:pt idx="205">
                  <c:v>123.67254592438414</c:v>
                </c:pt>
                <c:pt idx="206">
                  <c:v>124.62929622660336</c:v>
                </c:pt>
                <c:pt idx="207">
                  <c:v>123.85276840210125</c:v>
                </c:pt>
                <c:pt idx="208">
                  <c:v>121.73982158898919</c:v>
                </c:pt>
                <c:pt idx="209">
                  <c:v>121.17179730793825</c:v>
                </c:pt>
                <c:pt idx="210">
                  <c:v>121.2712431469247</c:v>
                </c:pt>
                <c:pt idx="211">
                  <c:v>122.58612785999203</c:v>
                </c:pt>
                <c:pt idx="212">
                  <c:v>121.19286947456361</c:v>
                </c:pt>
                <c:pt idx="213">
                  <c:v>118.29868132599377</c:v>
                </c:pt>
                <c:pt idx="214">
                  <c:v>115.7520915049593</c:v>
                </c:pt>
                <c:pt idx="215">
                  <c:v>117.20995271701553</c:v>
                </c:pt>
                <c:pt idx="216">
                  <c:v>119.72428733562779</c:v>
                </c:pt>
                <c:pt idx="217">
                  <c:v>118.09701699451747</c:v>
                </c:pt>
                <c:pt idx="218">
                  <c:v>119.51162481192161</c:v>
                </c:pt>
                <c:pt idx="219">
                  <c:v>119.61023885485706</c:v>
                </c:pt>
                <c:pt idx="220">
                  <c:v>120.51717381579961</c:v>
                </c:pt>
                <c:pt idx="221">
                  <c:v>120.15691370393229</c:v>
                </c:pt>
                <c:pt idx="222">
                  <c:v>119.45792775574024</c:v>
                </c:pt>
                <c:pt idx="223">
                  <c:v>119.6126418212266</c:v>
                </c:pt>
                <c:pt idx="224">
                  <c:v>120.17900251017556</c:v>
                </c:pt>
                <c:pt idx="225">
                  <c:v>119.92502744926961</c:v>
                </c:pt>
                <c:pt idx="226">
                  <c:v>119.30838931012677</c:v>
                </c:pt>
                <c:pt idx="227">
                  <c:v>118.37964280829127</c:v>
                </c:pt>
                <c:pt idx="228">
                  <c:v>117.57779141512529</c:v>
                </c:pt>
                <c:pt idx="229">
                  <c:v>116.06124237058171</c:v>
                </c:pt>
                <c:pt idx="230">
                  <c:v>116.59932199379658</c:v>
                </c:pt>
                <c:pt idx="231">
                  <c:v>113.90180740039699</c:v>
                </c:pt>
                <c:pt idx="232">
                  <c:v>112.82647995001825</c:v>
                </c:pt>
                <c:pt idx="233">
                  <c:v>114.37482208806681</c:v>
                </c:pt>
                <c:pt idx="234">
                  <c:v>117.37668161434971</c:v>
                </c:pt>
                <c:pt idx="235">
                  <c:v>117.86605495768924</c:v>
                </c:pt>
                <c:pt idx="236">
                  <c:v>117.01836235993471</c:v>
                </c:pt>
                <c:pt idx="237">
                  <c:v>117.62270840187942</c:v>
                </c:pt>
                <c:pt idx="238">
                  <c:v>118.79803622194531</c:v>
                </c:pt>
                <c:pt idx="239">
                  <c:v>120.94961534053725</c:v>
                </c:pt>
                <c:pt idx="240">
                  <c:v>121.29813788590711</c:v>
                </c:pt>
                <c:pt idx="241">
                  <c:v>121.24933918424833</c:v>
                </c:pt>
                <c:pt idx="242">
                  <c:v>121.61911873981046</c:v>
                </c:pt>
                <c:pt idx="243">
                  <c:v>122.40082218418549</c:v>
                </c:pt>
                <c:pt idx="244">
                  <c:v>122.51865995807744</c:v>
                </c:pt>
                <c:pt idx="245">
                  <c:v>121.40553199826984</c:v>
                </c:pt>
                <c:pt idx="246">
                  <c:v>120.14545340278519</c:v>
                </c:pt>
                <c:pt idx="247">
                  <c:v>120.97475406563422</c:v>
                </c:pt>
                <c:pt idx="248">
                  <c:v>120.29101771171055</c:v>
                </c:pt>
                <c:pt idx="249">
                  <c:v>119.79221734645965</c:v>
                </c:pt>
                <c:pt idx="250">
                  <c:v>119.10191904591143</c:v>
                </c:pt>
                <c:pt idx="251">
                  <c:v>118.00228466648673</c:v>
                </c:pt>
                <c:pt idx="252">
                  <c:v>118.23943896280575</c:v>
                </c:pt>
                <c:pt idx="253">
                  <c:v>116.28776816180465</c:v>
                </c:pt>
                <c:pt idx="254">
                  <c:v>116.58129974602492</c:v>
                </c:pt>
                <c:pt idx="255">
                  <c:v>116.70939633787923</c:v>
                </c:pt>
                <c:pt idx="256">
                  <c:v>117.60866029079587</c:v>
                </c:pt>
                <c:pt idx="257">
                  <c:v>116.92298307941986</c:v>
                </c:pt>
                <c:pt idx="258">
                  <c:v>117.13157904465447</c:v>
                </c:pt>
                <c:pt idx="259">
                  <c:v>116.53333284041712</c:v>
                </c:pt>
                <c:pt idx="260">
                  <c:v>115.6457140322145</c:v>
                </c:pt>
                <c:pt idx="261">
                  <c:v>115.81345956916658</c:v>
                </c:pt>
                <c:pt idx="262">
                  <c:v>115.21308766391002</c:v>
                </c:pt>
                <c:pt idx="263">
                  <c:v>114.27158695595915</c:v>
                </c:pt>
                <c:pt idx="264">
                  <c:v>114.28064429073673</c:v>
                </c:pt>
                <c:pt idx="265">
                  <c:v>113.41372796202572</c:v>
                </c:pt>
                <c:pt idx="266">
                  <c:v>115.83037275553697</c:v>
                </c:pt>
                <c:pt idx="267">
                  <c:v>116.17806350485581</c:v>
                </c:pt>
                <c:pt idx="268">
                  <c:v>116.97399990388132</c:v>
                </c:pt>
                <c:pt idx="269">
                  <c:v>115.86262795795915</c:v>
                </c:pt>
                <c:pt idx="270">
                  <c:v>116.47261172869399</c:v>
                </c:pt>
                <c:pt idx="271">
                  <c:v>117.06780801407767</c:v>
                </c:pt>
                <c:pt idx="272">
                  <c:v>118.6392555979874</c:v>
                </c:pt>
                <c:pt idx="273">
                  <c:v>118.57871932983115</c:v>
                </c:pt>
                <c:pt idx="274">
                  <c:v>119.64609850683365</c:v>
                </c:pt>
                <c:pt idx="275">
                  <c:v>120.25266267158101</c:v>
                </c:pt>
                <c:pt idx="276">
                  <c:v>119.50155083752618</c:v>
                </c:pt>
                <c:pt idx="277">
                  <c:v>119.51430504364157</c:v>
                </c:pt>
                <c:pt idx="278">
                  <c:v>119.89499036965017</c:v>
                </c:pt>
                <c:pt idx="279">
                  <c:v>119.7841766513</c:v>
                </c:pt>
                <c:pt idx="280">
                  <c:v>118.56651965441647</c:v>
                </c:pt>
                <c:pt idx="281">
                  <c:v>117.93648035667414</c:v>
                </c:pt>
                <c:pt idx="282">
                  <c:v>116.89082029878112</c:v>
                </c:pt>
              </c:numCache>
            </c:numRef>
          </c:val>
          <c:smooth val="0"/>
          <c:extLst>
            <c:ext xmlns:c16="http://schemas.microsoft.com/office/drawing/2014/chart" uri="{C3380CC4-5D6E-409C-BE32-E72D297353CC}">
              <c16:uniqueId val="{00000003-7820-4ED0-B04D-8BA4719C5215}"/>
            </c:ext>
          </c:extLst>
        </c:ser>
        <c:dLbls>
          <c:showLegendKey val="0"/>
          <c:showVal val="0"/>
          <c:showCatName val="0"/>
          <c:showSerName val="0"/>
          <c:showPercent val="0"/>
          <c:showBubbleSize val="0"/>
        </c:dLbls>
        <c:smooth val="0"/>
        <c:axId val="556307376"/>
        <c:axId val="556309728"/>
      </c:lineChart>
      <c:dateAx>
        <c:axId val="556307376"/>
        <c:scaling>
          <c:orientation val="minMax"/>
        </c:scaling>
        <c:delete val="0"/>
        <c:axPos val="b"/>
        <c:numFmt formatCode="[$-409]mmm\-yy;@" sourceLinked="0"/>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556309728"/>
        <c:crosses val="autoZero"/>
        <c:auto val="1"/>
        <c:lblOffset val="100"/>
        <c:baseTimeUnit val="days"/>
      </c:dateAx>
      <c:valAx>
        <c:axId val="556309728"/>
        <c:scaling>
          <c:orientation val="minMax"/>
          <c:min val="8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56307376"/>
        <c:crosses val="autoZero"/>
        <c:crossBetween val="between"/>
        <c:majorUnit val="20"/>
      </c:valAx>
      <c:spPr>
        <a:noFill/>
        <a:ln>
          <a:noFill/>
        </a:ln>
        <a:effectLst/>
      </c:spPr>
    </c:plotArea>
    <c:legend>
      <c:legendPos val="b"/>
      <c:layout>
        <c:manualLayout>
          <c:xMode val="edge"/>
          <c:yMode val="edge"/>
          <c:x val="4.808223972003501E-2"/>
          <c:y val="0.86414935064935061"/>
          <c:w val="0.89827996500437446"/>
          <c:h val="0.108072871572871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247594050743664E-2"/>
          <c:y val="5.0925925925925923E-2"/>
          <c:w val="0.86984470691163607"/>
          <c:h val="0.60706765820939046"/>
        </c:manualLayout>
      </c:layout>
      <c:lineChart>
        <c:grouping val="standard"/>
        <c:varyColors val="0"/>
        <c:ser>
          <c:idx val="2"/>
          <c:order val="2"/>
          <c:tx>
            <c:strRef>
              <c:f>'Currency Chart'!$R$5</c:f>
              <c:strCache>
                <c:ptCount val="1"/>
                <c:pt idx="0">
                  <c:v>USD-INR</c:v>
                </c:pt>
              </c:strCache>
            </c:strRef>
          </c:tx>
          <c:spPr>
            <a:ln w="28575" cap="rnd">
              <a:solidFill>
                <a:schemeClr val="tx1"/>
              </a:solidFill>
              <a:round/>
            </a:ln>
            <a:effectLst/>
          </c:spPr>
          <c:marker>
            <c:symbol val="none"/>
          </c:marker>
          <c:cat>
            <c:numRef>
              <c:f>'Currency Chart'!$O$6:$O$291</c:f>
              <c:numCache>
                <c:formatCode>m/d/yyyy</c:formatCode>
                <c:ptCount val="286"/>
                <c:pt idx="0">
                  <c:v>44104</c:v>
                </c:pt>
                <c:pt idx="1">
                  <c:v>44105</c:v>
                </c:pt>
                <c:pt idx="2">
                  <c:v>44106</c:v>
                </c:pt>
                <c:pt idx="3">
                  <c:v>44109</c:v>
                </c:pt>
                <c:pt idx="4">
                  <c:v>44110</c:v>
                </c:pt>
                <c:pt idx="5">
                  <c:v>44111</c:v>
                </c:pt>
                <c:pt idx="6">
                  <c:v>44112</c:v>
                </c:pt>
                <c:pt idx="7">
                  <c:v>44113</c:v>
                </c:pt>
                <c:pt idx="8">
                  <c:v>44116</c:v>
                </c:pt>
                <c:pt idx="9">
                  <c:v>44117</c:v>
                </c:pt>
                <c:pt idx="10">
                  <c:v>44118</c:v>
                </c:pt>
                <c:pt idx="11">
                  <c:v>44119</c:v>
                </c:pt>
                <c:pt idx="12">
                  <c:v>44120</c:v>
                </c:pt>
                <c:pt idx="13">
                  <c:v>44123</c:v>
                </c:pt>
                <c:pt idx="14">
                  <c:v>44124</c:v>
                </c:pt>
                <c:pt idx="15">
                  <c:v>44125</c:v>
                </c:pt>
                <c:pt idx="16">
                  <c:v>44126</c:v>
                </c:pt>
                <c:pt idx="17">
                  <c:v>44127</c:v>
                </c:pt>
                <c:pt idx="18">
                  <c:v>44130</c:v>
                </c:pt>
                <c:pt idx="19">
                  <c:v>44131</c:v>
                </c:pt>
                <c:pt idx="20">
                  <c:v>44132</c:v>
                </c:pt>
                <c:pt idx="21">
                  <c:v>44133</c:v>
                </c:pt>
                <c:pt idx="22">
                  <c:v>44134</c:v>
                </c:pt>
                <c:pt idx="23">
                  <c:v>44137</c:v>
                </c:pt>
                <c:pt idx="24">
                  <c:v>44138</c:v>
                </c:pt>
                <c:pt idx="25">
                  <c:v>44139</c:v>
                </c:pt>
                <c:pt idx="26">
                  <c:v>44140</c:v>
                </c:pt>
                <c:pt idx="27">
                  <c:v>44141</c:v>
                </c:pt>
                <c:pt idx="28">
                  <c:v>44144</c:v>
                </c:pt>
                <c:pt idx="29">
                  <c:v>44145</c:v>
                </c:pt>
                <c:pt idx="30">
                  <c:v>44146</c:v>
                </c:pt>
                <c:pt idx="31">
                  <c:v>44147</c:v>
                </c:pt>
                <c:pt idx="32">
                  <c:v>44148</c:v>
                </c:pt>
                <c:pt idx="33">
                  <c:v>44151</c:v>
                </c:pt>
                <c:pt idx="34">
                  <c:v>44152</c:v>
                </c:pt>
                <c:pt idx="35">
                  <c:v>44153</c:v>
                </c:pt>
                <c:pt idx="36">
                  <c:v>44154</c:v>
                </c:pt>
                <c:pt idx="37">
                  <c:v>44155</c:v>
                </c:pt>
                <c:pt idx="38">
                  <c:v>44158</c:v>
                </c:pt>
                <c:pt idx="39">
                  <c:v>44159</c:v>
                </c:pt>
                <c:pt idx="40">
                  <c:v>44160</c:v>
                </c:pt>
                <c:pt idx="41">
                  <c:v>44161</c:v>
                </c:pt>
                <c:pt idx="42">
                  <c:v>44162</c:v>
                </c:pt>
                <c:pt idx="43">
                  <c:v>44165</c:v>
                </c:pt>
                <c:pt idx="44">
                  <c:v>44166</c:v>
                </c:pt>
                <c:pt idx="45">
                  <c:v>44167</c:v>
                </c:pt>
                <c:pt idx="46">
                  <c:v>44168</c:v>
                </c:pt>
                <c:pt idx="47">
                  <c:v>44169</c:v>
                </c:pt>
                <c:pt idx="48">
                  <c:v>44172</c:v>
                </c:pt>
                <c:pt idx="49">
                  <c:v>44173</c:v>
                </c:pt>
                <c:pt idx="50">
                  <c:v>44174</c:v>
                </c:pt>
                <c:pt idx="51">
                  <c:v>44175</c:v>
                </c:pt>
                <c:pt idx="52">
                  <c:v>44176</c:v>
                </c:pt>
                <c:pt idx="53">
                  <c:v>44179</c:v>
                </c:pt>
                <c:pt idx="54">
                  <c:v>44180</c:v>
                </c:pt>
                <c:pt idx="55">
                  <c:v>44181</c:v>
                </c:pt>
                <c:pt idx="56">
                  <c:v>44182</c:v>
                </c:pt>
                <c:pt idx="57">
                  <c:v>44183</c:v>
                </c:pt>
                <c:pt idx="58">
                  <c:v>44186</c:v>
                </c:pt>
                <c:pt idx="59">
                  <c:v>44187</c:v>
                </c:pt>
                <c:pt idx="60">
                  <c:v>44188</c:v>
                </c:pt>
                <c:pt idx="61">
                  <c:v>44189</c:v>
                </c:pt>
                <c:pt idx="62">
                  <c:v>44190</c:v>
                </c:pt>
                <c:pt idx="63">
                  <c:v>44193</c:v>
                </c:pt>
                <c:pt idx="64">
                  <c:v>44194</c:v>
                </c:pt>
                <c:pt idx="65">
                  <c:v>44195</c:v>
                </c:pt>
                <c:pt idx="66">
                  <c:v>44196</c:v>
                </c:pt>
                <c:pt idx="67">
                  <c:v>44197</c:v>
                </c:pt>
                <c:pt idx="68">
                  <c:v>44200</c:v>
                </c:pt>
                <c:pt idx="69">
                  <c:v>44201</c:v>
                </c:pt>
                <c:pt idx="70">
                  <c:v>44202</c:v>
                </c:pt>
                <c:pt idx="71">
                  <c:v>44203</c:v>
                </c:pt>
                <c:pt idx="72">
                  <c:v>44204</c:v>
                </c:pt>
                <c:pt idx="73">
                  <c:v>44207</c:v>
                </c:pt>
                <c:pt idx="74">
                  <c:v>44208</c:v>
                </c:pt>
                <c:pt idx="75">
                  <c:v>44209</c:v>
                </c:pt>
                <c:pt idx="76">
                  <c:v>44210</c:v>
                </c:pt>
                <c:pt idx="77">
                  <c:v>44211</c:v>
                </c:pt>
                <c:pt idx="78">
                  <c:v>44214</c:v>
                </c:pt>
                <c:pt idx="79">
                  <c:v>44215</c:v>
                </c:pt>
                <c:pt idx="80">
                  <c:v>44216</c:v>
                </c:pt>
                <c:pt idx="81">
                  <c:v>44217</c:v>
                </c:pt>
                <c:pt idx="82">
                  <c:v>44218</c:v>
                </c:pt>
                <c:pt idx="83">
                  <c:v>44221</c:v>
                </c:pt>
                <c:pt idx="84">
                  <c:v>44222</c:v>
                </c:pt>
                <c:pt idx="85">
                  <c:v>44223</c:v>
                </c:pt>
                <c:pt idx="86">
                  <c:v>44224</c:v>
                </c:pt>
                <c:pt idx="87">
                  <c:v>44225</c:v>
                </c:pt>
                <c:pt idx="88">
                  <c:v>44228</c:v>
                </c:pt>
                <c:pt idx="89">
                  <c:v>44229</c:v>
                </c:pt>
                <c:pt idx="90">
                  <c:v>44230</c:v>
                </c:pt>
                <c:pt idx="91">
                  <c:v>44231</c:v>
                </c:pt>
                <c:pt idx="92">
                  <c:v>44232</c:v>
                </c:pt>
                <c:pt idx="93">
                  <c:v>44235</c:v>
                </c:pt>
                <c:pt idx="94">
                  <c:v>44236</c:v>
                </c:pt>
                <c:pt idx="95">
                  <c:v>44237</c:v>
                </c:pt>
                <c:pt idx="96">
                  <c:v>44238</c:v>
                </c:pt>
                <c:pt idx="97">
                  <c:v>44239</c:v>
                </c:pt>
                <c:pt idx="98">
                  <c:v>44242</c:v>
                </c:pt>
                <c:pt idx="99">
                  <c:v>44243</c:v>
                </c:pt>
                <c:pt idx="100">
                  <c:v>44244</c:v>
                </c:pt>
                <c:pt idx="101">
                  <c:v>44245</c:v>
                </c:pt>
                <c:pt idx="102">
                  <c:v>44246</c:v>
                </c:pt>
                <c:pt idx="103">
                  <c:v>44247</c:v>
                </c:pt>
                <c:pt idx="104">
                  <c:v>44249</c:v>
                </c:pt>
                <c:pt idx="105">
                  <c:v>44250</c:v>
                </c:pt>
                <c:pt idx="106">
                  <c:v>44251</c:v>
                </c:pt>
                <c:pt idx="107">
                  <c:v>44252</c:v>
                </c:pt>
                <c:pt idx="108">
                  <c:v>44253</c:v>
                </c:pt>
                <c:pt idx="109">
                  <c:v>44256</c:v>
                </c:pt>
                <c:pt idx="110">
                  <c:v>44257</c:v>
                </c:pt>
                <c:pt idx="111">
                  <c:v>44258</c:v>
                </c:pt>
                <c:pt idx="112">
                  <c:v>44259</c:v>
                </c:pt>
                <c:pt idx="113">
                  <c:v>44260</c:v>
                </c:pt>
                <c:pt idx="114">
                  <c:v>44263</c:v>
                </c:pt>
                <c:pt idx="115">
                  <c:v>44264</c:v>
                </c:pt>
                <c:pt idx="116">
                  <c:v>44265</c:v>
                </c:pt>
                <c:pt idx="117">
                  <c:v>44266</c:v>
                </c:pt>
                <c:pt idx="118">
                  <c:v>44267</c:v>
                </c:pt>
                <c:pt idx="119">
                  <c:v>44270</c:v>
                </c:pt>
                <c:pt idx="120">
                  <c:v>44271</c:v>
                </c:pt>
                <c:pt idx="121">
                  <c:v>44272</c:v>
                </c:pt>
                <c:pt idx="122">
                  <c:v>44273</c:v>
                </c:pt>
                <c:pt idx="123">
                  <c:v>44274</c:v>
                </c:pt>
                <c:pt idx="124">
                  <c:v>44277</c:v>
                </c:pt>
                <c:pt idx="125">
                  <c:v>44278</c:v>
                </c:pt>
                <c:pt idx="126">
                  <c:v>44279</c:v>
                </c:pt>
                <c:pt idx="127">
                  <c:v>44280</c:v>
                </c:pt>
                <c:pt idx="128">
                  <c:v>44281</c:v>
                </c:pt>
                <c:pt idx="129">
                  <c:v>44284</c:v>
                </c:pt>
                <c:pt idx="130">
                  <c:v>44285</c:v>
                </c:pt>
                <c:pt idx="131">
                  <c:v>44286</c:v>
                </c:pt>
                <c:pt idx="132">
                  <c:v>44287</c:v>
                </c:pt>
                <c:pt idx="133">
                  <c:v>44288</c:v>
                </c:pt>
                <c:pt idx="134">
                  <c:v>44291</c:v>
                </c:pt>
                <c:pt idx="135">
                  <c:v>44292</c:v>
                </c:pt>
                <c:pt idx="136">
                  <c:v>44293</c:v>
                </c:pt>
                <c:pt idx="137">
                  <c:v>44294</c:v>
                </c:pt>
                <c:pt idx="138">
                  <c:v>44295</c:v>
                </c:pt>
                <c:pt idx="139">
                  <c:v>44298</c:v>
                </c:pt>
                <c:pt idx="140">
                  <c:v>44299</c:v>
                </c:pt>
                <c:pt idx="141">
                  <c:v>44300</c:v>
                </c:pt>
                <c:pt idx="142">
                  <c:v>44301</c:v>
                </c:pt>
                <c:pt idx="143">
                  <c:v>44302</c:v>
                </c:pt>
                <c:pt idx="144">
                  <c:v>44305</c:v>
                </c:pt>
                <c:pt idx="145">
                  <c:v>44306</c:v>
                </c:pt>
                <c:pt idx="146">
                  <c:v>44307</c:v>
                </c:pt>
                <c:pt idx="147">
                  <c:v>44308</c:v>
                </c:pt>
                <c:pt idx="148">
                  <c:v>44309</c:v>
                </c:pt>
                <c:pt idx="149">
                  <c:v>44311</c:v>
                </c:pt>
                <c:pt idx="150">
                  <c:v>44312</c:v>
                </c:pt>
                <c:pt idx="151">
                  <c:v>44313</c:v>
                </c:pt>
                <c:pt idx="152">
                  <c:v>44314</c:v>
                </c:pt>
                <c:pt idx="153">
                  <c:v>44315</c:v>
                </c:pt>
                <c:pt idx="154">
                  <c:v>44316</c:v>
                </c:pt>
                <c:pt idx="155">
                  <c:v>44319</c:v>
                </c:pt>
                <c:pt idx="156">
                  <c:v>44320</c:v>
                </c:pt>
                <c:pt idx="157">
                  <c:v>44321</c:v>
                </c:pt>
                <c:pt idx="158">
                  <c:v>44322</c:v>
                </c:pt>
                <c:pt idx="159">
                  <c:v>44323</c:v>
                </c:pt>
                <c:pt idx="160">
                  <c:v>44326</c:v>
                </c:pt>
                <c:pt idx="161">
                  <c:v>44327</c:v>
                </c:pt>
                <c:pt idx="162">
                  <c:v>44328</c:v>
                </c:pt>
                <c:pt idx="163">
                  <c:v>44329</c:v>
                </c:pt>
                <c:pt idx="164">
                  <c:v>44330</c:v>
                </c:pt>
                <c:pt idx="165">
                  <c:v>44333</c:v>
                </c:pt>
                <c:pt idx="166">
                  <c:v>44334</c:v>
                </c:pt>
                <c:pt idx="167">
                  <c:v>44335</c:v>
                </c:pt>
                <c:pt idx="168">
                  <c:v>44336</c:v>
                </c:pt>
                <c:pt idx="169">
                  <c:v>44337</c:v>
                </c:pt>
                <c:pt idx="170">
                  <c:v>44340</c:v>
                </c:pt>
                <c:pt idx="171">
                  <c:v>44341</c:v>
                </c:pt>
                <c:pt idx="172">
                  <c:v>44342</c:v>
                </c:pt>
                <c:pt idx="173">
                  <c:v>44343</c:v>
                </c:pt>
                <c:pt idx="174">
                  <c:v>44344</c:v>
                </c:pt>
                <c:pt idx="175">
                  <c:v>44347</c:v>
                </c:pt>
                <c:pt idx="176">
                  <c:v>44348</c:v>
                </c:pt>
                <c:pt idx="177">
                  <c:v>44349</c:v>
                </c:pt>
                <c:pt idx="178">
                  <c:v>44350</c:v>
                </c:pt>
                <c:pt idx="179">
                  <c:v>44351</c:v>
                </c:pt>
                <c:pt idx="180">
                  <c:v>44354</c:v>
                </c:pt>
                <c:pt idx="181">
                  <c:v>44355</c:v>
                </c:pt>
                <c:pt idx="182">
                  <c:v>44356</c:v>
                </c:pt>
                <c:pt idx="183">
                  <c:v>44357</c:v>
                </c:pt>
                <c:pt idx="184">
                  <c:v>44358</c:v>
                </c:pt>
                <c:pt idx="185">
                  <c:v>44361</c:v>
                </c:pt>
                <c:pt idx="186">
                  <c:v>44362</c:v>
                </c:pt>
                <c:pt idx="187">
                  <c:v>44363</c:v>
                </c:pt>
                <c:pt idx="188">
                  <c:v>44364</c:v>
                </c:pt>
                <c:pt idx="189">
                  <c:v>44365</c:v>
                </c:pt>
                <c:pt idx="190">
                  <c:v>44368</c:v>
                </c:pt>
                <c:pt idx="191">
                  <c:v>44369</c:v>
                </c:pt>
                <c:pt idx="192">
                  <c:v>44370</c:v>
                </c:pt>
                <c:pt idx="193">
                  <c:v>44371</c:v>
                </c:pt>
                <c:pt idx="194">
                  <c:v>44372</c:v>
                </c:pt>
                <c:pt idx="195">
                  <c:v>44375</c:v>
                </c:pt>
                <c:pt idx="196">
                  <c:v>44376</c:v>
                </c:pt>
                <c:pt idx="197">
                  <c:v>44377</c:v>
                </c:pt>
                <c:pt idx="198">
                  <c:v>44378</c:v>
                </c:pt>
                <c:pt idx="199">
                  <c:v>44379</c:v>
                </c:pt>
                <c:pt idx="200">
                  <c:v>44382</c:v>
                </c:pt>
                <c:pt idx="201">
                  <c:v>44383</c:v>
                </c:pt>
                <c:pt idx="202">
                  <c:v>44384</c:v>
                </c:pt>
                <c:pt idx="203">
                  <c:v>44385</c:v>
                </c:pt>
                <c:pt idx="204">
                  <c:v>44386</c:v>
                </c:pt>
                <c:pt idx="205">
                  <c:v>44389</c:v>
                </c:pt>
                <c:pt idx="206">
                  <c:v>44390</c:v>
                </c:pt>
                <c:pt idx="207">
                  <c:v>44391</c:v>
                </c:pt>
                <c:pt idx="208">
                  <c:v>44392</c:v>
                </c:pt>
                <c:pt idx="209">
                  <c:v>44393</c:v>
                </c:pt>
                <c:pt idx="210">
                  <c:v>44396</c:v>
                </c:pt>
                <c:pt idx="211">
                  <c:v>44397</c:v>
                </c:pt>
                <c:pt idx="212">
                  <c:v>44398</c:v>
                </c:pt>
                <c:pt idx="213">
                  <c:v>44399</c:v>
                </c:pt>
                <c:pt idx="214">
                  <c:v>44400</c:v>
                </c:pt>
                <c:pt idx="215">
                  <c:v>44403</c:v>
                </c:pt>
                <c:pt idx="216">
                  <c:v>44404</c:v>
                </c:pt>
                <c:pt idx="217">
                  <c:v>44405</c:v>
                </c:pt>
                <c:pt idx="218">
                  <c:v>44406</c:v>
                </c:pt>
                <c:pt idx="219">
                  <c:v>44407</c:v>
                </c:pt>
                <c:pt idx="220">
                  <c:v>44410</c:v>
                </c:pt>
                <c:pt idx="221">
                  <c:v>44411</c:v>
                </c:pt>
                <c:pt idx="222">
                  <c:v>44412</c:v>
                </c:pt>
                <c:pt idx="223">
                  <c:v>44413</c:v>
                </c:pt>
                <c:pt idx="224">
                  <c:v>44414</c:v>
                </c:pt>
                <c:pt idx="225">
                  <c:v>44417</c:v>
                </c:pt>
                <c:pt idx="226">
                  <c:v>44418</c:v>
                </c:pt>
                <c:pt idx="227">
                  <c:v>44419</c:v>
                </c:pt>
                <c:pt idx="228">
                  <c:v>44420</c:v>
                </c:pt>
                <c:pt idx="229">
                  <c:v>44421</c:v>
                </c:pt>
                <c:pt idx="230">
                  <c:v>44424</c:v>
                </c:pt>
                <c:pt idx="231">
                  <c:v>44425</c:v>
                </c:pt>
                <c:pt idx="232">
                  <c:v>44426</c:v>
                </c:pt>
                <c:pt idx="233">
                  <c:v>44427</c:v>
                </c:pt>
                <c:pt idx="234">
                  <c:v>44428</c:v>
                </c:pt>
                <c:pt idx="235">
                  <c:v>44431</c:v>
                </c:pt>
                <c:pt idx="236">
                  <c:v>44432</c:v>
                </c:pt>
                <c:pt idx="237">
                  <c:v>44433</c:v>
                </c:pt>
                <c:pt idx="238">
                  <c:v>44434</c:v>
                </c:pt>
                <c:pt idx="239">
                  <c:v>44435</c:v>
                </c:pt>
                <c:pt idx="240">
                  <c:v>44438</c:v>
                </c:pt>
                <c:pt idx="241">
                  <c:v>44439</c:v>
                </c:pt>
                <c:pt idx="242">
                  <c:v>44440</c:v>
                </c:pt>
                <c:pt idx="243">
                  <c:v>44441</c:v>
                </c:pt>
                <c:pt idx="244">
                  <c:v>44442</c:v>
                </c:pt>
                <c:pt idx="245">
                  <c:v>44445</c:v>
                </c:pt>
                <c:pt idx="246">
                  <c:v>44446</c:v>
                </c:pt>
                <c:pt idx="247">
                  <c:v>44447</c:v>
                </c:pt>
                <c:pt idx="248">
                  <c:v>44448</c:v>
                </c:pt>
                <c:pt idx="249">
                  <c:v>44449</c:v>
                </c:pt>
                <c:pt idx="250">
                  <c:v>44452</c:v>
                </c:pt>
                <c:pt idx="251">
                  <c:v>44453</c:v>
                </c:pt>
                <c:pt idx="252">
                  <c:v>44454</c:v>
                </c:pt>
                <c:pt idx="253">
                  <c:v>44455</c:v>
                </c:pt>
                <c:pt idx="254">
                  <c:v>44456</c:v>
                </c:pt>
                <c:pt idx="255">
                  <c:v>44459</c:v>
                </c:pt>
                <c:pt idx="256">
                  <c:v>44460</c:v>
                </c:pt>
                <c:pt idx="257">
                  <c:v>44461</c:v>
                </c:pt>
                <c:pt idx="258">
                  <c:v>44462</c:v>
                </c:pt>
                <c:pt idx="259">
                  <c:v>44463</c:v>
                </c:pt>
                <c:pt idx="260">
                  <c:v>44466</c:v>
                </c:pt>
                <c:pt idx="261">
                  <c:v>44467</c:v>
                </c:pt>
                <c:pt idx="262">
                  <c:v>44468</c:v>
                </c:pt>
                <c:pt idx="263">
                  <c:v>44469</c:v>
                </c:pt>
                <c:pt idx="264">
                  <c:v>44470</c:v>
                </c:pt>
                <c:pt idx="265">
                  <c:v>44473</c:v>
                </c:pt>
                <c:pt idx="266">
                  <c:v>44474</c:v>
                </c:pt>
                <c:pt idx="267">
                  <c:v>44475</c:v>
                </c:pt>
                <c:pt idx="268">
                  <c:v>44476</c:v>
                </c:pt>
                <c:pt idx="269">
                  <c:v>44477</c:v>
                </c:pt>
                <c:pt idx="270">
                  <c:v>44480</c:v>
                </c:pt>
                <c:pt idx="271">
                  <c:v>44481</c:v>
                </c:pt>
                <c:pt idx="272">
                  <c:v>44482</c:v>
                </c:pt>
                <c:pt idx="273">
                  <c:v>44483</c:v>
                </c:pt>
                <c:pt idx="274">
                  <c:v>44484</c:v>
                </c:pt>
                <c:pt idx="275">
                  <c:v>44487</c:v>
                </c:pt>
                <c:pt idx="276">
                  <c:v>44488</c:v>
                </c:pt>
                <c:pt idx="277">
                  <c:v>44489</c:v>
                </c:pt>
                <c:pt idx="278">
                  <c:v>44490</c:v>
                </c:pt>
                <c:pt idx="279">
                  <c:v>44491</c:v>
                </c:pt>
                <c:pt idx="280">
                  <c:v>44494</c:v>
                </c:pt>
                <c:pt idx="281">
                  <c:v>44495</c:v>
                </c:pt>
                <c:pt idx="282">
                  <c:v>44496</c:v>
                </c:pt>
                <c:pt idx="283">
                  <c:v>44497</c:v>
                </c:pt>
                <c:pt idx="284">
                  <c:v>44498</c:v>
                </c:pt>
                <c:pt idx="285">
                  <c:v>44501</c:v>
                </c:pt>
              </c:numCache>
            </c:numRef>
          </c:cat>
          <c:val>
            <c:numRef>
              <c:f>'Currency Chart'!$R$6:$R$291</c:f>
              <c:numCache>
                <c:formatCode>0</c:formatCode>
                <c:ptCount val="286"/>
                <c:pt idx="0" formatCode="General">
                  <c:v>100</c:v>
                </c:pt>
                <c:pt idx="1">
                  <c:v>99.501359434475262</c:v>
                </c:pt>
                <c:pt idx="2">
                  <c:v>99.632952691680259</c:v>
                </c:pt>
                <c:pt idx="3">
                  <c:v>99.388254486133761</c:v>
                </c:pt>
                <c:pt idx="4">
                  <c:v>99.828711256117444</c:v>
                </c:pt>
                <c:pt idx="5">
                  <c:v>99.687330070690592</c:v>
                </c:pt>
                <c:pt idx="6">
                  <c:v>99.632952691680273</c:v>
                </c:pt>
                <c:pt idx="7">
                  <c:v>99.252311038607942</c:v>
                </c:pt>
                <c:pt idx="8">
                  <c:v>99.732191408374121</c:v>
                </c:pt>
                <c:pt idx="9">
                  <c:v>99.782490483958696</c:v>
                </c:pt>
                <c:pt idx="10">
                  <c:v>99.56498096791735</c:v>
                </c:pt>
                <c:pt idx="11">
                  <c:v>99.809679173463849</c:v>
                </c:pt>
                <c:pt idx="12">
                  <c:v>99.839586731919525</c:v>
                </c:pt>
                <c:pt idx="13">
                  <c:v>99.714518760195773</c:v>
                </c:pt>
                <c:pt idx="14">
                  <c:v>99.836867862969015</c:v>
                </c:pt>
                <c:pt idx="15">
                  <c:v>100.04078303425776</c:v>
                </c:pt>
                <c:pt idx="16">
                  <c:v>100.13594344752583</c:v>
                </c:pt>
                <c:pt idx="17">
                  <c:v>100.36568787384448</c:v>
                </c:pt>
                <c:pt idx="18">
                  <c:v>100.54377379010332</c:v>
                </c:pt>
                <c:pt idx="19">
                  <c:v>100.08428493746602</c:v>
                </c:pt>
                <c:pt idx="20">
                  <c:v>100.84284937466016</c:v>
                </c:pt>
                <c:pt idx="21">
                  <c:v>101.10114192495922</c:v>
                </c:pt>
                <c:pt idx="22">
                  <c:v>101.35127786840674</c:v>
                </c:pt>
                <c:pt idx="23">
                  <c:v>101.2778684067428</c:v>
                </c:pt>
                <c:pt idx="24">
                  <c:v>101.42740619902122</c:v>
                </c:pt>
                <c:pt idx="25">
                  <c:v>101.09434475258293</c:v>
                </c:pt>
                <c:pt idx="26">
                  <c:v>100.47580206634041</c:v>
                </c:pt>
                <c:pt idx="27">
                  <c:v>100.56280587275695</c:v>
                </c:pt>
                <c:pt idx="28">
                  <c:v>100.63893420337142</c:v>
                </c:pt>
                <c:pt idx="29">
                  <c:v>100.97879282218598</c:v>
                </c:pt>
                <c:pt idx="30">
                  <c:v>101.19494290375204</c:v>
                </c:pt>
                <c:pt idx="31">
                  <c:v>101.52256661228931</c:v>
                </c:pt>
                <c:pt idx="32">
                  <c:v>101.36133768352367</c:v>
                </c:pt>
                <c:pt idx="33">
                  <c:v>101.10114192495924</c:v>
                </c:pt>
                <c:pt idx="34">
                  <c:v>101.23708537248505</c:v>
                </c:pt>
                <c:pt idx="35">
                  <c:v>100.74768896139207</c:v>
                </c:pt>
                <c:pt idx="36">
                  <c:v>100.73409461663948</c:v>
                </c:pt>
                <c:pt idx="37">
                  <c:v>100.74768896139207</c:v>
                </c:pt>
                <c:pt idx="38">
                  <c:v>100.93800978792822</c:v>
                </c:pt>
                <c:pt idx="39">
                  <c:v>100.70418705818381</c:v>
                </c:pt>
                <c:pt idx="40">
                  <c:v>100.28344208809136</c:v>
                </c:pt>
                <c:pt idx="41">
                  <c:v>100.36976617727025</c:v>
                </c:pt>
                <c:pt idx="42">
                  <c:v>100.50706905927134</c:v>
                </c:pt>
                <c:pt idx="43">
                  <c:v>100.58455682436104</c:v>
                </c:pt>
                <c:pt idx="44">
                  <c:v>99.89342033713973</c:v>
                </c:pt>
                <c:pt idx="45">
                  <c:v>100.27188689505165</c:v>
                </c:pt>
                <c:pt idx="46">
                  <c:v>100.40783034257748</c:v>
                </c:pt>
                <c:pt idx="47">
                  <c:v>100.26835236541598</c:v>
                </c:pt>
                <c:pt idx="48">
                  <c:v>100.27229472539422</c:v>
                </c:pt>
                <c:pt idx="49">
                  <c:v>100.2175095160413</c:v>
                </c:pt>
                <c:pt idx="50">
                  <c:v>100.2175095160413</c:v>
                </c:pt>
                <c:pt idx="51">
                  <c:v>100.24469820554647</c:v>
                </c:pt>
                <c:pt idx="52">
                  <c:v>100.23926046764545</c:v>
                </c:pt>
                <c:pt idx="53">
                  <c:v>100.09516041326806</c:v>
                </c:pt>
                <c:pt idx="54">
                  <c:v>99.994562262098938</c:v>
                </c:pt>
                <c:pt idx="55">
                  <c:v>100.09516041326806</c:v>
                </c:pt>
                <c:pt idx="56">
                  <c:v>99.945622620989653</c:v>
                </c:pt>
                <c:pt idx="57">
                  <c:v>100.01359434475256</c:v>
                </c:pt>
                <c:pt idx="58">
                  <c:v>100.63349646547036</c:v>
                </c:pt>
                <c:pt idx="59">
                  <c:v>100.39559543230017</c:v>
                </c:pt>
                <c:pt idx="60">
                  <c:v>100.28548123980424</c:v>
                </c:pt>
                <c:pt idx="61">
                  <c:v>99.972811310494848</c:v>
                </c:pt>
                <c:pt idx="62">
                  <c:v>99.994562262098967</c:v>
                </c:pt>
                <c:pt idx="63">
                  <c:v>99.980967917346405</c:v>
                </c:pt>
                <c:pt idx="64">
                  <c:v>99.768896139206106</c:v>
                </c:pt>
                <c:pt idx="65">
                  <c:v>99.410957041870603</c:v>
                </c:pt>
                <c:pt idx="66">
                  <c:v>99.28792822185973</c:v>
                </c:pt>
                <c:pt idx="67">
                  <c:v>99.401848830886394</c:v>
                </c:pt>
                <c:pt idx="68">
                  <c:v>99.33387710712347</c:v>
                </c:pt>
                <c:pt idx="69">
                  <c:v>99.401848830886394</c:v>
                </c:pt>
                <c:pt idx="70">
                  <c:v>99.399401848830919</c:v>
                </c:pt>
                <c:pt idx="71">
                  <c:v>99.809679173463877</c:v>
                </c:pt>
                <c:pt idx="72">
                  <c:v>99.687330070690621</c:v>
                </c:pt>
                <c:pt idx="73">
                  <c:v>99.857939097335546</c:v>
                </c:pt>
                <c:pt idx="74">
                  <c:v>99.537792278412212</c:v>
                </c:pt>
                <c:pt idx="75">
                  <c:v>99.456226209896712</c:v>
                </c:pt>
                <c:pt idx="76">
                  <c:v>99.333877107123456</c:v>
                </c:pt>
                <c:pt idx="77">
                  <c:v>99.401848830886379</c:v>
                </c:pt>
                <c:pt idx="78">
                  <c:v>99.484774333877127</c:v>
                </c:pt>
                <c:pt idx="79">
                  <c:v>99.497009244154455</c:v>
                </c:pt>
                <c:pt idx="80">
                  <c:v>99.116367591082138</c:v>
                </c:pt>
                <c:pt idx="81">
                  <c:v>99.184339314845047</c:v>
                </c:pt>
                <c:pt idx="82">
                  <c:v>99.211528004350242</c:v>
                </c:pt>
                <c:pt idx="83">
                  <c:v>99.184339314845062</c:v>
                </c:pt>
                <c:pt idx="84">
                  <c:v>99.116367591082152</c:v>
                </c:pt>
                <c:pt idx="85">
                  <c:v>99.320282762370908</c:v>
                </c:pt>
                <c:pt idx="86">
                  <c:v>99.144915715062581</c:v>
                </c:pt>
                <c:pt idx="87">
                  <c:v>99.071506253398624</c:v>
                </c:pt>
                <c:pt idx="88">
                  <c:v>99.388254486133818</c:v>
                </c:pt>
                <c:pt idx="89">
                  <c:v>99.101549755301846</c:v>
                </c:pt>
                <c:pt idx="90">
                  <c:v>98.980424143556334</c:v>
                </c:pt>
                <c:pt idx="91">
                  <c:v>99.1707449700925</c:v>
                </c:pt>
                <c:pt idx="92">
                  <c:v>98.980424143556334</c:v>
                </c:pt>
                <c:pt idx="93">
                  <c:v>99.143556280587333</c:v>
                </c:pt>
                <c:pt idx="94">
                  <c:v>99.0402392604677</c:v>
                </c:pt>
                <c:pt idx="95">
                  <c:v>98.953235454051182</c:v>
                </c:pt>
                <c:pt idx="96">
                  <c:v>98.830886351277925</c:v>
                </c:pt>
                <c:pt idx="97">
                  <c:v>98.667754214246926</c:v>
                </c:pt>
                <c:pt idx="98">
                  <c:v>98.719412724306736</c:v>
                </c:pt>
                <c:pt idx="99">
                  <c:v>99.048395867319257</c:v>
                </c:pt>
                <c:pt idx="100">
                  <c:v>98.987221315932629</c:v>
                </c:pt>
                <c:pt idx="101">
                  <c:v>98.667754214246926</c:v>
                </c:pt>
                <c:pt idx="102">
                  <c:v>98.626971179989184</c:v>
                </c:pt>
                <c:pt idx="103">
                  <c:v>98.626971179989184</c:v>
                </c:pt>
                <c:pt idx="104">
                  <c:v>98.477433387710775</c:v>
                </c:pt>
                <c:pt idx="105">
                  <c:v>98.395867319195276</c:v>
                </c:pt>
                <c:pt idx="106">
                  <c:v>98.395867319195276</c:v>
                </c:pt>
                <c:pt idx="107">
                  <c:v>98.879825992387239</c:v>
                </c:pt>
                <c:pt idx="108">
                  <c:v>100.48939641109307</c:v>
                </c:pt>
                <c:pt idx="109">
                  <c:v>99.77705274605772</c:v>
                </c:pt>
                <c:pt idx="110">
                  <c:v>99.578575312670011</c:v>
                </c:pt>
                <c:pt idx="111">
                  <c:v>99.143556280587362</c:v>
                </c:pt>
                <c:pt idx="112">
                  <c:v>98.875747688961468</c:v>
                </c:pt>
                <c:pt idx="113">
                  <c:v>99.483414899401922</c:v>
                </c:pt>
                <c:pt idx="114">
                  <c:v>99.714518760195816</c:v>
                </c:pt>
                <c:pt idx="115">
                  <c:v>98.920609026644982</c:v>
                </c:pt>
                <c:pt idx="116">
                  <c:v>98.858075040783092</c:v>
                </c:pt>
                <c:pt idx="117">
                  <c:v>98.817292006525349</c:v>
                </c:pt>
                <c:pt idx="118">
                  <c:v>98.803697661772787</c:v>
                </c:pt>
                <c:pt idx="119">
                  <c:v>98.599782490484031</c:v>
                </c:pt>
                <c:pt idx="120">
                  <c:v>98.572593800978879</c:v>
                </c:pt>
                <c:pt idx="121">
                  <c:v>98.636487221316017</c:v>
                </c:pt>
                <c:pt idx="122">
                  <c:v>98.817292006525363</c:v>
                </c:pt>
                <c:pt idx="123">
                  <c:v>98.424007612833151</c:v>
                </c:pt>
                <c:pt idx="124">
                  <c:v>98.382272974442728</c:v>
                </c:pt>
                <c:pt idx="125">
                  <c:v>98.626971179989212</c:v>
                </c:pt>
                <c:pt idx="126">
                  <c:v>98.681348558999559</c:v>
                </c:pt>
                <c:pt idx="127">
                  <c:v>98.776508972267621</c:v>
                </c:pt>
                <c:pt idx="128">
                  <c:v>98.708537248504712</c:v>
                </c:pt>
                <c:pt idx="129">
                  <c:v>98.896139206090368</c:v>
                </c:pt>
                <c:pt idx="130">
                  <c:v>99.8368678629691</c:v>
                </c:pt>
                <c:pt idx="131">
                  <c:v>99.424959216965846</c:v>
                </c:pt>
                <c:pt idx="132">
                  <c:v>99.677814029363873</c:v>
                </c:pt>
                <c:pt idx="133">
                  <c:v>99.741707449701025</c:v>
                </c:pt>
                <c:pt idx="134">
                  <c:v>99.638390429581378</c:v>
                </c:pt>
                <c:pt idx="135">
                  <c:v>99.899401848830976</c:v>
                </c:pt>
                <c:pt idx="136">
                  <c:v>101.07667210440465</c:v>
                </c:pt>
                <c:pt idx="137">
                  <c:v>101.37574768896148</c:v>
                </c:pt>
                <c:pt idx="138">
                  <c:v>101.57966286025021</c:v>
                </c:pt>
                <c:pt idx="139">
                  <c:v>101.93039695486686</c:v>
                </c:pt>
                <c:pt idx="140">
                  <c:v>102.31103860793918</c:v>
                </c:pt>
                <c:pt idx="141">
                  <c:v>102.02555736813493</c:v>
                </c:pt>
                <c:pt idx="142">
                  <c:v>101.57694399129969</c:v>
                </c:pt>
                <c:pt idx="143">
                  <c:v>101.31865144100061</c:v>
                </c:pt>
                <c:pt idx="144">
                  <c:v>101.75367047308326</c:v>
                </c:pt>
                <c:pt idx="145">
                  <c:v>102.47417074497015</c:v>
                </c:pt>
                <c:pt idx="146">
                  <c:v>102.52990755845576</c:v>
                </c:pt>
                <c:pt idx="147">
                  <c:v>102.10712343665043</c:v>
                </c:pt>
                <c:pt idx="148">
                  <c:v>101.84883088635135</c:v>
                </c:pt>
                <c:pt idx="149">
                  <c:v>101.84883088635135</c:v>
                </c:pt>
                <c:pt idx="150">
                  <c:v>101.59053833605228</c:v>
                </c:pt>
                <c:pt idx="151">
                  <c:v>101.38662316476352</c:v>
                </c:pt>
                <c:pt idx="152">
                  <c:v>101.26291462751502</c:v>
                </c:pt>
                <c:pt idx="153">
                  <c:v>100.72050027188696</c:v>
                </c:pt>
                <c:pt idx="154">
                  <c:v>100.66612289287663</c:v>
                </c:pt>
                <c:pt idx="155">
                  <c:v>100.33985861881465</c:v>
                </c:pt>
                <c:pt idx="156">
                  <c:v>100.27188689505174</c:v>
                </c:pt>
                <c:pt idx="157">
                  <c:v>100.32626427406207</c:v>
                </c:pt>
                <c:pt idx="158">
                  <c:v>100.0543773790104</c:v>
                </c:pt>
                <c:pt idx="159">
                  <c:v>99.581294181620521</c:v>
                </c:pt>
                <c:pt idx="160">
                  <c:v>99.850462207721677</c:v>
                </c:pt>
                <c:pt idx="161">
                  <c:v>99.741707449701011</c:v>
                </c:pt>
                <c:pt idx="162">
                  <c:v>99.959216965742328</c:v>
                </c:pt>
                <c:pt idx="163">
                  <c:v>99.877650897226829</c:v>
                </c:pt>
                <c:pt idx="164">
                  <c:v>99.632952691680345</c:v>
                </c:pt>
                <c:pt idx="165">
                  <c:v>99.687330070690663</c:v>
                </c:pt>
                <c:pt idx="166">
                  <c:v>99.306688417618332</c:v>
                </c:pt>
                <c:pt idx="167">
                  <c:v>99.52419793365965</c:v>
                </c:pt>
                <c:pt idx="168">
                  <c:v>99.252311038608013</c:v>
                </c:pt>
                <c:pt idx="169">
                  <c:v>98.989940184883153</c:v>
                </c:pt>
                <c:pt idx="170">
                  <c:v>99.007612833061529</c:v>
                </c:pt>
                <c:pt idx="171">
                  <c:v>98.95323545405121</c:v>
                </c:pt>
                <c:pt idx="172">
                  <c:v>98.85807504078312</c:v>
                </c:pt>
                <c:pt idx="173">
                  <c:v>98.830886351277954</c:v>
                </c:pt>
                <c:pt idx="174">
                  <c:v>98.42305600870047</c:v>
                </c:pt>
                <c:pt idx="175">
                  <c:v>98.573953235454141</c:v>
                </c:pt>
                <c:pt idx="176">
                  <c:v>99.0483958673193</c:v>
                </c:pt>
                <c:pt idx="177">
                  <c:v>99.170744970092557</c:v>
                </c:pt>
                <c:pt idx="178">
                  <c:v>99.293094072865813</c:v>
                </c:pt>
                <c:pt idx="179">
                  <c:v>99.0483958673193</c:v>
                </c:pt>
                <c:pt idx="180">
                  <c:v>98.947797716150191</c:v>
                </c:pt>
                <c:pt idx="181">
                  <c:v>99.170744970092557</c:v>
                </c:pt>
                <c:pt idx="182">
                  <c:v>99.211528004350313</c:v>
                </c:pt>
                <c:pt idx="183">
                  <c:v>99.333877107123541</c:v>
                </c:pt>
                <c:pt idx="184">
                  <c:v>99.56498096791745</c:v>
                </c:pt>
                <c:pt idx="185">
                  <c:v>99.483414899401964</c:v>
                </c:pt>
                <c:pt idx="186">
                  <c:v>99.714518760195858</c:v>
                </c:pt>
                <c:pt idx="187">
                  <c:v>99.605764002175206</c:v>
                </c:pt>
                <c:pt idx="188">
                  <c:v>100.8183795541056</c:v>
                </c:pt>
                <c:pt idx="189">
                  <c:v>100.73409461663958</c:v>
                </c:pt>
                <c:pt idx="190">
                  <c:v>100.77487765089734</c:v>
                </c:pt>
                <c:pt idx="191">
                  <c:v>101.046764545949</c:v>
                </c:pt>
                <c:pt idx="192">
                  <c:v>100.78847199564993</c:v>
                </c:pt>
                <c:pt idx="193">
                  <c:v>100.84284937466026</c:v>
                </c:pt>
                <c:pt idx="194">
                  <c:v>100.88363240891798</c:v>
                </c:pt>
                <c:pt idx="195">
                  <c:v>100.96519847743347</c:v>
                </c:pt>
                <c:pt idx="196">
                  <c:v>100.99238716693866</c:v>
                </c:pt>
                <c:pt idx="197">
                  <c:v>101.08754758020672</c:v>
                </c:pt>
                <c:pt idx="198">
                  <c:v>101.35943447525838</c:v>
                </c:pt>
                <c:pt idx="199">
                  <c:v>101.29418162044598</c:v>
                </c:pt>
                <c:pt idx="200">
                  <c:v>100.98966829798813</c:v>
                </c:pt>
                <c:pt idx="201">
                  <c:v>101.38934203371406</c:v>
                </c:pt>
                <c:pt idx="202">
                  <c:v>101.6721044045678</c:v>
                </c:pt>
                <c:pt idx="203">
                  <c:v>101.5905383360523</c:v>
                </c:pt>
                <c:pt idx="204">
                  <c:v>101.25747688961401</c:v>
                </c:pt>
                <c:pt idx="205">
                  <c:v>101.31865144100064</c:v>
                </c:pt>
                <c:pt idx="206">
                  <c:v>101.40021750951614</c:v>
                </c:pt>
                <c:pt idx="207">
                  <c:v>101.22349102773255</c:v>
                </c:pt>
                <c:pt idx="208">
                  <c:v>101.33224578575322</c:v>
                </c:pt>
                <c:pt idx="209">
                  <c:v>101.42196846112024</c:v>
                </c:pt>
                <c:pt idx="210">
                  <c:v>101.75502990755854</c:v>
                </c:pt>
                <c:pt idx="211">
                  <c:v>101.31865144100063</c:v>
                </c:pt>
                <c:pt idx="212">
                  <c:v>101.25883632408926</c:v>
                </c:pt>
                <c:pt idx="213">
                  <c:v>101.20989668297996</c:v>
                </c:pt>
                <c:pt idx="214">
                  <c:v>101.17591082109848</c:v>
                </c:pt>
                <c:pt idx="215">
                  <c:v>101.04676454594895</c:v>
                </c:pt>
                <c:pt idx="216">
                  <c:v>101.27514953779236</c:v>
                </c:pt>
                <c:pt idx="217">
                  <c:v>101.26427406199028</c:v>
                </c:pt>
                <c:pt idx="218">
                  <c:v>100.93121261555201</c:v>
                </c:pt>
                <c:pt idx="219">
                  <c:v>101.05628058727578</c:v>
                </c:pt>
                <c:pt idx="220">
                  <c:v>101.07939097335516</c:v>
                </c:pt>
                <c:pt idx="221">
                  <c:v>100.93665035345303</c:v>
                </c:pt>
                <c:pt idx="222">
                  <c:v>100.80070690592721</c:v>
                </c:pt>
                <c:pt idx="223">
                  <c:v>100.73137574768903</c:v>
                </c:pt>
                <c:pt idx="224">
                  <c:v>100.92441544317569</c:v>
                </c:pt>
                <c:pt idx="225">
                  <c:v>101.25067971723769</c:v>
                </c:pt>
                <c:pt idx="226">
                  <c:v>101.18270799347476</c:v>
                </c:pt>
                <c:pt idx="227">
                  <c:v>100.94208809135404</c:v>
                </c:pt>
                <c:pt idx="228">
                  <c:v>101.01957585644375</c:v>
                </c:pt>
                <c:pt idx="229">
                  <c:v>100.92305600870041</c:v>
                </c:pt>
                <c:pt idx="230">
                  <c:v>100.815660685155</c:v>
                </c:pt>
                <c:pt idx="231">
                  <c:v>101.10114192495925</c:v>
                </c:pt>
                <c:pt idx="232">
                  <c:v>100.97879282218601</c:v>
                </c:pt>
                <c:pt idx="233">
                  <c:v>101.10114192495925</c:v>
                </c:pt>
                <c:pt idx="234">
                  <c:v>101.0698749320283</c:v>
                </c:pt>
                <c:pt idx="235">
                  <c:v>100.76128330614468</c:v>
                </c:pt>
                <c:pt idx="236">
                  <c:v>100.77895595432302</c:v>
                </c:pt>
                <c:pt idx="237">
                  <c:v>100.74768896139209</c:v>
                </c:pt>
                <c:pt idx="238">
                  <c:v>100.80206634040243</c:v>
                </c:pt>
                <c:pt idx="239">
                  <c:v>99.877650897226786</c:v>
                </c:pt>
                <c:pt idx="240">
                  <c:v>99.635671560630811</c:v>
                </c:pt>
                <c:pt idx="241">
                  <c:v>99.1666666666667</c:v>
                </c:pt>
                <c:pt idx="242">
                  <c:v>99.22512234910279</c:v>
                </c:pt>
                <c:pt idx="243">
                  <c:v>99.229200652528561</c:v>
                </c:pt>
                <c:pt idx="244">
                  <c:v>99.214246873300723</c:v>
                </c:pt>
                <c:pt idx="245">
                  <c:v>99.337955410549228</c:v>
                </c:pt>
                <c:pt idx="246">
                  <c:v>99.836867862969015</c:v>
                </c:pt>
                <c:pt idx="247">
                  <c:v>100.28412180532901</c:v>
                </c:pt>
                <c:pt idx="248">
                  <c:v>99.945622620989681</c:v>
                </c:pt>
                <c:pt idx="249">
                  <c:v>99.941544317563896</c:v>
                </c:pt>
                <c:pt idx="250">
                  <c:v>100.00000000000001</c:v>
                </c:pt>
                <c:pt idx="251">
                  <c:v>100.10875475802067</c:v>
                </c:pt>
                <c:pt idx="252">
                  <c:v>99.836867862969001</c:v>
                </c:pt>
                <c:pt idx="253">
                  <c:v>100.01359434475258</c:v>
                </c:pt>
                <c:pt idx="254">
                  <c:v>100.10875475802067</c:v>
                </c:pt>
                <c:pt idx="255">
                  <c:v>100.11691136487221</c:v>
                </c:pt>
                <c:pt idx="256">
                  <c:v>100.24469820554648</c:v>
                </c:pt>
                <c:pt idx="257">
                  <c:v>100.32626427406197</c:v>
                </c:pt>
                <c:pt idx="258">
                  <c:v>100.32626427406197</c:v>
                </c:pt>
                <c:pt idx="259">
                  <c:v>100.34393692224035</c:v>
                </c:pt>
                <c:pt idx="260">
                  <c:v>100.35345296356714</c:v>
                </c:pt>
                <c:pt idx="261">
                  <c:v>100.85644371941271</c:v>
                </c:pt>
                <c:pt idx="262">
                  <c:v>100.9733550842849</c:v>
                </c:pt>
                <c:pt idx="263">
                  <c:v>100.82109842305599</c:v>
                </c:pt>
                <c:pt idx="264">
                  <c:v>100.77555736813483</c:v>
                </c:pt>
                <c:pt idx="265">
                  <c:v>101.37030995106034</c:v>
                </c:pt>
                <c:pt idx="266">
                  <c:v>101.33224578575312</c:v>
                </c:pt>
                <c:pt idx="267">
                  <c:v>101.62860250135941</c:v>
                </c:pt>
                <c:pt idx="268">
                  <c:v>101.69317563893418</c:v>
                </c:pt>
                <c:pt idx="269">
                  <c:v>102.10957041870581</c:v>
                </c:pt>
                <c:pt idx="270">
                  <c:v>102.47824904839585</c:v>
                </c:pt>
                <c:pt idx="271">
                  <c:v>102.59380097879281</c:v>
                </c:pt>
                <c:pt idx="272">
                  <c:v>102.347471451876</c:v>
                </c:pt>
                <c:pt idx="273">
                  <c:v>101.92427949972809</c:v>
                </c:pt>
                <c:pt idx="274">
                  <c:v>101.97525829255028</c:v>
                </c:pt>
                <c:pt idx="275">
                  <c:v>102.21655791190862</c:v>
                </c:pt>
                <c:pt idx="276">
                  <c:v>102.09420880913537</c:v>
                </c:pt>
                <c:pt idx="277">
                  <c:v>101.67278412180529</c:v>
                </c:pt>
                <c:pt idx="278">
                  <c:v>101.77990755845565</c:v>
                </c:pt>
                <c:pt idx="279">
                  <c:v>101.94942903752036</c:v>
                </c:pt>
                <c:pt idx="280">
                  <c:v>101.98069603045128</c:v>
                </c:pt>
                <c:pt idx="281">
                  <c:v>101.87194127243063</c:v>
                </c:pt>
                <c:pt idx="282">
                  <c:v>102.04458945078842</c:v>
                </c:pt>
                <c:pt idx="283">
                  <c:v>101.66258836324086</c:v>
                </c:pt>
                <c:pt idx="284">
                  <c:v>101.84271343121257</c:v>
                </c:pt>
              </c:numCache>
            </c:numRef>
          </c:val>
          <c:smooth val="0"/>
          <c:extLst>
            <c:ext xmlns:c16="http://schemas.microsoft.com/office/drawing/2014/chart" uri="{C3380CC4-5D6E-409C-BE32-E72D297353CC}">
              <c16:uniqueId val="{00000000-61DB-4070-8C60-273A3892C606}"/>
            </c:ext>
          </c:extLst>
        </c:ser>
        <c:ser>
          <c:idx val="10"/>
          <c:order val="10"/>
          <c:tx>
            <c:strRef>
              <c:f>'Currency Chart'!$Z$5</c:f>
              <c:strCache>
                <c:ptCount val="1"/>
                <c:pt idx="0">
                  <c:v>USD Index</c:v>
                </c:pt>
              </c:strCache>
            </c:strRef>
          </c:tx>
          <c:spPr>
            <a:ln w="28575" cap="rnd">
              <a:solidFill>
                <a:schemeClr val="accent5">
                  <a:lumMod val="60000"/>
                </a:schemeClr>
              </a:solidFill>
              <a:round/>
            </a:ln>
            <a:effectLst/>
          </c:spPr>
          <c:marker>
            <c:symbol val="none"/>
          </c:marker>
          <c:cat>
            <c:numRef>
              <c:f>'Currency Chart'!$O$6:$O$291</c:f>
              <c:numCache>
                <c:formatCode>m/d/yyyy</c:formatCode>
                <c:ptCount val="286"/>
                <c:pt idx="0">
                  <c:v>44104</c:v>
                </c:pt>
                <c:pt idx="1">
                  <c:v>44105</c:v>
                </c:pt>
                <c:pt idx="2">
                  <c:v>44106</c:v>
                </c:pt>
                <c:pt idx="3">
                  <c:v>44109</c:v>
                </c:pt>
                <c:pt idx="4">
                  <c:v>44110</c:v>
                </c:pt>
                <c:pt idx="5">
                  <c:v>44111</c:v>
                </c:pt>
                <c:pt idx="6">
                  <c:v>44112</c:v>
                </c:pt>
                <c:pt idx="7">
                  <c:v>44113</c:v>
                </c:pt>
                <c:pt idx="8">
                  <c:v>44116</c:v>
                </c:pt>
                <c:pt idx="9">
                  <c:v>44117</c:v>
                </c:pt>
                <c:pt idx="10">
                  <c:v>44118</c:v>
                </c:pt>
                <c:pt idx="11">
                  <c:v>44119</c:v>
                </c:pt>
                <c:pt idx="12">
                  <c:v>44120</c:v>
                </c:pt>
                <c:pt idx="13">
                  <c:v>44123</c:v>
                </c:pt>
                <c:pt idx="14">
                  <c:v>44124</c:v>
                </c:pt>
                <c:pt idx="15">
                  <c:v>44125</c:v>
                </c:pt>
                <c:pt idx="16">
                  <c:v>44126</c:v>
                </c:pt>
                <c:pt idx="17">
                  <c:v>44127</c:v>
                </c:pt>
                <c:pt idx="18">
                  <c:v>44130</c:v>
                </c:pt>
                <c:pt idx="19">
                  <c:v>44131</c:v>
                </c:pt>
                <c:pt idx="20">
                  <c:v>44132</c:v>
                </c:pt>
                <c:pt idx="21">
                  <c:v>44133</c:v>
                </c:pt>
                <c:pt idx="22">
                  <c:v>44134</c:v>
                </c:pt>
                <c:pt idx="23">
                  <c:v>44137</c:v>
                </c:pt>
                <c:pt idx="24">
                  <c:v>44138</c:v>
                </c:pt>
                <c:pt idx="25">
                  <c:v>44139</c:v>
                </c:pt>
                <c:pt idx="26">
                  <c:v>44140</c:v>
                </c:pt>
                <c:pt idx="27">
                  <c:v>44141</c:v>
                </c:pt>
                <c:pt idx="28">
                  <c:v>44144</c:v>
                </c:pt>
                <c:pt idx="29">
                  <c:v>44145</c:v>
                </c:pt>
                <c:pt idx="30">
                  <c:v>44146</c:v>
                </c:pt>
                <c:pt idx="31">
                  <c:v>44147</c:v>
                </c:pt>
                <c:pt idx="32">
                  <c:v>44148</c:v>
                </c:pt>
                <c:pt idx="33">
                  <c:v>44151</c:v>
                </c:pt>
                <c:pt idx="34">
                  <c:v>44152</c:v>
                </c:pt>
                <c:pt idx="35">
                  <c:v>44153</c:v>
                </c:pt>
                <c:pt idx="36">
                  <c:v>44154</c:v>
                </c:pt>
                <c:pt idx="37">
                  <c:v>44155</c:v>
                </c:pt>
                <c:pt idx="38">
                  <c:v>44158</c:v>
                </c:pt>
                <c:pt idx="39">
                  <c:v>44159</c:v>
                </c:pt>
                <c:pt idx="40">
                  <c:v>44160</c:v>
                </c:pt>
                <c:pt idx="41">
                  <c:v>44161</c:v>
                </c:pt>
                <c:pt idx="42">
                  <c:v>44162</c:v>
                </c:pt>
                <c:pt idx="43">
                  <c:v>44165</c:v>
                </c:pt>
                <c:pt idx="44">
                  <c:v>44166</c:v>
                </c:pt>
                <c:pt idx="45">
                  <c:v>44167</c:v>
                </c:pt>
                <c:pt idx="46">
                  <c:v>44168</c:v>
                </c:pt>
                <c:pt idx="47">
                  <c:v>44169</c:v>
                </c:pt>
                <c:pt idx="48">
                  <c:v>44172</c:v>
                </c:pt>
                <c:pt idx="49">
                  <c:v>44173</c:v>
                </c:pt>
                <c:pt idx="50">
                  <c:v>44174</c:v>
                </c:pt>
                <c:pt idx="51">
                  <c:v>44175</c:v>
                </c:pt>
                <c:pt idx="52">
                  <c:v>44176</c:v>
                </c:pt>
                <c:pt idx="53">
                  <c:v>44179</c:v>
                </c:pt>
                <c:pt idx="54">
                  <c:v>44180</c:v>
                </c:pt>
                <c:pt idx="55">
                  <c:v>44181</c:v>
                </c:pt>
                <c:pt idx="56">
                  <c:v>44182</c:v>
                </c:pt>
                <c:pt idx="57">
                  <c:v>44183</c:v>
                </c:pt>
                <c:pt idx="58">
                  <c:v>44186</c:v>
                </c:pt>
                <c:pt idx="59">
                  <c:v>44187</c:v>
                </c:pt>
                <c:pt idx="60">
                  <c:v>44188</c:v>
                </c:pt>
                <c:pt idx="61">
                  <c:v>44189</c:v>
                </c:pt>
                <c:pt idx="62">
                  <c:v>44190</c:v>
                </c:pt>
                <c:pt idx="63">
                  <c:v>44193</c:v>
                </c:pt>
                <c:pt idx="64">
                  <c:v>44194</c:v>
                </c:pt>
                <c:pt idx="65">
                  <c:v>44195</c:v>
                </c:pt>
                <c:pt idx="66">
                  <c:v>44196</c:v>
                </c:pt>
                <c:pt idx="67">
                  <c:v>44197</c:v>
                </c:pt>
                <c:pt idx="68">
                  <c:v>44200</c:v>
                </c:pt>
                <c:pt idx="69">
                  <c:v>44201</c:v>
                </c:pt>
                <c:pt idx="70">
                  <c:v>44202</c:v>
                </c:pt>
                <c:pt idx="71">
                  <c:v>44203</c:v>
                </c:pt>
                <c:pt idx="72">
                  <c:v>44204</c:v>
                </c:pt>
                <c:pt idx="73">
                  <c:v>44207</c:v>
                </c:pt>
                <c:pt idx="74">
                  <c:v>44208</c:v>
                </c:pt>
                <c:pt idx="75">
                  <c:v>44209</c:v>
                </c:pt>
                <c:pt idx="76">
                  <c:v>44210</c:v>
                </c:pt>
                <c:pt idx="77">
                  <c:v>44211</c:v>
                </c:pt>
                <c:pt idx="78">
                  <c:v>44214</c:v>
                </c:pt>
                <c:pt idx="79">
                  <c:v>44215</c:v>
                </c:pt>
                <c:pt idx="80">
                  <c:v>44216</c:v>
                </c:pt>
                <c:pt idx="81">
                  <c:v>44217</c:v>
                </c:pt>
                <c:pt idx="82">
                  <c:v>44218</c:v>
                </c:pt>
                <c:pt idx="83">
                  <c:v>44221</c:v>
                </c:pt>
                <c:pt idx="84">
                  <c:v>44222</c:v>
                </c:pt>
                <c:pt idx="85">
                  <c:v>44223</c:v>
                </c:pt>
                <c:pt idx="86">
                  <c:v>44224</c:v>
                </c:pt>
                <c:pt idx="87">
                  <c:v>44225</c:v>
                </c:pt>
                <c:pt idx="88">
                  <c:v>44228</c:v>
                </c:pt>
                <c:pt idx="89">
                  <c:v>44229</c:v>
                </c:pt>
                <c:pt idx="90">
                  <c:v>44230</c:v>
                </c:pt>
                <c:pt idx="91">
                  <c:v>44231</c:v>
                </c:pt>
                <c:pt idx="92">
                  <c:v>44232</c:v>
                </c:pt>
                <c:pt idx="93">
                  <c:v>44235</c:v>
                </c:pt>
                <c:pt idx="94">
                  <c:v>44236</c:v>
                </c:pt>
                <c:pt idx="95">
                  <c:v>44237</c:v>
                </c:pt>
                <c:pt idx="96">
                  <c:v>44238</c:v>
                </c:pt>
                <c:pt idx="97">
                  <c:v>44239</c:v>
                </c:pt>
                <c:pt idx="98">
                  <c:v>44242</c:v>
                </c:pt>
                <c:pt idx="99">
                  <c:v>44243</c:v>
                </c:pt>
                <c:pt idx="100">
                  <c:v>44244</c:v>
                </c:pt>
                <c:pt idx="101">
                  <c:v>44245</c:v>
                </c:pt>
                <c:pt idx="102">
                  <c:v>44246</c:v>
                </c:pt>
                <c:pt idx="103">
                  <c:v>44247</c:v>
                </c:pt>
                <c:pt idx="104">
                  <c:v>44249</c:v>
                </c:pt>
                <c:pt idx="105">
                  <c:v>44250</c:v>
                </c:pt>
                <c:pt idx="106">
                  <c:v>44251</c:v>
                </c:pt>
                <c:pt idx="107">
                  <c:v>44252</c:v>
                </c:pt>
                <c:pt idx="108">
                  <c:v>44253</c:v>
                </c:pt>
                <c:pt idx="109">
                  <c:v>44256</c:v>
                </c:pt>
                <c:pt idx="110">
                  <c:v>44257</c:v>
                </c:pt>
                <c:pt idx="111">
                  <c:v>44258</c:v>
                </c:pt>
                <c:pt idx="112">
                  <c:v>44259</c:v>
                </c:pt>
                <c:pt idx="113">
                  <c:v>44260</c:v>
                </c:pt>
                <c:pt idx="114">
                  <c:v>44263</c:v>
                </c:pt>
                <c:pt idx="115">
                  <c:v>44264</c:v>
                </c:pt>
                <c:pt idx="116">
                  <c:v>44265</c:v>
                </c:pt>
                <c:pt idx="117">
                  <c:v>44266</c:v>
                </c:pt>
                <c:pt idx="118">
                  <c:v>44267</c:v>
                </c:pt>
                <c:pt idx="119">
                  <c:v>44270</c:v>
                </c:pt>
                <c:pt idx="120">
                  <c:v>44271</c:v>
                </c:pt>
                <c:pt idx="121">
                  <c:v>44272</c:v>
                </c:pt>
                <c:pt idx="122">
                  <c:v>44273</c:v>
                </c:pt>
                <c:pt idx="123">
                  <c:v>44274</c:v>
                </c:pt>
                <c:pt idx="124">
                  <c:v>44277</c:v>
                </c:pt>
                <c:pt idx="125">
                  <c:v>44278</c:v>
                </c:pt>
                <c:pt idx="126">
                  <c:v>44279</c:v>
                </c:pt>
                <c:pt idx="127">
                  <c:v>44280</c:v>
                </c:pt>
                <c:pt idx="128">
                  <c:v>44281</c:v>
                </c:pt>
                <c:pt idx="129">
                  <c:v>44284</c:v>
                </c:pt>
                <c:pt idx="130">
                  <c:v>44285</c:v>
                </c:pt>
                <c:pt idx="131">
                  <c:v>44286</c:v>
                </c:pt>
                <c:pt idx="132">
                  <c:v>44287</c:v>
                </c:pt>
                <c:pt idx="133">
                  <c:v>44288</c:v>
                </c:pt>
                <c:pt idx="134">
                  <c:v>44291</c:v>
                </c:pt>
                <c:pt idx="135">
                  <c:v>44292</c:v>
                </c:pt>
                <c:pt idx="136">
                  <c:v>44293</c:v>
                </c:pt>
                <c:pt idx="137">
                  <c:v>44294</c:v>
                </c:pt>
                <c:pt idx="138">
                  <c:v>44295</c:v>
                </c:pt>
                <c:pt idx="139">
                  <c:v>44298</c:v>
                </c:pt>
                <c:pt idx="140">
                  <c:v>44299</c:v>
                </c:pt>
                <c:pt idx="141">
                  <c:v>44300</c:v>
                </c:pt>
                <c:pt idx="142">
                  <c:v>44301</c:v>
                </c:pt>
                <c:pt idx="143">
                  <c:v>44302</c:v>
                </c:pt>
                <c:pt idx="144">
                  <c:v>44305</c:v>
                </c:pt>
                <c:pt idx="145">
                  <c:v>44306</c:v>
                </c:pt>
                <c:pt idx="146">
                  <c:v>44307</c:v>
                </c:pt>
                <c:pt idx="147">
                  <c:v>44308</c:v>
                </c:pt>
                <c:pt idx="148">
                  <c:v>44309</c:v>
                </c:pt>
                <c:pt idx="149">
                  <c:v>44311</c:v>
                </c:pt>
                <c:pt idx="150">
                  <c:v>44312</c:v>
                </c:pt>
                <c:pt idx="151">
                  <c:v>44313</c:v>
                </c:pt>
                <c:pt idx="152">
                  <c:v>44314</c:v>
                </c:pt>
                <c:pt idx="153">
                  <c:v>44315</c:v>
                </c:pt>
                <c:pt idx="154">
                  <c:v>44316</c:v>
                </c:pt>
                <c:pt idx="155">
                  <c:v>44319</c:v>
                </c:pt>
                <c:pt idx="156">
                  <c:v>44320</c:v>
                </c:pt>
                <c:pt idx="157">
                  <c:v>44321</c:v>
                </c:pt>
                <c:pt idx="158">
                  <c:v>44322</c:v>
                </c:pt>
                <c:pt idx="159">
                  <c:v>44323</c:v>
                </c:pt>
                <c:pt idx="160">
                  <c:v>44326</c:v>
                </c:pt>
                <c:pt idx="161">
                  <c:v>44327</c:v>
                </c:pt>
                <c:pt idx="162">
                  <c:v>44328</c:v>
                </c:pt>
                <c:pt idx="163">
                  <c:v>44329</c:v>
                </c:pt>
                <c:pt idx="164">
                  <c:v>44330</c:v>
                </c:pt>
                <c:pt idx="165">
                  <c:v>44333</c:v>
                </c:pt>
                <c:pt idx="166">
                  <c:v>44334</c:v>
                </c:pt>
                <c:pt idx="167">
                  <c:v>44335</c:v>
                </c:pt>
                <c:pt idx="168">
                  <c:v>44336</c:v>
                </c:pt>
                <c:pt idx="169">
                  <c:v>44337</c:v>
                </c:pt>
                <c:pt idx="170">
                  <c:v>44340</c:v>
                </c:pt>
                <c:pt idx="171">
                  <c:v>44341</c:v>
                </c:pt>
                <c:pt idx="172">
                  <c:v>44342</c:v>
                </c:pt>
                <c:pt idx="173">
                  <c:v>44343</c:v>
                </c:pt>
                <c:pt idx="174">
                  <c:v>44344</c:v>
                </c:pt>
                <c:pt idx="175">
                  <c:v>44347</c:v>
                </c:pt>
                <c:pt idx="176">
                  <c:v>44348</c:v>
                </c:pt>
                <c:pt idx="177">
                  <c:v>44349</c:v>
                </c:pt>
                <c:pt idx="178">
                  <c:v>44350</c:v>
                </c:pt>
                <c:pt idx="179">
                  <c:v>44351</c:v>
                </c:pt>
                <c:pt idx="180">
                  <c:v>44354</c:v>
                </c:pt>
                <c:pt idx="181">
                  <c:v>44355</c:v>
                </c:pt>
                <c:pt idx="182">
                  <c:v>44356</c:v>
                </c:pt>
                <c:pt idx="183">
                  <c:v>44357</c:v>
                </c:pt>
                <c:pt idx="184">
                  <c:v>44358</c:v>
                </c:pt>
                <c:pt idx="185">
                  <c:v>44361</c:v>
                </c:pt>
                <c:pt idx="186">
                  <c:v>44362</c:v>
                </c:pt>
                <c:pt idx="187">
                  <c:v>44363</c:v>
                </c:pt>
                <c:pt idx="188">
                  <c:v>44364</c:v>
                </c:pt>
                <c:pt idx="189">
                  <c:v>44365</c:v>
                </c:pt>
                <c:pt idx="190">
                  <c:v>44368</c:v>
                </c:pt>
                <c:pt idx="191">
                  <c:v>44369</c:v>
                </c:pt>
                <c:pt idx="192">
                  <c:v>44370</c:v>
                </c:pt>
                <c:pt idx="193">
                  <c:v>44371</c:v>
                </c:pt>
                <c:pt idx="194">
                  <c:v>44372</c:v>
                </c:pt>
                <c:pt idx="195">
                  <c:v>44375</c:v>
                </c:pt>
                <c:pt idx="196">
                  <c:v>44376</c:v>
                </c:pt>
                <c:pt idx="197">
                  <c:v>44377</c:v>
                </c:pt>
                <c:pt idx="198">
                  <c:v>44378</c:v>
                </c:pt>
                <c:pt idx="199">
                  <c:v>44379</c:v>
                </c:pt>
                <c:pt idx="200">
                  <c:v>44382</c:v>
                </c:pt>
                <c:pt idx="201">
                  <c:v>44383</c:v>
                </c:pt>
                <c:pt idx="202">
                  <c:v>44384</c:v>
                </c:pt>
                <c:pt idx="203">
                  <c:v>44385</c:v>
                </c:pt>
                <c:pt idx="204">
                  <c:v>44386</c:v>
                </c:pt>
                <c:pt idx="205">
                  <c:v>44389</c:v>
                </c:pt>
                <c:pt idx="206">
                  <c:v>44390</c:v>
                </c:pt>
                <c:pt idx="207">
                  <c:v>44391</c:v>
                </c:pt>
                <c:pt idx="208">
                  <c:v>44392</c:v>
                </c:pt>
                <c:pt idx="209">
                  <c:v>44393</c:v>
                </c:pt>
                <c:pt idx="210">
                  <c:v>44396</c:v>
                </c:pt>
                <c:pt idx="211">
                  <c:v>44397</c:v>
                </c:pt>
                <c:pt idx="212">
                  <c:v>44398</c:v>
                </c:pt>
                <c:pt idx="213">
                  <c:v>44399</c:v>
                </c:pt>
                <c:pt idx="214">
                  <c:v>44400</c:v>
                </c:pt>
                <c:pt idx="215">
                  <c:v>44403</c:v>
                </c:pt>
                <c:pt idx="216">
                  <c:v>44404</c:v>
                </c:pt>
                <c:pt idx="217">
                  <c:v>44405</c:v>
                </c:pt>
                <c:pt idx="218">
                  <c:v>44406</c:v>
                </c:pt>
                <c:pt idx="219">
                  <c:v>44407</c:v>
                </c:pt>
                <c:pt idx="220">
                  <c:v>44410</c:v>
                </c:pt>
                <c:pt idx="221">
                  <c:v>44411</c:v>
                </c:pt>
                <c:pt idx="222">
                  <c:v>44412</c:v>
                </c:pt>
                <c:pt idx="223">
                  <c:v>44413</c:v>
                </c:pt>
                <c:pt idx="224">
                  <c:v>44414</c:v>
                </c:pt>
                <c:pt idx="225">
                  <c:v>44417</c:v>
                </c:pt>
                <c:pt idx="226">
                  <c:v>44418</c:v>
                </c:pt>
                <c:pt idx="227">
                  <c:v>44419</c:v>
                </c:pt>
                <c:pt idx="228">
                  <c:v>44420</c:v>
                </c:pt>
                <c:pt idx="229">
                  <c:v>44421</c:v>
                </c:pt>
                <c:pt idx="230">
                  <c:v>44424</c:v>
                </c:pt>
                <c:pt idx="231">
                  <c:v>44425</c:v>
                </c:pt>
                <c:pt idx="232">
                  <c:v>44426</c:v>
                </c:pt>
                <c:pt idx="233">
                  <c:v>44427</c:v>
                </c:pt>
                <c:pt idx="234">
                  <c:v>44428</c:v>
                </c:pt>
                <c:pt idx="235">
                  <c:v>44431</c:v>
                </c:pt>
                <c:pt idx="236">
                  <c:v>44432</c:v>
                </c:pt>
                <c:pt idx="237">
                  <c:v>44433</c:v>
                </c:pt>
                <c:pt idx="238">
                  <c:v>44434</c:v>
                </c:pt>
                <c:pt idx="239">
                  <c:v>44435</c:v>
                </c:pt>
                <c:pt idx="240">
                  <c:v>44438</c:v>
                </c:pt>
                <c:pt idx="241">
                  <c:v>44439</c:v>
                </c:pt>
                <c:pt idx="242">
                  <c:v>44440</c:v>
                </c:pt>
                <c:pt idx="243">
                  <c:v>44441</c:v>
                </c:pt>
                <c:pt idx="244">
                  <c:v>44442</c:v>
                </c:pt>
                <c:pt idx="245">
                  <c:v>44445</c:v>
                </c:pt>
                <c:pt idx="246">
                  <c:v>44446</c:v>
                </c:pt>
                <c:pt idx="247">
                  <c:v>44447</c:v>
                </c:pt>
                <c:pt idx="248">
                  <c:v>44448</c:v>
                </c:pt>
                <c:pt idx="249">
                  <c:v>44449</c:v>
                </c:pt>
                <c:pt idx="250">
                  <c:v>44452</c:v>
                </c:pt>
                <c:pt idx="251">
                  <c:v>44453</c:v>
                </c:pt>
                <c:pt idx="252">
                  <c:v>44454</c:v>
                </c:pt>
                <c:pt idx="253">
                  <c:v>44455</c:v>
                </c:pt>
                <c:pt idx="254">
                  <c:v>44456</c:v>
                </c:pt>
                <c:pt idx="255">
                  <c:v>44459</c:v>
                </c:pt>
                <c:pt idx="256">
                  <c:v>44460</c:v>
                </c:pt>
                <c:pt idx="257">
                  <c:v>44461</c:v>
                </c:pt>
                <c:pt idx="258">
                  <c:v>44462</c:v>
                </c:pt>
                <c:pt idx="259">
                  <c:v>44463</c:v>
                </c:pt>
                <c:pt idx="260">
                  <c:v>44466</c:v>
                </c:pt>
                <c:pt idx="261">
                  <c:v>44467</c:v>
                </c:pt>
                <c:pt idx="262">
                  <c:v>44468</c:v>
                </c:pt>
                <c:pt idx="263">
                  <c:v>44469</c:v>
                </c:pt>
                <c:pt idx="264">
                  <c:v>44470</c:v>
                </c:pt>
                <c:pt idx="265">
                  <c:v>44473</c:v>
                </c:pt>
                <c:pt idx="266">
                  <c:v>44474</c:v>
                </c:pt>
                <c:pt idx="267">
                  <c:v>44475</c:v>
                </c:pt>
                <c:pt idx="268">
                  <c:v>44476</c:v>
                </c:pt>
                <c:pt idx="269">
                  <c:v>44477</c:v>
                </c:pt>
                <c:pt idx="270">
                  <c:v>44480</c:v>
                </c:pt>
                <c:pt idx="271">
                  <c:v>44481</c:v>
                </c:pt>
                <c:pt idx="272">
                  <c:v>44482</c:v>
                </c:pt>
                <c:pt idx="273">
                  <c:v>44483</c:v>
                </c:pt>
                <c:pt idx="274">
                  <c:v>44484</c:v>
                </c:pt>
                <c:pt idx="275">
                  <c:v>44487</c:v>
                </c:pt>
                <c:pt idx="276">
                  <c:v>44488</c:v>
                </c:pt>
                <c:pt idx="277">
                  <c:v>44489</c:v>
                </c:pt>
                <c:pt idx="278">
                  <c:v>44490</c:v>
                </c:pt>
                <c:pt idx="279">
                  <c:v>44491</c:v>
                </c:pt>
                <c:pt idx="280">
                  <c:v>44494</c:v>
                </c:pt>
                <c:pt idx="281">
                  <c:v>44495</c:v>
                </c:pt>
                <c:pt idx="282">
                  <c:v>44496</c:v>
                </c:pt>
                <c:pt idx="283">
                  <c:v>44497</c:v>
                </c:pt>
                <c:pt idx="284">
                  <c:v>44498</c:v>
                </c:pt>
                <c:pt idx="285">
                  <c:v>44501</c:v>
                </c:pt>
              </c:numCache>
            </c:numRef>
          </c:cat>
          <c:val>
            <c:numRef>
              <c:f>'Currency Chart'!$Z$6:$Z$291</c:f>
              <c:numCache>
                <c:formatCode>0</c:formatCode>
                <c:ptCount val="286"/>
                <c:pt idx="0" formatCode="General">
                  <c:v>100</c:v>
                </c:pt>
                <c:pt idx="1">
                  <c:v>99.81360373218584</c:v>
                </c:pt>
                <c:pt idx="2">
                  <c:v>99.955264895724582</c:v>
                </c:pt>
                <c:pt idx="3">
                  <c:v>99.602709669173237</c:v>
                </c:pt>
                <c:pt idx="4">
                  <c:v>99.786975693926664</c:v>
                </c:pt>
                <c:pt idx="5">
                  <c:v>99.727328888226111</c:v>
                </c:pt>
                <c:pt idx="6">
                  <c:v>99.70070084996695</c:v>
                </c:pt>
                <c:pt idx="7">
                  <c:v>99.11701425132604</c:v>
                </c:pt>
                <c:pt idx="8">
                  <c:v>99.125535223568974</c:v>
                </c:pt>
                <c:pt idx="9">
                  <c:v>99.621881856719824</c:v>
                </c:pt>
                <c:pt idx="10">
                  <c:v>99.463178748695199</c:v>
                </c:pt>
                <c:pt idx="11">
                  <c:v>99.968046354088969</c:v>
                </c:pt>
                <c:pt idx="12">
                  <c:v>99.782715207805182</c:v>
                </c:pt>
                <c:pt idx="13">
                  <c:v>99.511109217561696</c:v>
                </c:pt>
                <c:pt idx="14">
                  <c:v>99.127665466629693</c:v>
                </c:pt>
                <c:pt idx="15">
                  <c:v>98.641970048782525</c:v>
                </c:pt>
                <c:pt idx="16">
                  <c:v>99.004111369107164</c:v>
                </c:pt>
                <c:pt idx="17">
                  <c:v>98.80919412905007</c:v>
                </c:pt>
                <c:pt idx="18">
                  <c:v>99.104232792961611</c:v>
                </c:pt>
                <c:pt idx="19">
                  <c:v>98.992395032273109</c:v>
                </c:pt>
                <c:pt idx="20">
                  <c:v>99.487676543893585</c:v>
                </c:pt>
                <c:pt idx="21">
                  <c:v>100.07349338559523</c:v>
                </c:pt>
                <c:pt idx="22">
                  <c:v>100.16189847261566</c:v>
                </c:pt>
                <c:pt idx="23">
                  <c:v>100.25882453187903</c:v>
                </c:pt>
                <c:pt idx="24">
                  <c:v>99.64531453038785</c:v>
                </c:pt>
                <c:pt idx="25">
                  <c:v>99.489806786954333</c:v>
                </c:pt>
                <c:pt idx="26">
                  <c:v>98.550369597170999</c:v>
                </c:pt>
                <c:pt idx="27">
                  <c:v>98.235093624182468</c:v>
                </c:pt>
                <c:pt idx="28">
                  <c:v>98.763393903244307</c:v>
                </c:pt>
                <c:pt idx="29">
                  <c:v>98.788956819973109</c:v>
                </c:pt>
                <c:pt idx="30">
                  <c:v>99.102102549900906</c:v>
                </c:pt>
                <c:pt idx="31">
                  <c:v>99.016892827471565</c:v>
                </c:pt>
                <c:pt idx="32">
                  <c:v>98.795347549155309</c:v>
                </c:pt>
                <c:pt idx="33">
                  <c:v>98.674988816223873</c:v>
                </c:pt>
                <c:pt idx="34">
                  <c:v>98.434271350361016</c:v>
                </c:pt>
                <c:pt idx="35">
                  <c:v>98.327759197324355</c:v>
                </c:pt>
                <c:pt idx="36">
                  <c:v>98.304326523656286</c:v>
                </c:pt>
                <c:pt idx="37">
                  <c:v>98.408708433632214</c:v>
                </c:pt>
                <c:pt idx="38">
                  <c:v>98.529067166563635</c:v>
                </c:pt>
                <c:pt idx="39">
                  <c:v>98.231898259591347</c:v>
                </c:pt>
                <c:pt idx="40">
                  <c:v>97.984790064546289</c:v>
                </c:pt>
                <c:pt idx="41">
                  <c:v>97.984790064546289</c:v>
                </c:pt>
                <c:pt idx="42">
                  <c:v>97.767505272351514</c:v>
                </c:pt>
                <c:pt idx="43">
                  <c:v>97.85164987325048</c:v>
                </c:pt>
                <c:pt idx="44">
                  <c:v>97.259442302366651</c:v>
                </c:pt>
                <c:pt idx="45">
                  <c:v>97.051743603945155</c:v>
                </c:pt>
                <c:pt idx="46">
                  <c:v>96.621434505677044</c:v>
                </c:pt>
                <c:pt idx="47">
                  <c:v>96.607587925782269</c:v>
                </c:pt>
                <c:pt idx="48">
                  <c:v>96.704513985045637</c:v>
                </c:pt>
                <c:pt idx="49">
                  <c:v>96.888780009799063</c:v>
                </c:pt>
                <c:pt idx="50">
                  <c:v>97.018724836503793</c:v>
                </c:pt>
                <c:pt idx="51">
                  <c:v>96.738597874017373</c:v>
                </c:pt>
                <c:pt idx="52">
                  <c:v>96.900496346633091</c:v>
                </c:pt>
                <c:pt idx="53">
                  <c:v>96.618239141085937</c:v>
                </c:pt>
                <c:pt idx="54">
                  <c:v>96.364740216858678</c:v>
                </c:pt>
                <c:pt idx="55">
                  <c:v>96.34024242166025</c:v>
                </c:pt>
                <c:pt idx="56">
                  <c:v>95.671346100590014</c:v>
                </c:pt>
                <c:pt idx="57">
                  <c:v>95.87797967748115</c:v>
                </c:pt>
                <c:pt idx="58">
                  <c:v>95.906737958801045</c:v>
                </c:pt>
                <c:pt idx="59">
                  <c:v>96.557527213855039</c:v>
                </c:pt>
                <c:pt idx="60">
                  <c:v>96.300832925036687</c:v>
                </c:pt>
                <c:pt idx="61">
                  <c:v>96.204971987303693</c:v>
                </c:pt>
                <c:pt idx="62">
                  <c:v>96.204971987303693</c:v>
                </c:pt>
                <c:pt idx="63">
                  <c:v>96.219883688728842</c:v>
                </c:pt>
                <c:pt idx="64">
                  <c:v>95.854547003813096</c:v>
                </c:pt>
                <c:pt idx="65">
                  <c:v>95.520098843277978</c:v>
                </c:pt>
                <c:pt idx="66">
                  <c:v>95.793835076582184</c:v>
                </c:pt>
                <c:pt idx="67">
                  <c:v>95.793835076582184</c:v>
                </c:pt>
                <c:pt idx="68">
                  <c:v>95.721406812517259</c:v>
                </c:pt>
                <c:pt idx="69">
                  <c:v>95.260209189868533</c:v>
                </c:pt>
                <c:pt idx="70">
                  <c:v>95.360330613722994</c:v>
                </c:pt>
                <c:pt idx="71">
                  <c:v>95.675606586711496</c:v>
                </c:pt>
                <c:pt idx="72">
                  <c:v>95.96531964297121</c:v>
                </c:pt>
                <c:pt idx="73">
                  <c:v>96.356219244615758</c:v>
                </c:pt>
                <c:pt idx="74">
                  <c:v>95.959994035319383</c:v>
                </c:pt>
                <c:pt idx="75">
                  <c:v>96.23905587627543</c:v>
                </c:pt>
                <c:pt idx="76">
                  <c:v>96.1155017787529</c:v>
                </c:pt>
                <c:pt idx="77">
                  <c:v>96.683211554438316</c:v>
                </c:pt>
                <c:pt idx="78">
                  <c:v>96.675755703725741</c:v>
                </c:pt>
                <c:pt idx="79">
                  <c:v>96.391368255117868</c:v>
                </c:pt>
                <c:pt idx="80">
                  <c:v>96.366870459919426</c:v>
                </c:pt>
                <c:pt idx="81">
                  <c:v>96.00046865347332</c:v>
                </c:pt>
                <c:pt idx="82">
                  <c:v>96.114436657222555</c:v>
                </c:pt>
                <c:pt idx="83">
                  <c:v>96.277400251368661</c:v>
                </c:pt>
                <c:pt idx="84">
                  <c:v>96.042008393157644</c:v>
                </c:pt>
                <c:pt idx="85">
                  <c:v>96.550071363142521</c:v>
                </c:pt>
                <c:pt idx="86">
                  <c:v>96.345568029312119</c:v>
                </c:pt>
                <c:pt idx="87">
                  <c:v>96.482968706729423</c:v>
                </c:pt>
                <c:pt idx="88">
                  <c:v>96.9047568327546</c:v>
                </c:pt>
                <c:pt idx="89">
                  <c:v>97.135888204844164</c:v>
                </c:pt>
                <c:pt idx="90">
                  <c:v>97.108195045054629</c:v>
                </c:pt>
                <c:pt idx="91">
                  <c:v>97.489508552925855</c:v>
                </c:pt>
                <c:pt idx="92">
                  <c:v>96.970794367637325</c:v>
                </c:pt>
                <c:pt idx="93">
                  <c:v>96.85576124235773</c:v>
                </c:pt>
                <c:pt idx="94">
                  <c:v>96.328526084826251</c:v>
                </c:pt>
                <c:pt idx="95">
                  <c:v>96.256097820761326</c:v>
                </c:pt>
                <c:pt idx="96">
                  <c:v>96.305093411158197</c:v>
                </c:pt>
                <c:pt idx="97">
                  <c:v>96.372196067571309</c:v>
                </c:pt>
                <c:pt idx="98">
                  <c:v>96.372196067571309</c:v>
                </c:pt>
                <c:pt idx="99">
                  <c:v>96.403084591951938</c:v>
                </c:pt>
                <c:pt idx="100">
                  <c:v>96.873868308373972</c:v>
                </c:pt>
                <c:pt idx="101">
                  <c:v>96.491489678972371</c:v>
                </c:pt>
                <c:pt idx="102">
                  <c:v>96.248641970048794</c:v>
                </c:pt>
                <c:pt idx="103">
                  <c:v>96.248641970048794</c:v>
                </c:pt>
                <c:pt idx="104">
                  <c:v>95.871588948299021</c:v>
                </c:pt>
                <c:pt idx="105">
                  <c:v>96.040943271627299</c:v>
                </c:pt>
                <c:pt idx="106">
                  <c:v>96.048399122339873</c:v>
                </c:pt>
                <c:pt idx="107">
                  <c:v>96.00366401806447</c:v>
                </c:pt>
                <c:pt idx="108">
                  <c:v>96.797179558187594</c:v>
                </c:pt>
                <c:pt idx="109">
                  <c:v>96.96759900304626</c:v>
                </c:pt>
                <c:pt idx="110">
                  <c:v>96.697058134333133</c:v>
                </c:pt>
                <c:pt idx="111">
                  <c:v>96.869607822252533</c:v>
                </c:pt>
                <c:pt idx="112">
                  <c:v>97.598150949023292</c:v>
                </c:pt>
                <c:pt idx="113">
                  <c:v>97.966682998530146</c:v>
                </c:pt>
                <c:pt idx="114">
                  <c:v>98.324563832733332</c:v>
                </c:pt>
                <c:pt idx="115">
                  <c:v>97.946445689453171</c:v>
                </c:pt>
                <c:pt idx="116">
                  <c:v>97.802654282853666</c:v>
                </c:pt>
                <c:pt idx="117">
                  <c:v>97.373410306115929</c:v>
                </c:pt>
                <c:pt idx="118">
                  <c:v>97.649276782480882</c:v>
                </c:pt>
                <c:pt idx="119">
                  <c:v>97.813305498157334</c:v>
                </c:pt>
                <c:pt idx="120">
                  <c:v>97.84738938712907</c:v>
                </c:pt>
                <c:pt idx="121">
                  <c:v>97.396842979783997</c:v>
                </c:pt>
                <c:pt idx="122">
                  <c:v>97.844194022537977</c:v>
                </c:pt>
                <c:pt idx="123">
                  <c:v>97.904905949768889</c:v>
                </c:pt>
                <c:pt idx="124">
                  <c:v>97.716379438893995</c:v>
                </c:pt>
                <c:pt idx="125">
                  <c:v>98.349061627931761</c:v>
                </c:pt>
                <c:pt idx="126">
                  <c:v>98.553564961762163</c:v>
                </c:pt>
                <c:pt idx="127">
                  <c:v>98.553564961762163</c:v>
                </c:pt>
                <c:pt idx="128">
                  <c:v>98.807063885989407</c:v>
                </c:pt>
                <c:pt idx="129">
                  <c:v>98.996655518394661</c:v>
                </c:pt>
                <c:pt idx="130">
                  <c:v>99.372643418614075</c:v>
                </c:pt>
                <c:pt idx="131">
                  <c:v>99.303410519140257</c:v>
                </c:pt>
                <c:pt idx="132">
                  <c:v>98.980678695439167</c:v>
                </c:pt>
                <c:pt idx="133">
                  <c:v>99.079734997763282</c:v>
                </c:pt>
                <c:pt idx="134">
                  <c:v>98.624928104296728</c:v>
                </c:pt>
                <c:pt idx="135">
                  <c:v>98.347996506401401</c:v>
                </c:pt>
                <c:pt idx="136">
                  <c:v>98.475811090045411</c:v>
                </c:pt>
                <c:pt idx="137">
                  <c:v>98.054022964020234</c:v>
                </c:pt>
                <c:pt idx="138">
                  <c:v>98.164795603178348</c:v>
                </c:pt>
                <c:pt idx="139">
                  <c:v>98.1381675649192</c:v>
                </c:pt>
                <c:pt idx="140">
                  <c:v>97.833542807234352</c:v>
                </c:pt>
                <c:pt idx="141">
                  <c:v>97.660993119314952</c:v>
                </c:pt>
                <c:pt idx="142">
                  <c:v>97.660993119314952</c:v>
                </c:pt>
                <c:pt idx="143">
                  <c:v>97.518266834245821</c:v>
                </c:pt>
                <c:pt idx="144">
                  <c:v>96.999552648957291</c:v>
                </c:pt>
                <c:pt idx="145">
                  <c:v>97.182753552180344</c:v>
                </c:pt>
                <c:pt idx="146">
                  <c:v>97.091153100568818</c:v>
                </c:pt>
                <c:pt idx="147">
                  <c:v>97.280744732974071</c:v>
                </c:pt>
                <c:pt idx="148">
                  <c:v>96.775877127580301</c:v>
                </c:pt>
                <c:pt idx="149">
                  <c:v>96.775877127580301</c:v>
                </c:pt>
                <c:pt idx="150">
                  <c:v>96.720490808001244</c:v>
                </c:pt>
                <c:pt idx="151">
                  <c:v>96.829133204098639</c:v>
                </c:pt>
                <c:pt idx="152">
                  <c:v>96.509596744988642</c:v>
                </c:pt>
                <c:pt idx="153">
                  <c:v>96.514922352640482</c:v>
                </c:pt>
                <c:pt idx="154">
                  <c:v>97.22429329186464</c:v>
                </c:pt>
                <c:pt idx="155">
                  <c:v>96.867477579191814</c:v>
                </c:pt>
                <c:pt idx="156">
                  <c:v>97.23281426410756</c:v>
                </c:pt>
                <c:pt idx="157">
                  <c:v>97.254116694714909</c:v>
                </c:pt>
                <c:pt idx="158">
                  <c:v>96.873868308374014</c:v>
                </c:pt>
                <c:pt idx="159">
                  <c:v>96.109111049570799</c:v>
                </c:pt>
                <c:pt idx="160">
                  <c:v>96.086743497433091</c:v>
                </c:pt>
                <c:pt idx="161">
                  <c:v>96.011119868777072</c:v>
                </c:pt>
                <c:pt idx="162">
                  <c:v>96.62036938414677</c:v>
                </c:pt>
                <c:pt idx="163">
                  <c:v>96.661909123831066</c:v>
                </c:pt>
                <c:pt idx="164">
                  <c:v>96.202841744243059</c:v>
                </c:pt>
                <c:pt idx="165">
                  <c:v>96.035617663975501</c:v>
                </c:pt>
                <c:pt idx="166">
                  <c:v>95.594657350403722</c:v>
                </c:pt>
                <c:pt idx="167">
                  <c:v>96.064375945295396</c:v>
                </c:pt>
                <c:pt idx="168">
                  <c:v>95.656434399164993</c:v>
                </c:pt>
                <c:pt idx="169">
                  <c:v>95.879044799011609</c:v>
                </c:pt>
                <c:pt idx="170">
                  <c:v>95.694778774258182</c:v>
                </c:pt>
                <c:pt idx="171">
                  <c:v>95.476428860533019</c:v>
                </c:pt>
                <c:pt idx="172">
                  <c:v>95.905672837270771</c:v>
                </c:pt>
                <c:pt idx="173">
                  <c:v>95.830049208614739</c:v>
                </c:pt>
                <c:pt idx="174">
                  <c:v>95.893956500436744</c:v>
                </c:pt>
                <c:pt idx="175">
                  <c:v>95.893956500436744</c:v>
                </c:pt>
                <c:pt idx="176">
                  <c:v>95.680932194363422</c:v>
                </c:pt>
                <c:pt idx="177">
                  <c:v>95.764011673732028</c:v>
                </c:pt>
                <c:pt idx="178">
                  <c:v>96.406279956543088</c:v>
                </c:pt>
                <c:pt idx="179">
                  <c:v>96.005794261125246</c:v>
                </c:pt>
                <c:pt idx="180">
                  <c:v>95.807681656477058</c:v>
                </c:pt>
                <c:pt idx="181">
                  <c:v>95.941886969303241</c:v>
                </c:pt>
                <c:pt idx="182">
                  <c:v>95.988752316639378</c:v>
                </c:pt>
                <c:pt idx="183">
                  <c:v>95.940821847772881</c:v>
                </c:pt>
                <c:pt idx="184">
                  <c:v>96.452080182348851</c:v>
                </c:pt>
                <c:pt idx="185">
                  <c:v>96.416931171846741</c:v>
                </c:pt>
                <c:pt idx="186">
                  <c:v>96.431842873271862</c:v>
                </c:pt>
                <c:pt idx="187">
                  <c:v>97.063459940779268</c:v>
                </c:pt>
                <c:pt idx="188">
                  <c:v>97.872952303857872</c:v>
                </c:pt>
                <c:pt idx="189">
                  <c:v>98.230833138061044</c:v>
                </c:pt>
                <c:pt idx="190">
                  <c:v>97.883603519161539</c:v>
                </c:pt>
                <c:pt idx="191">
                  <c:v>97.731291140319115</c:v>
                </c:pt>
                <c:pt idx="192">
                  <c:v>97.780286730715972</c:v>
                </c:pt>
                <c:pt idx="193">
                  <c:v>97.793068189080358</c:v>
                </c:pt>
                <c:pt idx="194">
                  <c:v>97.832477685703935</c:v>
                </c:pt>
                <c:pt idx="195">
                  <c:v>97.870822060797138</c:v>
                </c:pt>
                <c:pt idx="196">
                  <c:v>98.043371748716538</c:v>
                </c:pt>
                <c:pt idx="197">
                  <c:v>98.455573780968422</c:v>
                </c:pt>
                <c:pt idx="198">
                  <c:v>98.627058347357433</c:v>
                </c:pt>
                <c:pt idx="199">
                  <c:v>98.231898259591418</c:v>
                </c:pt>
                <c:pt idx="200">
                  <c:v>98.216986558166283</c:v>
                </c:pt>
                <c:pt idx="201">
                  <c:v>98.572737149308736</c:v>
                </c:pt>
                <c:pt idx="202">
                  <c:v>98.677119059284664</c:v>
                </c:pt>
                <c:pt idx="203">
                  <c:v>98.435336471891446</c:v>
                </c:pt>
                <c:pt idx="204">
                  <c:v>98.12964659267621</c:v>
                </c:pt>
                <c:pt idx="205">
                  <c:v>98.269177513154233</c:v>
                </c:pt>
                <c:pt idx="206">
                  <c:v>98.792152184564245</c:v>
                </c:pt>
                <c:pt idx="207">
                  <c:v>98.427880621178858</c:v>
                </c:pt>
                <c:pt idx="208">
                  <c:v>98.655816628677314</c:v>
                </c:pt>
                <c:pt idx="209">
                  <c:v>98.722919285090427</c:v>
                </c:pt>
                <c:pt idx="210">
                  <c:v>98.94020407728523</c:v>
                </c:pt>
                <c:pt idx="211">
                  <c:v>99.02754404277529</c:v>
                </c:pt>
                <c:pt idx="212">
                  <c:v>98.794282427625006</c:v>
                </c:pt>
                <c:pt idx="213">
                  <c:v>98.866710691689931</c:v>
                </c:pt>
                <c:pt idx="214">
                  <c:v>98.962571629422925</c:v>
                </c:pt>
                <c:pt idx="215">
                  <c:v>98.682444666936505</c:v>
                </c:pt>
                <c:pt idx="216">
                  <c:v>98.451313294846955</c:v>
                </c:pt>
                <c:pt idx="217">
                  <c:v>98.334149926506626</c:v>
                </c:pt>
                <c:pt idx="218">
                  <c:v>97.846324265598724</c:v>
                </c:pt>
                <c:pt idx="219">
                  <c:v>98.176511940012389</c:v>
                </c:pt>
                <c:pt idx="220">
                  <c:v>98.042306627186193</c:v>
                </c:pt>
                <c:pt idx="221">
                  <c:v>98.077455637688303</c:v>
                </c:pt>
                <c:pt idx="222">
                  <c:v>98.278763606927583</c:v>
                </c:pt>
                <c:pt idx="223">
                  <c:v>98.251070447138062</c:v>
                </c:pt>
                <c:pt idx="224">
                  <c:v>98.843278018021891</c:v>
                </c:pt>
                <c:pt idx="225">
                  <c:v>98.997720639925035</c:v>
                </c:pt>
                <c:pt idx="226">
                  <c:v>99.114884008265378</c:v>
                </c:pt>
                <c:pt idx="227">
                  <c:v>98.973222844726607</c:v>
                </c:pt>
                <c:pt idx="228">
                  <c:v>99.093581577658028</c:v>
                </c:pt>
                <c:pt idx="229">
                  <c:v>98.542913746458495</c:v>
                </c:pt>
                <c:pt idx="230">
                  <c:v>98.660077114798824</c:v>
                </c:pt>
                <c:pt idx="231">
                  <c:v>99.194768123042849</c:v>
                </c:pt>
                <c:pt idx="232">
                  <c:v>99.201158852225035</c:v>
                </c:pt>
                <c:pt idx="233">
                  <c:v>99.661291353343415</c:v>
                </c:pt>
                <c:pt idx="234">
                  <c:v>99.584602603157023</c:v>
                </c:pt>
                <c:pt idx="235">
                  <c:v>99.011567219819781</c:v>
                </c:pt>
                <c:pt idx="236">
                  <c:v>98.94233432034595</c:v>
                </c:pt>
                <c:pt idx="237">
                  <c:v>98.869906056281025</c:v>
                </c:pt>
                <c:pt idx="238">
                  <c:v>99.122339858977909</c:v>
                </c:pt>
                <c:pt idx="239">
                  <c:v>98.721854163560081</c:v>
                </c:pt>
                <c:pt idx="240">
                  <c:v>98.686705153057986</c:v>
                </c:pt>
                <c:pt idx="241">
                  <c:v>98.657946871738091</c:v>
                </c:pt>
                <c:pt idx="242">
                  <c:v>98.469420360863182</c:v>
                </c:pt>
                <c:pt idx="243">
                  <c:v>98.230833138061058</c:v>
                </c:pt>
                <c:pt idx="244">
                  <c:v>98.028460047291404</c:v>
                </c:pt>
                <c:pt idx="245">
                  <c:v>98.028460047291404</c:v>
                </c:pt>
                <c:pt idx="246">
                  <c:v>98.536523017276281</c:v>
                </c:pt>
                <c:pt idx="247">
                  <c:v>98.686705153057972</c:v>
                </c:pt>
                <c:pt idx="248">
                  <c:v>98.501374006774171</c:v>
                </c:pt>
                <c:pt idx="249">
                  <c:v>98.611081524401925</c:v>
                </c:pt>
                <c:pt idx="250">
                  <c:v>98.710137826726026</c:v>
                </c:pt>
                <c:pt idx="251">
                  <c:v>98.654751507146969</c:v>
                </c:pt>
                <c:pt idx="252">
                  <c:v>98.57486739236947</c:v>
                </c:pt>
                <c:pt idx="253">
                  <c:v>98.983874060030246</c:v>
                </c:pt>
                <c:pt idx="254">
                  <c:v>99.264001022516652</c:v>
                </c:pt>
                <c:pt idx="255">
                  <c:v>99.350275866476352</c:v>
                </c:pt>
                <c:pt idx="256">
                  <c:v>99.27358711628996</c:v>
                </c:pt>
                <c:pt idx="257">
                  <c:v>99.548388471124568</c:v>
                </c:pt>
                <c:pt idx="258">
                  <c:v>99.091451334597295</c:v>
                </c:pt>
                <c:pt idx="259">
                  <c:v>99.404597064525092</c:v>
                </c:pt>
                <c:pt idx="260">
                  <c:v>99.464243870225616</c:v>
                </c:pt>
                <c:pt idx="261">
                  <c:v>99.872185416356032</c:v>
                </c:pt>
                <c:pt idx="262">
                  <c:v>100.48143493172573</c:v>
                </c:pt>
                <c:pt idx="263">
                  <c:v>100.36640180644615</c:v>
                </c:pt>
                <c:pt idx="264">
                  <c:v>100.15870310802465</c:v>
                </c:pt>
                <c:pt idx="265">
                  <c:v>99.8828366316597</c:v>
                </c:pt>
                <c:pt idx="266">
                  <c:v>100.09479581620266</c:v>
                </c:pt>
                <c:pt idx="267">
                  <c:v>100.40474618153937</c:v>
                </c:pt>
                <c:pt idx="268">
                  <c:v>100.3525552265514</c:v>
                </c:pt>
                <c:pt idx="269">
                  <c:v>100.1927869969964</c:v>
                </c:pt>
                <c:pt idx="270">
                  <c:v>100.45800225805769</c:v>
                </c:pt>
                <c:pt idx="271">
                  <c:v>100.67102656413103</c:v>
                </c:pt>
                <c:pt idx="272">
                  <c:v>100.20663357689116</c:v>
                </c:pt>
                <c:pt idx="273">
                  <c:v>100.07455850712572</c:v>
                </c:pt>
                <c:pt idx="274">
                  <c:v>100.05432119804874</c:v>
                </c:pt>
                <c:pt idx="275">
                  <c:v>100.07136314253461</c:v>
                </c:pt>
                <c:pt idx="276">
                  <c:v>99.83810152738431</c:v>
                </c:pt>
                <c:pt idx="277">
                  <c:v>99.650640138039805</c:v>
                </c:pt>
                <c:pt idx="278">
                  <c:v>99.876445902477514</c:v>
                </c:pt>
                <c:pt idx="279">
                  <c:v>99.740110346590583</c:v>
                </c:pt>
                <c:pt idx="280">
                  <c:v>99.922246128283277</c:v>
                </c:pt>
                <c:pt idx="281">
                  <c:v>100.06710265641313</c:v>
                </c:pt>
                <c:pt idx="282">
                  <c:v>99.91052979144925</c:v>
                </c:pt>
                <c:pt idx="283">
                  <c:v>99.423769252071693</c:v>
                </c:pt>
                <c:pt idx="284">
                  <c:v>100.25243380269694</c:v>
                </c:pt>
              </c:numCache>
            </c:numRef>
          </c:val>
          <c:smooth val="0"/>
          <c:extLst>
            <c:ext xmlns:c16="http://schemas.microsoft.com/office/drawing/2014/chart" uri="{C3380CC4-5D6E-409C-BE32-E72D297353CC}">
              <c16:uniqueId val="{00000001-61DB-4070-8C60-273A3892C606}"/>
            </c:ext>
          </c:extLst>
        </c:ser>
        <c:ser>
          <c:idx val="11"/>
          <c:order val="11"/>
          <c:tx>
            <c:strRef>
              <c:f>'Currency Chart'!$AA$5</c:f>
              <c:strCache>
                <c:ptCount val="1"/>
                <c:pt idx="0">
                  <c:v>MSCI EM Currency Index</c:v>
                </c:pt>
              </c:strCache>
            </c:strRef>
          </c:tx>
          <c:spPr>
            <a:ln w="28575" cap="rnd">
              <a:solidFill>
                <a:schemeClr val="accent6">
                  <a:lumMod val="60000"/>
                </a:schemeClr>
              </a:solidFill>
              <a:round/>
            </a:ln>
            <a:effectLst/>
          </c:spPr>
          <c:marker>
            <c:symbol val="none"/>
          </c:marker>
          <c:cat>
            <c:numRef>
              <c:f>'Currency Chart'!$O$6:$O$291</c:f>
              <c:numCache>
                <c:formatCode>m/d/yyyy</c:formatCode>
                <c:ptCount val="286"/>
                <c:pt idx="0">
                  <c:v>44104</c:v>
                </c:pt>
                <c:pt idx="1">
                  <c:v>44105</c:v>
                </c:pt>
                <c:pt idx="2">
                  <c:v>44106</c:v>
                </c:pt>
                <c:pt idx="3">
                  <c:v>44109</c:v>
                </c:pt>
                <c:pt idx="4">
                  <c:v>44110</c:v>
                </c:pt>
                <c:pt idx="5">
                  <c:v>44111</c:v>
                </c:pt>
                <c:pt idx="6">
                  <c:v>44112</c:v>
                </c:pt>
                <c:pt idx="7">
                  <c:v>44113</c:v>
                </c:pt>
                <c:pt idx="8">
                  <c:v>44116</c:v>
                </c:pt>
                <c:pt idx="9">
                  <c:v>44117</c:v>
                </c:pt>
                <c:pt idx="10">
                  <c:v>44118</c:v>
                </c:pt>
                <c:pt idx="11">
                  <c:v>44119</c:v>
                </c:pt>
                <c:pt idx="12">
                  <c:v>44120</c:v>
                </c:pt>
                <c:pt idx="13">
                  <c:v>44123</c:v>
                </c:pt>
                <c:pt idx="14">
                  <c:v>44124</c:v>
                </c:pt>
                <c:pt idx="15">
                  <c:v>44125</c:v>
                </c:pt>
                <c:pt idx="16">
                  <c:v>44126</c:v>
                </c:pt>
                <c:pt idx="17">
                  <c:v>44127</c:v>
                </c:pt>
                <c:pt idx="18">
                  <c:v>44130</c:v>
                </c:pt>
                <c:pt idx="19">
                  <c:v>44131</c:v>
                </c:pt>
                <c:pt idx="20">
                  <c:v>44132</c:v>
                </c:pt>
                <c:pt idx="21">
                  <c:v>44133</c:v>
                </c:pt>
                <c:pt idx="22">
                  <c:v>44134</c:v>
                </c:pt>
                <c:pt idx="23">
                  <c:v>44137</c:v>
                </c:pt>
                <c:pt idx="24">
                  <c:v>44138</c:v>
                </c:pt>
                <c:pt idx="25">
                  <c:v>44139</c:v>
                </c:pt>
                <c:pt idx="26">
                  <c:v>44140</c:v>
                </c:pt>
                <c:pt idx="27">
                  <c:v>44141</c:v>
                </c:pt>
                <c:pt idx="28">
                  <c:v>44144</c:v>
                </c:pt>
                <c:pt idx="29">
                  <c:v>44145</c:v>
                </c:pt>
                <c:pt idx="30">
                  <c:v>44146</c:v>
                </c:pt>
                <c:pt idx="31">
                  <c:v>44147</c:v>
                </c:pt>
                <c:pt idx="32">
                  <c:v>44148</c:v>
                </c:pt>
                <c:pt idx="33">
                  <c:v>44151</c:v>
                </c:pt>
                <c:pt idx="34">
                  <c:v>44152</c:v>
                </c:pt>
                <c:pt idx="35">
                  <c:v>44153</c:v>
                </c:pt>
                <c:pt idx="36">
                  <c:v>44154</c:v>
                </c:pt>
                <c:pt idx="37">
                  <c:v>44155</c:v>
                </c:pt>
                <c:pt idx="38">
                  <c:v>44158</c:v>
                </c:pt>
                <c:pt idx="39">
                  <c:v>44159</c:v>
                </c:pt>
                <c:pt idx="40">
                  <c:v>44160</c:v>
                </c:pt>
                <c:pt idx="41">
                  <c:v>44161</c:v>
                </c:pt>
                <c:pt idx="42">
                  <c:v>44162</c:v>
                </c:pt>
                <c:pt idx="43">
                  <c:v>44165</c:v>
                </c:pt>
                <c:pt idx="44">
                  <c:v>44166</c:v>
                </c:pt>
                <c:pt idx="45">
                  <c:v>44167</c:v>
                </c:pt>
                <c:pt idx="46">
                  <c:v>44168</c:v>
                </c:pt>
                <c:pt idx="47">
                  <c:v>44169</c:v>
                </c:pt>
                <c:pt idx="48">
                  <c:v>44172</c:v>
                </c:pt>
                <c:pt idx="49">
                  <c:v>44173</c:v>
                </c:pt>
                <c:pt idx="50">
                  <c:v>44174</c:v>
                </c:pt>
                <c:pt idx="51">
                  <c:v>44175</c:v>
                </c:pt>
                <c:pt idx="52">
                  <c:v>44176</c:v>
                </c:pt>
                <c:pt idx="53">
                  <c:v>44179</c:v>
                </c:pt>
                <c:pt idx="54">
                  <c:v>44180</c:v>
                </c:pt>
                <c:pt idx="55">
                  <c:v>44181</c:v>
                </c:pt>
                <c:pt idx="56">
                  <c:v>44182</c:v>
                </c:pt>
                <c:pt idx="57">
                  <c:v>44183</c:v>
                </c:pt>
                <c:pt idx="58">
                  <c:v>44186</c:v>
                </c:pt>
                <c:pt idx="59">
                  <c:v>44187</c:v>
                </c:pt>
                <c:pt idx="60">
                  <c:v>44188</c:v>
                </c:pt>
                <c:pt idx="61">
                  <c:v>44189</c:v>
                </c:pt>
                <c:pt idx="62">
                  <c:v>44190</c:v>
                </c:pt>
                <c:pt idx="63">
                  <c:v>44193</c:v>
                </c:pt>
                <c:pt idx="64">
                  <c:v>44194</c:v>
                </c:pt>
                <c:pt idx="65">
                  <c:v>44195</c:v>
                </c:pt>
                <c:pt idx="66">
                  <c:v>44196</c:v>
                </c:pt>
                <c:pt idx="67">
                  <c:v>44197</c:v>
                </c:pt>
                <c:pt idx="68">
                  <c:v>44200</c:v>
                </c:pt>
                <c:pt idx="69">
                  <c:v>44201</c:v>
                </c:pt>
                <c:pt idx="70">
                  <c:v>44202</c:v>
                </c:pt>
                <c:pt idx="71">
                  <c:v>44203</c:v>
                </c:pt>
                <c:pt idx="72">
                  <c:v>44204</c:v>
                </c:pt>
                <c:pt idx="73">
                  <c:v>44207</c:v>
                </c:pt>
                <c:pt idx="74">
                  <c:v>44208</c:v>
                </c:pt>
                <c:pt idx="75">
                  <c:v>44209</c:v>
                </c:pt>
                <c:pt idx="76">
                  <c:v>44210</c:v>
                </c:pt>
                <c:pt idx="77">
                  <c:v>44211</c:v>
                </c:pt>
                <c:pt idx="78">
                  <c:v>44214</c:v>
                </c:pt>
                <c:pt idx="79">
                  <c:v>44215</c:v>
                </c:pt>
                <c:pt idx="80">
                  <c:v>44216</c:v>
                </c:pt>
                <c:pt idx="81">
                  <c:v>44217</c:v>
                </c:pt>
                <c:pt idx="82">
                  <c:v>44218</c:v>
                </c:pt>
                <c:pt idx="83">
                  <c:v>44221</c:v>
                </c:pt>
                <c:pt idx="84">
                  <c:v>44222</c:v>
                </c:pt>
                <c:pt idx="85">
                  <c:v>44223</c:v>
                </c:pt>
                <c:pt idx="86">
                  <c:v>44224</c:v>
                </c:pt>
                <c:pt idx="87">
                  <c:v>44225</c:v>
                </c:pt>
                <c:pt idx="88">
                  <c:v>44228</c:v>
                </c:pt>
                <c:pt idx="89">
                  <c:v>44229</c:v>
                </c:pt>
                <c:pt idx="90">
                  <c:v>44230</c:v>
                </c:pt>
                <c:pt idx="91">
                  <c:v>44231</c:v>
                </c:pt>
                <c:pt idx="92">
                  <c:v>44232</c:v>
                </c:pt>
                <c:pt idx="93">
                  <c:v>44235</c:v>
                </c:pt>
                <c:pt idx="94">
                  <c:v>44236</c:v>
                </c:pt>
                <c:pt idx="95">
                  <c:v>44237</c:v>
                </c:pt>
                <c:pt idx="96">
                  <c:v>44238</c:v>
                </c:pt>
                <c:pt idx="97">
                  <c:v>44239</c:v>
                </c:pt>
                <c:pt idx="98">
                  <c:v>44242</c:v>
                </c:pt>
                <c:pt idx="99">
                  <c:v>44243</c:v>
                </c:pt>
                <c:pt idx="100">
                  <c:v>44244</c:v>
                </c:pt>
                <c:pt idx="101">
                  <c:v>44245</c:v>
                </c:pt>
                <c:pt idx="102">
                  <c:v>44246</c:v>
                </c:pt>
                <c:pt idx="103">
                  <c:v>44247</c:v>
                </c:pt>
                <c:pt idx="104">
                  <c:v>44249</c:v>
                </c:pt>
                <c:pt idx="105">
                  <c:v>44250</c:v>
                </c:pt>
                <c:pt idx="106">
                  <c:v>44251</c:v>
                </c:pt>
                <c:pt idx="107">
                  <c:v>44252</c:v>
                </c:pt>
                <c:pt idx="108">
                  <c:v>44253</c:v>
                </c:pt>
                <c:pt idx="109">
                  <c:v>44256</c:v>
                </c:pt>
                <c:pt idx="110">
                  <c:v>44257</c:v>
                </c:pt>
                <c:pt idx="111">
                  <c:v>44258</c:v>
                </c:pt>
                <c:pt idx="112">
                  <c:v>44259</c:v>
                </c:pt>
                <c:pt idx="113">
                  <c:v>44260</c:v>
                </c:pt>
                <c:pt idx="114">
                  <c:v>44263</c:v>
                </c:pt>
                <c:pt idx="115">
                  <c:v>44264</c:v>
                </c:pt>
                <c:pt idx="116">
                  <c:v>44265</c:v>
                </c:pt>
                <c:pt idx="117">
                  <c:v>44266</c:v>
                </c:pt>
                <c:pt idx="118">
                  <c:v>44267</c:v>
                </c:pt>
                <c:pt idx="119">
                  <c:v>44270</c:v>
                </c:pt>
                <c:pt idx="120">
                  <c:v>44271</c:v>
                </c:pt>
                <c:pt idx="121">
                  <c:v>44272</c:v>
                </c:pt>
                <c:pt idx="122">
                  <c:v>44273</c:v>
                </c:pt>
                <c:pt idx="123">
                  <c:v>44274</c:v>
                </c:pt>
                <c:pt idx="124">
                  <c:v>44277</c:v>
                </c:pt>
                <c:pt idx="125">
                  <c:v>44278</c:v>
                </c:pt>
                <c:pt idx="126">
                  <c:v>44279</c:v>
                </c:pt>
                <c:pt idx="127">
                  <c:v>44280</c:v>
                </c:pt>
                <c:pt idx="128">
                  <c:v>44281</c:v>
                </c:pt>
                <c:pt idx="129">
                  <c:v>44284</c:v>
                </c:pt>
                <c:pt idx="130">
                  <c:v>44285</c:v>
                </c:pt>
                <c:pt idx="131">
                  <c:v>44286</c:v>
                </c:pt>
                <c:pt idx="132">
                  <c:v>44287</c:v>
                </c:pt>
                <c:pt idx="133">
                  <c:v>44288</c:v>
                </c:pt>
                <c:pt idx="134">
                  <c:v>44291</c:v>
                </c:pt>
                <c:pt idx="135">
                  <c:v>44292</c:v>
                </c:pt>
                <c:pt idx="136">
                  <c:v>44293</c:v>
                </c:pt>
                <c:pt idx="137">
                  <c:v>44294</c:v>
                </c:pt>
                <c:pt idx="138">
                  <c:v>44295</c:v>
                </c:pt>
                <c:pt idx="139">
                  <c:v>44298</c:v>
                </c:pt>
                <c:pt idx="140">
                  <c:v>44299</c:v>
                </c:pt>
                <c:pt idx="141">
                  <c:v>44300</c:v>
                </c:pt>
                <c:pt idx="142">
                  <c:v>44301</c:v>
                </c:pt>
                <c:pt idx="143">
                  <c:v>44302</c:v>
                </c:pt>
                <c:pt idx="144">
                  <c:v>44305</c:v>
                </c:pt>
                <c:pt idx="145">
                  <c:v>44306</c:v>
                </c:pt>
                <c:pt idx="146">
                  <c:v>44307</c:v>
                </c:pt>
                <c:pt idx="147">
                  <c:v>44308</c:v>
                </c:pt>
                <c:pt idx="148">
                  <c:v>44309</c:v>
                </c:pt>
                <c:pt idx="149">
                  <c:v>44311</c:v>
                </c:pt>
                <c:pt idx="150">
                  <c:v>44312</c:v>
                </c:pt>
                <c:pt idx="151">
                  <c:v>44313</c:v>
                </c:pt>
                <c:pt idx="152">
                  <c:v>44314</c:v>
                </c:pt>
                <c:pt idx="153">
                  <c:v>44315</c:v>
                </c:pt>
                <c:pt idx="154">
                  <c:v>44316</c:v>
                </c:pt>
                <c:pt idx="155">
                  <c:v>44319</c:v>
                </c:pt>
                <c:pt idx="156">
                  <c:v>44320</c:v>
                </c:pt>
                <c:pt idx="157">
                  <c:v>44321</c:v>
                </c:pt>
                <c:pt idx="158">
                  <c:v>44322</c:v>
                </c:pt>
                <c:pt idx="159">
                  <c:v>44323</c:v>
                </c:pt>
                <c:pt idx="160">
                  <c:v>44326</c:v>
                </c:pt>
                <c:pt idx="161">
                  <c:v>44327</c:v>
                </c:pt>
                <c:pt idx="162">
                  <c:v>44328</c:v>
                </c:pt>
                <c:pt idx="163">
                  <c:v>44329</c:v>
                </c:pt>
                <c:pt idx="164">
                  <c:v>44330</c:v>
                </c:pt>
                <c:pt idx="165">
                  <c:v>44333</c:v>
                </c:pt>
                <c:pt idx="166">
                  <c:v>44334</c:v>
                </c:pt>
                <c:pt idx="167">
                  <c:v>44335</c:v>
                </c:pt>
                <c:pt idx="168">
                  <c:v>44336</c:v>
                </c:pt>
                <c:pt idx="169">
                  <c:v>44337</c:v>
                </c:pt>
                <c:pt idx="170">
                  <c:v>44340</c:v>
                </c:pt>
                <c:pt idx="171">
                  <c:v>44341</c:v>
                </c:pt>
                <c:pt idx="172">
                  <c:v>44342</c:v>
                </c:pt>
                <c:pt idx="173">
                  <c:v>44343</c:v>
                </c:pt>
                <c:pt idx="174">
                  <c:v>44344</c:v>
                </c:pt>
                <c:pt idx="175">
                  <c:v>44347</c:v>
                </c:pt>
                <c:pt idx="176">
                  <c:v>44348</c:v>
                </c:pt>
                <c:pt idx="177">
                  <c:v>44349</c:v>
                </c:pt>
                <c:pt idx="178">
                  <c:v>44350</c:v>
                </c:pt>
                <c:pt idx="179">
                  <c:v>44351</c:v>
                </c:pt>
                <c:pt idx="180">
                  <c:v>44354</c:v>
                </c:pt>
                <c:pt idx="181">
                  <c:v>44355</c:v>
                </c:pt>
                <c:pt idx="182">
                  <c:v>44356</c:v>
                </c:pt>
                <c:pt idx="183">
                  <c:v>44357</c:v>
                </c:pt>
                <c:pt idx="184">
                  <c:v>44358</c:v>
                </c:pt>
                <c:pt idx="185">
                  <c:v>44361</c:v>
                </c:pt>
                <c:pt idx="186">
                  <c:v>44362</c:v>
                </c:pt>
                <c:pt idx="187">
                  <c:v>44363</c:v>
                </c:pt>
                <c:pt idx="188">
                  <c:v>44364</c:v>
                </c:pt>
                <c:pt idx="189">
                  <c:v>44365</c:v>
                </c:pt>
                <c:pt idx="190">
                  <c:v>44368</c:v>
                </c:pt>
                <c:pt idx="191">
                  <c:v>44369</c:v>
                </c:pt>
                <c:pt idx="192">
                  <c:v>44370</c:v>
                </c:pt>
                <c:pt idx="193">
                  <c:v>44371</c:v>
                </c:pt>
                <c:pt idx="194">
                  <c:v>44372</c:v>
                </c:pt>
                <c:pt idx="195">
                  <c:v>44375</c:v>
                </c:pt>
                <c:pt idx="196">
                  <c:v>44376</c:v>
                </c:pt>
                <c:pt idx="197">
                  <c:v>44377</c:v>
                </c:pt>
                <c:pt idx="198">
                  <c:v>44378</c:v>
                </c:pt>
                <c:pt idx="199">
                  <c:v>44379</c:v>
                </c:pt>
                <c:pt idx="200">
                  <c:v>44382</c:v>
                </c:pt>
                <c:pt idx="201">
                  <c:v>44383</c:v>
                </c:pt>
                <c:pt idx="202">
                  <c:v>44384</c:v>
                </c:pt>
                <c:pt idx="203">
                  <c:v>44385</c:v>
                </c:pt>
                <c:pt idx="204">
                  <c:v>44386</c:v>
                </c:pt>
                <c:pt idx="205">
                  <c:v>44389</c:v>
                </c:pt>
                <c:pt idx="206">
                  <c:v>44390</c:v>
                </c:pt>
                <c:pt idx="207">
                  <c:v>44391</c:v>
                </c:pt>
                <c:pt idx="208">
                  <c:v>44392</c:v>
                </c:pt>
                <c:pt idx="209">
                  <c:v>44393</c:v>
                </c:pt>
                <c:pt idx="210">
                  <c:v>44396</c:v>
                </c:pt>
                <c:pt idx="211">
                  <c:v>44397</c:v>
                </c:pt>
                <c:pt idx="212">
                  <c:v>44398</c:v>
                </c:pt>
                <c:pt idx="213">
                  <c:v>44399</c:v>
                </c:pt>
                <c:pt idx="214">
                  <c:v>44400</c:v>
                </c:pt>
                <c:pt idx="215">
                  <c:v>44403</c:v>
                </c:pt>
                <c:pt idx="216">
                  <c:v>44404</c:v>
                </c:pt>
                <c:pt idx="217">
                  <c:v>44405</c:v>
                </c:pt>
                <c:pt idx="218">
                  <c:v>44406</c:v>
                </c:pt>
                <c:pt idx="219">
                  <c:v>44407</c:v>
                </c:pt>
                <c:pt idx="220">
                  <c:v>44410</c:v>
                </c:pt>
                <c:pt idx="221">
                  <c:v>44411</c:v>
                </c:pt>
                <c:pt idx="222">
                  <c:v>44412</c:v>
                </c:pt>
                <c:pt idx="223">
                  <c:v>44413</c:v>
                </c:pt>
                <c:pt idx="224">
                  <c:v>44414</c:v>
                </c:pt>
                <c:pt idx="225">
                  <c:v>44417</c:v>
                </c:pt>
                <c:pt idx="226">
                  <c:v>44418</c:v>
                </c:pt>
                <c:pt idx="227">
                  <c:v>44419</c:v>
                </c:pt>
                <c:pt idx="228">
                  <c:v>44420</c:v>
                </c:pt>
                <c:pt idx="229">
                  <c:v>44421</c:v>
                </c:pt>
                <c:pt idx="230">
                  <c:v>44424</c:v>
                </c:pt>
                <c:pt idx="231">
                  <c:v>44425</c:v>
                </c:pt>
                <c:pt idx="232">
                  <c:v>44426</c:v>
                </c:pt>
                <c:pt idx="233">
                  <c:v>44427</c:v>
                </c:pt>
                <c:pt idx="234">
                  <c:v>44428</c:v>
                </c:pt>
                <c:pt idx="235">
                  <c:v>44431</c:v>
                </c:pt>
                <c:pt idx="236">
                  <c:v>44432</c:v>
                </c:pt>
                <c:pt idx="237">
                  <c:v>44433</c:v>
                </c:pt>
                <c:pt idx="238">
                  <c:v>44434</c:v>
                </c:pt>
                <c:pt idx="239">
                  <c:v>44435</c:v>
                </c:pt>
                <c:pt idx="240">
                  <c:v>44438</c:v>
                </c:pt>
                <c:pt idx="241">
                  <c:v>44439</c:v>
                </c:pt>
                <c:pt idx="242">
                  <c:v>44440</c:v>
                </c:pt>
                <c:pt idx="243">
                  <c:v>44441</c:v>
                </c:pt>
                <c:pt idx="244">
                  <c:v>44442</c:v>
                </c:pt>
                <c:pt idx="245">
                  <c:v>44445</c:v>
                </c:pt>
                <c:pt idx="246">
                  <c:v>44446</c:v>
                </c:pt>
                <c:pt idx="247">
                  <c:v>44447</c:v>
                </c:pt>
                <c:pt idx="248">
                  <c:v>44448</c:v>
                </c:pt>
                <c:pt idx="249">
                  <c:v>44449</c:v>
                </c:pt>
                <c:pt idx="250">
                  <c:v>44452</c:v>
                </c:pt>
                <c:pt idx="251">
                  <c:v>44453</c:v>
                </c:pt>
                <c:pt idx="252">
                  <c:v>44454</c:v>
                </c:pt>
                <c:pt idx="253">
                  <c:v>44455</c:v>
                </c:pt>
                <c:pt idx="254">
                  <c:v>44456</c:v>
                </c:pt>
                <c:pt idx="255">
                  <c:v>44459</c:v>
                </c:pt>
                <c:pt idx="256">
                  <c:v>44460</c:v>
                </c:pt>
                <c:pt idx="257">
                  <c:v>44461</c:v>
                </c:pt>
                <c:pt idx="258">
                  <c:v>44462</c:v>
                </c:pt>
                <c:pt idx="259">
                  <c:v>44463</c:v>
                </c:pt>
                <c:pt idx="260">
                  <c:v>44466</c:v>
                </c:pt>
                <c:pt idx="261">
                  <c:v>44467</c:v>
                </c:pt>
                <c:pt idx="262">
                  <c:v>44468</c:v>
                </c:pt>
                <c:pt idx="263">
                  <c:v>44469</c:v>
                </c:pt>
                <c:pt idx="264">
                  <c:v>44470</c:v>
                </c:pt>
                <c:pt idx="265">
                  <c:v>44473</c:v>
                </c:pt>
                <c:pt idx="266">
                  <c:v>44474</c:v>
                </c:pt>
                <c:pt idx="267">
                  <c:v>44475</c:v>
                </c:pt>
                <c:pt idx="268">
                  <c:v>44476</c:v>
                </c:pt>
                <c:pt idx="269">
                  <c:v>44477</c:v>
                </c:pt>
                <c:pt idx="270">
                  <c:v>44480</c:v>
                </c:pt>
                <c:pt idx="271">
                  <c:v>44481</c:v>
                </c:pt>
                <c:pt idx="272">
                  <c:v>44482</c:v>
                </c:pt>
                <c:pt idx="273">
                  <c:v>44483</c:v>
                </c:pt>
                <c:pt idx="274">
                  <c:v>44484</c:v>
                </c:pt>
                <c:pt idx="275">
                  <c:v>44487</c:v>
                </c:pt>
                <c:pt idx="276">
                  <c:v>44488</c:v>
                </c:pt>
                <c:pt idx="277">
                  <c:v>44489</c:v>
                </c:pt>
                <c:pt idx="278">
                  <c:v>44490</c:v>
                </c:pt>
                <c:pt idx="279">
                  <c:v>44491</c:v>
                </c:pt>
                <c:pt idx="280">
                  <c:v>44494</c:v>
                </c:pt>
                <c:pt idx="281">
                  <c:v>44495</c:v>
                </c:pt>
                <c:pt idx="282">
                  <c:v>44496</c:v>
                </c:pt>
                <c:pt idx="283">
                  <c:v>44497</c:v>
                </c:pt>
                <c:pt idx="284">
                  <c:v>44498</c:v>
                </c:pt>
                <c:pt idx="285">
                  <c:v>44501</c:v>
                </c:pt>
              </c:numCache>
            </c:numRef>
          </c:cat>
          <c:val>
            <c:numRef>
              <c:f>'Currency Chart'!$AA$6:$AA$291</c:f>
              <c:numCache>
                <c:formatCode>0</c:formatCode>
                <c:ptCount val="286"/>
                <c:pt idx="0" formatCode="General">
                  <c:v>100</c:v>
                </c:pt>
                <c:pt idx="1">
                  <c:v>100.88176758306628</c:v>
                </c:pt>
                <c:pt idx="2">
                  <c:v>100.79811097992916</c:v>
                </c:pt>
                <c:pt idx="3">
                  <c:v>101.93557092258392</c:v>
                </c:pt>
                <c:pt idx="4">
                  <c:v>102.77483555405635</c:v>
                </c:pt>
                <c:pt idx="5">
                  <c:v>103.23966942148762</c:v>
                </c:pt>
                <c:pt idx="6">
                  <c:v>104.46685781750719</c:v>
                </c:pt>
                <c:pt idx="7">
                  <c:v>104.98229043683591</c:v>
                </c:pt>
                <c:pt idx="8">
                  <c:v>105.83842131894083</c:v>
                </c:pt>
                <c:pt idx="9">
                  <c:v>105.63872491145221</c:v>
                </c:pt>
                <c:pt idx="10">
                  <c:v>105.63602631135102</c:v>
                </c:pt>
                <c:pt idx="11">
                  <c:v>104.23073030865243</c:v>
                </c:pt>
                <c:pt idx="12">
                  <c:v>104.25974025974031</c:v>
                </c:pt>
                <c:pt idx="13">
                  <c:v>104.35958846348461</c:v>
                </c:pt>
                <c:pt idx="14">
                  <c:v>105.20694889526065</c:v>
                </c:pt>
                <c:pt idx="15">
                  <c:v>105.00657783774675</c:v>
                </c:pt>
                <c:pt idx="16">
                  <c:v>105.06594703997308</c:v>
                </c:pt>
                <c:pt idx="17">
                  <c:v>104.57884972170693</c:v>
                </c:pt>
                <c:pt idx="18">
                  <c:v>103.94198009782433</c:v>
                </c:pt>
                <c:pt idx="19">
                  <c:v>103.98785629954469</c:v>
                </c:pt>
                <c:pt idx="20">
                  <c:v>103.2376454714118</c:v>
                </c:pt>
                <c:pt idx="21">
                  <c:v>103.04334626412557</c:v>
                </c:pt>
                <c:pt idx="22">
                  <c:v>101.8350480688144</c:v>
                </c:pt>
                <c:pt idx="23">
                  <c:v>101.88834542081305</c:v>
                </c:pt>
                <c:pt idx="24">
                  <c:v>103.01973351324011</c:v>
                </c:pt>
                <c:pt idx="25">
                  <c:v>104.20509360769111</c:v>
                </c:pt>
                <c:pt idx="26">
                  <c:v>107.02580536346781</c:v>
                </c:pt>
                <c:pt idx="27">
                  <c:v>107.40495867768605</c:v>
                </c:pt>
                <c:pt idx="28">
                  <c:v>109.33648170011818</c:v>
                </c:pt>
                <c:pt idx="29">
                  <c:v>108.4587620172037</c:v>
                </c:pt>
                <c:pt idx="30">
                  <c:v>108.30764041153664</c:v>
                </c:pt>
                <c:pt idx="31">
                  <c:v>108.49181986844334</c:v>
                </c:pt>
                <c:pt idx="32">
                  <c:v>108.85680553213031</c:v>
                </c:pt>
                <c:pt idx="33">
                  <c:v>110.22229718333625</c:v>
                </c:pt>
                <c:pt idx="34">
                  <c:v>110.28031708551201</c:v>
                </c:pt>
                <c:pt idx="35">
                  <c:v>110.59200539720031</c:v>
                </c:pt>
                <c:pt idx="36">
                  <c:v>109.96390622364659</c:v>
                </c:pt>
                <c:pt idx="37">
                  <c:v>110.53533479507517</c:v>
                </c:pt>
                <c:pt idx="38">
                  <c:v>111.01636026311363</c:v>
                </c:pt>
                <c:pt idx="39">
                  <c:v>110.87535840782606</c:v>
                </c:pt>
                <c:pt idx="40">
                  <c:v>109.32771124978927</c:v>
                </c:pt>
                <c:pt idx="41">
                  <c:v>110.18384213189418</c:v>
                </c:pt>
                <c:pt idx="42">
                  <c:v>109.98009782425378</c:v>
                </c:pt>
                <c:pt idx="43">
                  <c:v>108.30764041153662</c:v>
                </c:pt>
                <c:pt idx="44">
                  <c:v>110.09748692865587</c:v>
                </c:pt>
                <c:pt idx="45">
                  <c:v>110.68848035081814</c:v>
                </c:pt>
                <c:pt idx="46">
                  <c:v>111.38471917692711</c:v>
                </c:pt>
                <c:pt idx="47">
                  <c:v>112.23612750885492</c:v>
                </c:pt>
                <c:pt idx="48">
                  <c:v>112.39534491482559</c:v>
                </c:pt>
                <c:pt idx="49">
                  <c:v>113.12936414235129</c:v>
                </c:pt>
                <c:pt idx="50">
                  <c:v>113.32163939956163</c:v>
                </c:pt>
                <c:pt idx="51">
                  <c:v>113.22179119581733</c:v>
                </c:pt>
                <c:pt idx="52">
                  <c:v>113.27441389779068</c:v>
                </c:pt>
                <c:pt idx="53">
                  <c:v>113.33513240006764</c:v>
                </c:pt>
                <c:pt idx="54">
                  <c:v>113.20155169505836</c:v>
                </c:pt>
                <c:pt idx="55">
                  <c:v>114.71479170180486</c:v>
                </c:pt>
                <c:pt idx="56">
                  <c:v>115.15061561814825</c:v>
                </c:pt>
                <c:pt idx="57">
                  <c:v>115.07033226513764</c:v>
                </c:pt>
                <c:pt idx="58">
                  <c:v>113.94434137291297</c:v>
                </c:pt>
                <c:pt idx="59">
                  <c:v>114.34305953786489</c:v>
                </c:pt>
                <c:pt idx="60">
                  <c:v>115.03929836397384</c:v>
                </c:pt>
                <c:pt idx="61">
                  <c:v>115.27475122280333</c:v>
                </c:pt>
                <c:pt idx="62">
                  <c:v>115.27475122280333</c:v>
                </c:pt>
                <c:pt idx="63">
                  <c:v>115.5209984820376</c:v>
                </c:pt>
                <c:pt idx="64">
                  <c:v>116.09310170349148</c:v>
                </c:pt>
                <c:pt idx="65">
                  <c:v>117.51121605667076</c:v>
                </c:pt>
                <c:pt idx="66">
                  <c:v>117.97874852420323</c:v>
                </c:pt>
                <c:pt idx="67">
                  <c:v>118.2115027829315</c:v>
                </c:pt>
                <c:pt idx="68">
                  <c:v>119.55338168325197</c:v>
                </c:pt>
                <c:pt idx="69">
                  <c:v>120.9350649350651</c:v>
                </c:pt>
                <c:pt idx="70">
                  <c:v>121.33850565019414</c:v>
                </c:pt>
                <c:pt idx="71">
                  <c:v>120.80283353010643</c:v>
                </c:pt>
                <c:pt idx="72">
                  <c:v>123.0966436161243</c:v>
                </c:pt>
                <c:pt idx="73">
                  <c:v>123.77871479170197</c:v>
                </c:pt>
                <c:pt idx="74">
                  <c:v>124.1679878562997</c:v>
                </c:pt>
                <c:pt idx="75">
                  <c:v>124.75560802833546</c:v>
                </c:pt>
                <c:pt idx="76">
                  <c:v>124.61730477314909</c:v>
                </c:pt>
                <c:pt idx="77">
                  <c:v>123.39821217743311</c:v>
                </c:pt>
                <c:pt idx="78">
                  <c:v>123.5027829313545</c:v>
                </c:pt>
                <c:pt idx="79">
                  <c:v>124.88851408331942</c:v>
                </c:pt>
                <c:pt idx="80">
                  <c:v>125.86743127002882</c:v>
                </c:pt>
                <c:pt idx="81">
                  <c:v>126.29920728622041</c:v>
                </c:pt>
                <c:pt idx="82">
                  <c:v>126.35655253837086</c:v>
                </c:pt>
                <c:pt idx="83">
                  <c:v>127.52032383201229</c:v>
                </c:pt>
                <c:pt idx="84">
                  <c:v>126.05026142688494</c:v>
                </c:pt>
                <c:pt idx="85">
                  <c:v>125.48288075560816</c:v>
                </c:pt>
                <c:pt idx="86">
                  <c:v>122.86591330747189</c:v>
                </c:pt>
                <c:pt idx="87">
                  <c:v>121.5638387586441</c:v>
                </c:pt>
                <c:pt idx="88">
                  <c:v>123.27137797267682</c:v>
                </c:pt>
                <c:pt idx="89">
                  <c:v>125.35672120087719</c:v>
                </c:pt>
                <c:pt idx="90">
                  <c:v>125.99021757463331</c:v>
                </c:pt>
                <c:pt idx="91">
                  <c:v>125.82357901838435</c:v>
                </c:pt>
                <c:pt idx="92">
                  <c:v>126.307303086524</c:v>
                </c:pt>
                <c:pt idx="93">
                  <c:v>127.20931017034927</c:v>
                </c:pt>
                <c:pt idx="94">
                  <c:v>127.91297014673651</c:v>
                </c:pt>
                <c:pt idx="95">
                  <c:v>128.89930848372418</c:v>
                </c:pt>
                <c:pt idx="96">
                  <c:v>129.09360769101042</c:v>
                </c:pt>
                <c:pt idx="97">
                  <c:v>129.11654579187061</c:v>
                </c:pt>
                <c:pt idx="98">
                  <c:v>129.34322820037119</c:v>
                </c:pt>
                <c:pt idx="99">
                  <c:v>129.07336819025144</c:v>
                </c:pt>
                <c:pt idx="100">
                  <c:v>129.33580705009288</c:v>
                </c:pt>
                <c:pt idx="101">
                  <c:v>127.97571259908935</c:v>
                </c:pt>
                <c:pt idx="102">
                  <c:v>128.33732501264981</c:v>
                </c:pt>
                <c:pt idx="103">
                  <c:v>128.33732501264981</c:v>
                </c:pt>
                <c:pt idx="104">
                  <c:v>125.42283690335651</c:v>
                </c:pt>
                <c:pt idx="105">
                  <c:v>125.41878900320471</c:v>
                </c:pt>
                <c:pt idx="106">
                  <c:v>123.65525383707215</c:v>
                </c:pt>
                <c:pt idx="107">
                  <c:v>123.68223983808412</c:v>
                </c:pt>
                <c:pt idx="108">
                  <c:v>119.81986844324518</c:v>
                </c:pt>
                <c:pt idx="109">
                  <c:v>121.31556754933391</c:v>
                </c:pt>
                <c:pt idx="110">
                  <c:v>121.66301231236307</c:v>
                </c:pt>
                <c:pt idx="111">
                  <c:v>123.54191263282183</c:v>
                </c:pt>
                <c:pt idx="112">
                  <c:v>120.80688143025816</c:v>
                </c:pt>
                <c:pt idx="113">
                  <c:v>120.17136110642615</c:v>
                </c:pt>
                <c:pt idx="114">
                  <c:v>117.84921571934569</c:v>
                </c:pt>
                <c:pt idx="115">
                  <c:v>118.25198178444943</c:v>
                </c:pt>
                <c:pt idx="116">
                  <c:v>119.97706189913994</c:v>
                </c:pt>
                <c:pt idx="117">
                  <c:v>121.96188227357069</c:v>
                </c:pt>
                <c:pt idx="118">
                  <c:v>121.32163939956158</c:v>
                </c:pt>
                <c:pt idx="119">
                  <c:v>120.42907741609049</c:v>
                </c:pt>
                <c:pt idx="120">
                  <c:v>121.59284870973192</c:v>
                </c:pt>
                <c:pt idx="121">
                  <c:v>121.22381514589316</c:v>
                </c:pt>
                <c:pt idx="122">
                  <c:v>121.41136785292638</c:v>
                </c:pt>
                <c:pt idx="123">
                  <c:v>120.84668578175081</c:v>
                </c:pt>
                <c:pt idx="124">
                  <c:v>120.96542418620349</c:v>
                </c:pt>
                <c:pt idx="125">
                  <c:v>120.45066621690007</c:v>
                </c:pt>
                <c:pt idx="126">
                  <c:v>119.01501096306299</c:v>
                </c:pt>
                <c:pt idx="127">
                  <c:v>118.00978242536694</c:v>
                </c:pt>
                <c:pt idx="128">
                  <c:v>119.81177264294156</c:v>
                </c:pt>
                <c:pt idx="129">
                  <c:v>119.69235958846357</c:v>
                </c:pt>
                <c:pt idx="130">
                  <c:v>121.13273739247774</c:v>
                </c:pt>
                <c:pt idx="131">
                  <c:v>120.8473604317761</c:v>
                </c:pt>
                <c:pt idx="132">
                  <c:v>122.15348288075569</c:v>
                </c:pt>
                <c:pt idx="133">
                  <c:v>122.56299544611242</c:v>
                </c:pt>
                <c:pt idx="134">
                  <c:v>122.50497554393667</c:v>
                </c:pt>
                <c:pt idx="135">
                  <c:v>122.92528250969818</c:v>
                </c:pt>
                <c:pt idx="136">
                  <c:v>122.09613762860525</c:v>
                </c:pt>
                <c:pt idx="137">
                  <c:v>123.23157362118411</c:v>
                </c:pt>
                <c:pt idx="138">
                  <c:v>122.05430932703671</c:v>
                </c:pt>
                <c:pt idx="139">
                  <c:v>120.29617136110652</c:v>
                </c:pt>
                <c:pt idx="140">
                  <c:v>119.69438353853948</c:v>
                </c:pt>
                <c:pt idx="141">
                  <c:v>120.78191937932206</c:v>
                </c:pt>
                <c:pt idx="142">
                  <c:v>121.49030190588641</c:v>
                </c:pt>
                <c:pt idx="143">
                  <c:v>122.69117895091928</c:v>
                </c:pt>
                <c:pt idx="144">
                  <c:v>122.51846854444264</c:v>
                </c:pt>
                <c:pt idx="145">
                  <c:v>122.52251644459443</c:v>
                </c:pt>
                <c:pt idx="146">
                  <c:v>121.56114015854283</c:v>
                </c:pt>
                <c:pt idx="147">
                  <c:v>121.74329566537365</c:v>
                </c:pt>
                <c:pt idx="148">
                  <c:v>122.73975375274084</c:v>
                </c:pt>
                <c:pt idx="149">
                  <c:v>122.73975375274084</c:v>
                </c:pt>
                <c:pt idx="150">
                  <c:v>123.39753752740775</c:v>
                </c:pt>
                <c:pt idx="151">
                  <c:v>123.6626749873504</c:v>
                </c:pt>
                <c:pt idx="152">
                  <c:v>124.13897790521175</c:v>
                </c:pt>
                <c:pt idx="153">
                  <c:v>124.15382020576834</c:v>
                </c:pt>
                <c:pt idx="154">
                  <c:v>123.11148591668081</c:v>
                </c:pt>
                <c:pt idx="155">
                  <c:v>122.6756620003374</c:v>
                </c:pt>
                <c:pt idx="156">
                  <c:v>122.53938269522693</c:v>
                </c:pt>
                <c:pt idx="157">
                  <c:v>121.99291617473445</c:v>
                </c:pt>
                <c:pt idx="158">
                  <c:v>122.48541069320299</c:v>
                </c:pt>
                <c:pt idx="159">
                  <c:v>122.71614100185539</c:v>
                </c:pt>
                <c:pt idx="160">
                  <c:v>122.5083487940632</c:v>
                </c:pt>
                <c:pt idx="161">
                  <c:v>121.1860347444764</c:v>
                </c:pt>
                <c:pt idx="162">
                  <c:v>120.88041828301579</c:v>
                </c:pt>
                <c:pt idx="163">
                  <c:v>120.09782425366852</c:v>
                </c:pt>
                <c:pt idx="164">
                  <c:v>121.27373924776533</c:v>
                </c:pt>
                <c:pt idx="165">
                  <c:v>122.05498397706201</c:v>
                </c:pt>
                <c:pt idx="166">
                  <c:v>123.78613594198021</c:v>
                </c:pt>
                <c:pt idx="167">
                  <c:v>123.33007252487783</c:v>
                </c:pt>
                <c:pt idx="168">
                  <c:v>123.08922246584596</c:v>
                </c:pt>
                <c:pt idx="169">
                  <c:v>123.65053128689503</c:v>
                </c:pt>
                <c:pt idx="170">
                  <c:v>123.99527744982301</c:v>
                </c:pt>
                <c:pt idx="171">
                  <c:v>126.12379827964254</c:v>
                </c:pt>
                <c:pt idx="172">
                  <c:v>126.80317085511901</c:v>
                </c:pt>
                <c:pt idx="173">
                  <c:v>127.48928993084849</c:v>
                </c:pt>
                <c:pt idx="174">
                  <c:v>127.30241187384055</c:v>
                </c:pt>
                <c:pt idx="175">
                  <c:v>128.50059031877225</c:v>
                </c:pt>
                <c:pt idx="176">
                  <c:v>128.38050261426895</c:v>
                </c:pt>
                <c:pt idx="177">
                  <c:v>127.94737729802675</c:v>
                </c:pt>
                <c:pt idx="178">
                  <c:v>127.87991229549681</c:v>
                </c:pt>
                <c:pt idx="179">
                  <c:v>127.51357733175925</c:v>
                </c:pt>
                <c:pt idx="180">
                  <c:v>127.95277449822915</c:v>
                </c:pt>
                <c:pt idx="181">
                  <c:v>127.16478326867949</c:v>
                </c:pt>
                <c:pt idx="182">
                  <c:v>127.04469556417618</c:v>
                </c:pt>
                <c:pt idx="183">
                  <c:v>127.91499409681238</c:v>
                </c:pt>
                <c:pt idx="184">
                  <c:v>128.12008770450339</c:v>
                </c:pt>
                <c:pt idx="185">
                  <c:v>128.3460954629787</c:v>
                </c:pt>
                <c:pt idx="186">
                  <c:v>128.21116545791881</c:v>
                </c:pt>
                <c:pt idx="187">
                  <c:v>127.22212852082993</c:v>
                </c:pt>
                <c:pt idx="188">
                  <c:v>126.53870804520164</c:v>
                </c:pt>
                <c:pt idx="189">
                  <c:v>126.46517119244402</c:v>
                </c:pt>
                <c:pt idx="190">
                  <c:v>125.44240175409016</c:v>
                </c:pt>
                <c:pt idx="191">
                  <c:v>125.39720020239511</c:v>
                </c:pt>
                <c:pt idx="192">
                  <c:v>126.17979423174238</c:v>
                </c:pt>
                <c:pt idx="193">
                  <c:v>127.1168831168832</c:v>
                </c:pt>
                <c:pt idx="194">
                  <c:v>127.75442739079111</c:v>
                </c:pt>
                <c:pt idx="195">
                  <c:v>127.84752909428241</c:v>
                </c:pt>
                <c:pt idx="196">
                  <c:v>127.63568898633841</c:v>
                </c:pt>
                <c:pt idx="197">
                  <c:v>127.35098667566207</c:v>
                </c:pt>
                <c:pt idx="198">
                  <c:v>127.07303086523872</c:v>
                </c:pt>
                <c:pt idx="199">
                  <c:v>125.88294822061063</c:v>
                </c:pt>
                <c:pt idx="200">
                  <c:v>126.44425704165971</c:v>
                </c:pt>
                <c:pt idx="201">
                  <c:v>125.10844999156694</c:v>
                </c:pt>
                <c:pt idx="202">
                  <c:v>125.82088041828308</c:v>
                </c:pt>
                <c:pt idx="203">
                  <c:v>124.23882610895603</c:v>
                </c:pt>
                <c:pt idx="204">
                  <c:v>124.09377635351667</c:v>
                </c:pt>
                <c:pt idx="205">
                  <c:v>124.85410693202907</c:v>
                </c:pt>
                <c:pt idx="206">
                  <c:v>125.40259740259746</c:v>
                </c:pt>
                <c:pt idx="207">
                  <c:v>125.79996626749882</c:v>
                </c:pt>
                <c:pt idx="208">
                  <c:v>126.81733850565026</c:v>
                </c:pt>
                <c:pt idx="209">
                  <c:v>125.6926969134762</c:v>
                </c:pt>
                <c:pt idx="210">
                  <c:v>124.49924101872162</c:v>
                </c:pt>
                <c:pt idx="211">
                  <c:v>124.56198347107444</c:v>
                </c:pt>
                <c:pt idx="212">
                  <c:v>124.86692528250975</c:v>
                </c:pt>
                <c:pt idx="213">
                  <c:v>125.50919210659475</c:v>
                </c:pt>
                <c:pt idx="214">
                  <c:v>124.47090571765902</c:v>
                </c:pt>
                <c:pt idx="215">
                  <c:v>123.41237982796429</c:v>
                </c:pt>
                <c:pt idx="216">
                  <c:v>121.57193455894759</c:v>
                </c:pt>
                <c:pt idx="217">
                  <c:v>122.64192949907239</c:v>
                </c:pt>
                <c:pt idx="218">
                  <c:v>124.05262270197339</c:v>
                </c:pt>
                <c:pt idx="219">
                  <c:v>122.46449654241866</c:v>
                </c:pt>
                <c:pt idx="220">
                  <c:v>124.22735705852591</c:v>
                </c:pt>
                <c:pt idx="221">
                  <c:v>125.49502445606346</c:v>
                </c:pt>
                <c:pt idx="222">
                  <c:v>126.22432113341209</c:v>
                </c:pt>
                <c:pt idx="223">
                  <c:v>126.12784617979428</c:v>
                </c:pt>
                <c:pt idx="224">
                  <c:v>124.86827458256033</c:v>
                </c:pt>
                <c:pt idx="225">
                  <c:v>124.80553213020751</c:v>
                </c:pt>
                <c:pt idx="226">
                  <c:v>125.47478495530447</c:v>
                </c:pt>
                <c:pt idx="227">
                  <c:v>125.12868949232589</c:v>
                </c:pt>
                <c:pt idx="228">
                  <c:v>125.04773148928996</c:v>
                </c:pt>
                <c:pt idx="229">
                  <c:v>125.11924439197168</c:v>
                </c:pt>
                <c:pt idx="230">
                  <c:v>125.06594703997303</c:v>
                </c:pt>
                <c:pt idx="231">
                  <c:v>124.84398718164952</c:v>
                </c:pt>
                <c:pt idx="232">
                  <c:v>124.94788328554561</c:v>
                </c:pt>
                <c:pt idx="233">
                  <c:v>123.38067127677516</c:v>
                </c:pt>
                <c:pt idx="234">
                  <c:v>122.22094788328553</c:v>
                </c:pt>
                <c:pt idx="235">
                  <c:v>123.71597233934895</c:v>
                </c:pt>
                <c:pt idx="236">
                  <c:v>124.67599932534998</c:v>
                </c:pt>
                <c:pt idx="237">
                  <c:v>125.17524034407151</c:v>
                </c:pt>
                <c:pt idx="238">
                  <c:v>123.82526564344747</c:v>
                </c:pt>
                <c:pt idx="239">
                  <c:v>124.46415921740596</c:v>
                </c:pt>
                <c:pt idx="240">
                  <c:v>125.63197841119921</c:v>
                </c:pt>
                <c:pt idx="241">
                  <c:v>126.83622870635861</c:v>
                </c:pt>
                <c:pt idx="242">
                  <c:v>127.28284702310683</c:v>
                </c:pt>
                <c:pt idx="243">
                  <c:v>127.5209984820375</c:v>
                </c:pt>
                <c:pt idx="244">
                  <c:v>128.33057851239676</c:v>
                </c:pt>
                <c:pt idx="245">
                  <c:v>128.82712093101708</c:v>
                </c:pt>
                <c:pt idx="246">
                  <c:v>128.1571934558948</c:v>
                </c:pt>
                <c:pt idx="247">
                  <c:v>126.90436835891386</c:v>
                </c:pt>
                <c:pt idx="248">
                  <c:v>127.08045201551701</c:v>
                </c:pt>
                <c:pt idx="249">
                  <c:v>127.70045538876714</c:v>
                </c:pt>
                <c:pt idx="250">
                  <c:v>126.99949401248109</c:v>
                </c:pt>
                <c:pt idx="251">
                  <c:v>126.67026480013499</c:v>
                </c:pt>
                <c:pt idx="252">
                  <c:v>126.3261932872323</c:v>
                </c:pt>
                <c:pt idx="253">
                  <c:v>125.33985495024461</c:v>
                </c:pt>
                <c:pt idx="254">
                  <c:v>125.52943160735374</c:v>
                </c:pt>
                <c:pt idx="255">
                  <c:v>124.24287400910782</c:v>
                </c:pt>
                <c:pt idx="256">
                  <c:v>124.98903693708894</c:v>
                </c:pt>
                <c:pt idx="257">
                  <c:v>124.71175577669088</c:v>
                </c:pt>
                <c:pt idx="258">
                  <c:v>125.07471749030196</c:v>
                </c:pt>
                <c:pt idx="259">
                  <c:v>125.00927643784792</c:v>
                </c:pt>
                <c:pt idx="260">
                  <c:v>124.62877382357905</c:v>
                </c:pt>
                <c:pt idx="261">
                  <c:v>123.11418451678195</c:v>
                </c:pt>
                <c:pt idx="262">
                  <c:v>122.5285882948221</c:v>
                </c:pt>
                <c:pt idx="263">
                  <c:v>123.13374936751565</c:v>
                </c:pt>
                <c:pt idx="264">
                  <c:v>122.58053634677016</c:v>
                </c:pt>
                <c:pt idx="265">
                  <c:v>122.18384213189412</c:v>
                </c:pt>
                <c:pt idx="266">
                  <c:v>122.57918704671957</c:v>
                </c:pt>
                <c:pt idx="267">
                  <c:v>121.43767920391302</c:v>
                </c:pt>
                <c:pt idx="268">
                  <c:v>123.43936582897626</c:v>
                </c:pt>
                <c:pt idx="269">
                  <c:v>123.73553719008268</c:v>
                </c:pt>
                <c:pt idx="270">
                  <c:v>123.23899477146236</c:v>
                </c:pt>
                <c:pt idx="271">
                  <c:v>122.86793725754769</c:v>
                </c:pt>
                <c:pt idx="272">
                  <c:v>123.74970484061397</c:v>
                </c:pt>
                <c:pt idx="273">
                  <c:v>124.23815145893073</c:v>
                </c:pt>
                <c:pt idx="274">
                  <c:v>125.05920053972008</c:v>
                </c:pt>
                <c:pt idx="275">
                  <c:v>124.42570416596396</c:v>
                </c:pt>
                <c:pt idx="276">
                  <c:v>125.82695226851077</c:v>
                </c:pt>
                <c:pt idx="277">
                  <c:v>125.72103221453878</c:v>
                </c:pt>
                <c:pt idx="278">
                  <c:v>124.47292966773493</c:v>
                </c:pt>
                <c:pt idx="279">
                  <c:v>124.75628267836066</c:v>
                </c:pt>
                <c:pt idx="280">
                  <c:v>124.08298195311188</c:v>
                </c:pt>
                <c:pt idx="281">
                  <c:v>124.22330915837414</c:v>
                </c:pt>
                <c:pt idx="282">
                  <c:v>123.46162927981115</c:v>
                </c:pt>
                <c:pt idx="283">
                  <c:v>122.69860010119756</c:v>
                </c:pt>
                <c:pt idx="284">
                  <c:v>122.13256872997138</c:v>
                </c:pt>
              </c:numCache>
            </c:numRef>
          </c:val>
          <c:smooth val="0"/>
          <c:extLst>
            <c:ext xmlns:c16="http://schemas.microsoft.com/office/drawing/2014/chart" uri="{C3380CC4-5D6E-409C-BE32-E72D297353CC}">
              <c16:uniqueId val="{00000002-61DB-4070-8C60-273A3892C606}"/>
            </c:ext>
          </c:extLst>
        </c:ser>
        <c:dLbls>
          <c:showLegendKey val="0"/>
          <c:showVal val="0"/>
          <c:showCatName val="0"/>
          <c:showSerName val="0"/>
          <c:showPercent val="0"/>
          <c:showBubbleSize val="0"/>
        </c:dLbls>
        <c:smooth val="0"/>
        <c:axId val="556308944"/>
        <c:axId val="556308160"/>
        <c:extLst>
          <c:ext xmlns:c15="http://schemas.microsoft.com/office/drawing/2012/chart" uri="{02D57815-91ED-43cb-92C2-25804820EDAC}">
            <c15:filteredLineSeries>
              <c15:ser>
                <c:idx val="0"/>
                <c:order val="0"/>
                <c:tx>
                  <c:strRef>
                    <c:extLst>
                      <c:ext uri="{02D57815-91ED-43cb-92C2-25804820EDAC}">
                        <c15:formulaRef>
                          <c15:sqref>'Currency Chart'!$P$5</c15:sqref>
                        </c15:formulaRef>
                      </c:ext>
                    </c:extLst>
                    <c:strCache>
                      <c:ptCount val="1"/>
                      <c:pt idx="0">
                        <c:v>Real</c:v>
                      </c:pt>
                    </c:strCache>
                  </c:strRef>
                </c:tx>
                <c:spPr>
                  <a:ln w="28575" cap="rnd">
                    <a:solidFill>
                      <a:schemeClr val="accent1"/>
                    </a:solidFill>
                    <a:round/>
                  </a:ln>
                  <a:effectLst/>
                </c:spPr>
                <c:marker>
                  <c:symbol val="none"/>
                </c:marker>
                <c:cat>
                  <c:numRef>
                    <c:extLst>
                      <c:ext uri="{02D57815-91ED-43cb-92C2-25804820EDAC}">
                        <c15:formulaRef>
                          <c15:sqref>'Currency Chart'!$O$6:$O$291</c15:sqref>
                        </c15:formulaRef>
                      </c:ext>
                    </c:extLst>
                    <c:numCache>
                      <c:formatCode>m/d/yyyy</c:formatCode>
                      <c:ptCount val="286"/>
                      <c:pt idx="0">
                        <c:v>44104</c:v>
                      </c:pt>
                      <c:pt idx="1">
                        <c:v>44105</c:v>
                      </c:pt>
                      <c:pt idx="2">
                        <c:v>44106</c:v>
                      </c:pt>
                      <c:pt idx="3">
                        <c:v>44109</c:v>
                      </c:pt>
                      <c:pt idx="4">
                        <c:v>44110</c:v>
                      </c:pt>
                      <c:pt idx="5">
                        <c:v>44111</c:v>
                      </c:pt>
                      <c:pt idx="6">
                        <c:v>44112</c:v>
                      </c:pt>
                      <c:pt idx="7">
                        <c:v>44113</c:v>
                      </c:pt>
                      <c:pt idx="8">
                        <c:v>44116</c:v>
                      </c:pt>
                      <c:pt idx="9">
                        <c:v>44117</c:v>
                      </c:pt>
                      <c:pt idx="10">
                        <c:v>44118</c:v>
                      </c:pt>
                      <c:pt idx="11">
                        <c:v>44119</c:v>
                      </c:pt>
                      <c:pt idx="12">
                        <c:v>44120</c:v>
                      </c:pt>
                      <c:pt idx="13">
                        <c:v>44123</c:v>
                      </c:pt>
                      <c:pt idx="14">
                        <c:v>44124</c:v>
                      </c:pt>
                      <c:pt idx="15">
                        <c:v>44125</c:v>
                      </c:pt>
                      <c:pt idx="16">
                        <c:v>44126</c:v>
                      </c:pt>
                      <c:pt idx="17">
                        <c:v>44127</c:v>
                      </c:pt>
                      <c:pt idx="18">
                        <c:v>44130</c:v>
                      </c:pt>
                      <c:pt idx="19">
                        <c:v>44131</c:v>
                      </c:pt>
                      <c:pt idx="20">
                        <c:v>44132</c:v>
                      </c:pt>
                      <c:pt idx="21">
                        <c:v>44133</c:v>
                      </c:pt>
                      <c:pt idx="22">
                        <c:v>44134</c:v>
                      </c:pt>
                      <c:pt idx="23">
                        <c:v>44137</c:v>
                      </c:pt>
                      <c:pt idx="24">
                        <c:v>44138</c:v>
                      </c:pt>
                      <c:pt idx="25">
                        <c:v>44139</c:v>
                      </c:pt>
                      <c:pt idx="26">
                        <c:v>44140</c:v>
                      </c:pt>
                      <c:pt idx="27">
                        <c:v>44141</c:v>
                      </c:pt>
                      <c:pt idx="28">
                        <c:v>44144</c:v>
                      </c:pt>
                      <c:pt idx="29">
                        <c:v>44145</c:v>
                      </c:pt>
                      <c:pt idx="30">
                        <c:v>44146</c:v>
                      </c:pt>
                      <c:pt idx="31">
                        <c:v>44147</c:v>
                      </c:pt>
                      <c:pt idx="32">
                        <c:v>44148</c:v>
                      </c:pt>
                      <c:pt idx="33">
                        <c:v>44151</c:v>
                      </c:pt>
                      <c:pt idx="34">
                        <c:v>44152</c:v>
                      </c:pt>
                      <c:pt idx="35">
                        <c:v>44153</c:v>
                      </c:pt>
                      <c:pt idx="36">
                        <c:v>44154</c:v>
                      </c:pt>
                      <c:pt idx="37">
                        <c:v>44155</c:v>
                      </c:pt>
                      <c:pt idx="38">
                        <c:v>44158</c:v>
                      </c:pt>
                      <c:pt idx="39">
                        <c:v>44159</c:v>
                      </c:pt>
                      <c:pt idx="40">
                        <c:v>44160</c:v>
                      </c:pt>
                      <c:pt idx="41">
                        <c:v>44161</c:v>
                      </c:pt>
                      <c:pt idx="42">
                        <c:v>44162</c:v>
                      </c:pt>
                      <c:pt idx="43">
                        <c:v>44165</c:v>
                      </c:pt>
                      <c:pt idx="44">
                        <c:v>44166</c:v>
                      </c:pt>
                      <c:pt idx="45">
                        <c:v>44167</c:v>
                      </c:pt>
                      <c:pt idx="46">
                        <c:v>44168</c:v>
                      </c:pt>
                      <c:pt idx="47">
                        <c:v>44169</c:v>
                      </c:pt>
                      <c:pt idx="48">
                        <c:v>44172</c:v>
                      </c:pt>
                      <c:pt idx="49">
                        <c:v>44173</c:v>
                      </c:pt>
                      <c:pt idx="50">
                        <c:v>44174</c:v>
                      </c:pt>
                      <c:pt idx="51">
                        <c:v>44175</c:v>
                      </c:pt>
                      <c:pt idx="52">
                        <c:v>44176</c:v>
                      </c:pt>
                      <c:pt idx="53">
                        <c:v>44179</c:v>
                      </c:pt>
                      <c:pt idx="54">
                        <c:v>44180</c:v>
                      </c:pt>
                      <c:pt idx="55">
                        <c:v>44181</c:v>
                      </c:pt>
                      <c:pt idx="56">
                        <c:v>44182</c:v>
                      </c:pt>
                      <c:pt idx="57">
                        <c:v>44183</c:v>
                      </c:pt>
                      <c:pt idx="58">
                        <c:v>44186</c:v>
                      </c:pt>
                      <c:pt idx="59">
                        <c:v>44187</c:v>
                      </c:pt>
                      <c:pt idx="60">
                        <c:v>44188</c:v>
                      </c:pt>
                      <c:pt idx="61">
                        <c:v>44189</c:v>
                      </c:pt>
                      <c:pt idx="62">
                        <c:v>44190</c:v>
                      </c:pt>
                      <c:pt idx="63">
                        <c:v>44193</c:v>
                      </c:pt>
                      <c:pt idx="64">
                        <c:v>44194</c:v>
                      </c:pt>
                      <c:pt idx="65">
                        <c:v>44195</c:v>
                      </c:pt>
                      <c:pt idx="66">
                        <c:v>44196</c:v>
                      </c:pt>
                      <c:pt idx="67">
                        <c:v>44197</c:v>
                      </c:pt>
                      <c:pt idx="68">
                        <c:v>44200</c:v>
                      </c:pt>
                      <c:pt idx="69">
                        <c:v>44201</c:v>
                      </c:pt>
                      <c:pt idx="70">
                        <c:v>44202</c:v>
                      </c:pt>
                      <c:pt idx="71">
                        <c:v>44203</c:v>
                      </c:pt>
                      <c:pt idx="72">
                        <c:v>44204</c:v>
                      </c:pt>
                      <c:pt idx="73">
                        <c:v>44207</c:v>
                      </c:pt>
                      <c:pt idx="74">
                        <c:v>44208</c:v>
                      </c:pt>
                      <c:pt idx="75">
                        <c:v>44209</c:v>
                      </c:pt>
                      <c:pt idx="76">
                        <c:v>44210</c:v>
                      </c:pt>
                      <c:pt idx="77">
                        <c:v>44211</c:v>
                      </c:pt>
                      <c:pt idx="78">
                        <c:v>44214</c:v>
                      </c:pt>
                      <c:pt idx="79">
                        <c:v>44215</c:v>
                      </c:pt>
                      <c:pt idx="80">
                        <c:v>44216</c:v>
                      </c:pt>
                      <c:pt idx="81">
                        <c:v>44217</c:v>
                      </c:pt>
                      <c:pt idx="82">
                        <c:v>44218</c:v>
                      </c:pt>
                      <c:pt idx="83">
                        <c:v>44221</c:v>
                      </c:pt>
                      <c:pt idx="84">
                        <c:v>44222</c:v>
                      </c:pt>
                      <c:pt idx="85">
                        <c:v>44223</c:v>
                      </c:pt>
                      <c:pt idx="86">
                        <c:v>44224</c:v>
                      </c:pt>
                      <c:pt idx="87">
                        <c:v>44225</c:v>
                      </c:pt>
                      <c:pt idx="88">
                        <c:v>44228</c:v>
                      </c:pt>
                      <c:pt idx="89">
                        <c:v>44229</c:v>
                      </c:pt>
                      <c:pt idx="90">
                        <c:v>44230</c:v>
                      </c:pt>
                      <c:pt idx="91">
                        <c:v>44231</c:v>
                      </c:pt>
                      <c:pt idx="92">
                        <c:v>44232</c:v>
                      </c:pt>
                      <c:pt idx="93">
                        <c:v>44235</c:v>
                      </c:pt>
                      <c:pt idx="94">
                        <c:v>44236</c:v>
                      </c:pt>
                      <c:pt idx="95">
                        <c:v>44237</c:v>
                      </c:pt>
                      <c:pt idx="96">
                        <c:v>44238</c:v>
                      </c:pt>
                      <c:pt idx="97">
                        <c:v>44239</c:v>
                      </c:pt>
                      <c:pt idx="98">
                        <c:v>44242</c:v>
                      </c:pt>
                      <c:pt idx="99">
                        <c:v>44243</c:v>
                      </c:pt>
                      <c:pt idx="100">
                        <c:v>44244</c:v>
                      </c:pt>
                      <c:pt idx="101">
                        <c:v>44245</c:v>
                      </c:pt>
                      <c:pt idx="102">
                        <c:v>44246</c:v>
                      </c:pt>
                      <c:pt idx="103">
                        <c:v>44247</c:v>
                      </c:pt>
                      <c:pt idx="104">
                        <c:v>44249</c:v>
                      </c:pt>
                      <c:pt idx="105">
                        <c:v>44250</c:v>
                      </c:pt>
                      <c:pt idx="106">
                        <c:v>44251</c:v>
                      </c:pt>
                      <c:pt idx="107">
                        <c:v>44252</c:v>
                      </c:pt>
                      <c:pt idx="108">
                        <c:v>44253</c:v>
                      </c:pt>
                      <c:pt idx="109">
                        <c:v>44256</c:v>
                      </c:pt>
                      <c:pt idx="110">
                        <c:v>44257</c:v>
                      </c:pt>
                      <c:pt idx="111">
                        <c:v>44258</c:v>
                      </c:pt>
                      <c:pt idx="112">
                        <c:v>44259</c:v>
                      </c:pt>
                      <c:pt idx="113">
                        <c:v>44260</c:v>
                      </c:pt>
                      <c:pt idx="114">
                        <c:v>44263</c:v>
                      </c:pt>
                      <c:pt idx="115">
                        <c:v>44264</c:v>
                      </c:pt>
                      <c:pt idx="116">
                        <c:v>44265</c:v>
                      </c:pt>
                      <c:pt idx="117">
                        <c:v>44266</c:v>
                      </c:pt>
                      <c:pt idx="118">
                        <c:v>44267</c:v>
                      </c:pt>
                      <c:pt idx="119">
                        <c:v>44270</c:v>
                      </c:pt>
                      <c:pt idx="120">
                        <c:v>44271</c:v>
                      </c:pt>
                      <c:pt idx="121">
                        <c:v>44272</c:v>
                      </c:pt>
                      <c:pt idx="122">
                        <c:v>44273</c:v>
                      </c:pt>
                      <c:pt idx="123">
                        <c:v>44274</c:v>
                      </c:pt>
                      <c:pt idx="124">
                        <c:v>44277</c:v>
                      </c:pt>
                      <c:pt idx="125">
                        <c:v>44278</c:v>
                      </c:pt>
                      <c:pt idx="126">
                        <c:v>44279</c:v>
                      </c:pt>
                      <c:pt idx="127">
                        <c:v>44280</c:v>
                      </c:pt>
                      <c:pt idx="128">
                        <c:v>44281</c:v>
                      </c:pt>
                      <c:pt idx="129">
                        <c:v>44284</c:v>
                      </c:pt>
                      <c:pt idx="130">
                        <c:v>44285</c:v>
                      </c:pt>
                      <c:pt idx="131">
                        <c:v>44286</c:v>
                      </c:pt>
                      <c:pt idx="132">
                        <c:v>44287</c:v>
                      </c:pt>
                      <c:pt idx="133">
                        <c:v>44288</c:v>
                      </c:pt>
                      <c:pt idx="134">
                        <c:v>44291</c:v>
                      </c:pt>
                      <c:pt idx="135">
                        <c:v>44292</c:v>
                      </c:pt>
                      <c:pt idx="136">
                        <c:v>44293</c:v>
                      </c:pt>
                      <c:pt idx="137">
                        <c:v>44294</c:v>
                      </c:pt>
                      <c:pt idx="138">
                        <c:v>44295</c:v>
                      </c:pt>
                      <c:pt idx="139">
                        <c:v>44298</c:v>
                      </c:pt>
                      <c:pt idx="140">
                        <c:v>44299</c:v>
                      </c:pt>
                      <c:pt idx="141">
                        <c:v>44300</c:v>
                      </c:pt>
                      <c:pt idx="142">
                        <c:v>44301</c:v>
                      </c:pt>
                      <c:pt idx="143">
                        <c:v>44302</c:v>
                      </c:pt>
                      <c:pt idx="144">
                        <c:v>44305</c:v>
                      </c:pt>
                      <c:pt idx="145">
                        <c:v>44306</c:v>
                      </c:pt>
                      <c:pt idx="146">
                        <c:v>44307</c:v>
                      </c:pt>
                      <c:pt idx="147">
                        <c:v>44308</c:v>
                      </c:pt>
                      <c:pt idx="148">
                        <c:v>44309</c:v>
                      </c:pt>
                      <c:pt idx="149">
                        <c:v>44311</c:v>
                      </c:pt>
                      <c:pt idx="150">
                        <c:v>44312</c:v>
                      </c:pt>
                      <c:pt idx="151">
                        <c:v>44313</c:v>
                      </c:pt>
                      <c:pt idx="152">
                        <c:v>44314</c:v>
                      </c:pt>
                      <c:pt idx="153">
                        <c:v>44315</c:v>
                      </c:pt>
                      <c:pt idx="154">
                        <c:v>44316</c:v>
                      </c:pt>
                      <c:pt idx="155">
                        <c:v>44319</c:v>
                      </c:pt>
                      <c:pt idx="156">
                        <c:v>44320</c:v>
                      </c:pt>
                      <c:pt idx="157">
                        <c:v>44321</c:v>
                      </c:pt>
                      <c:pt idx="158">
                        <c:v>44322</c:v>
                      </c:pt>
                      <c:pt idx="159">
                        <c:v>44323</c:v>
                      </c:pt>
                      <c:pt idx="160">
                        <c:v>44326</c:v>
                      </c:pt>
                      <c:pt idx="161">
                        <c:v>44327</c:v>
                      </c:pt>
                      <c:pt idx="162">
                        <c:v>44328</c:v>
                      </c:pt>
                      <c:pt idx="163">
                        <c:v>44329</c:v>
                      </c:pt>
                      <c:pt idx="164">
                        <c:v>44330</c:v>
                      </c:pt>
                      <c:pt idx="165">
                        <c:v>44333</c:v>
                      </c:pt>
                      <c:pt idx="166">
                        <c:v>44334</c:v>
                      </c:pt>
                      <c:pt idx="167">
                        <c:v>44335</c:v>
                      </c:pt>
                      <c:pt idx="168">
                        <c:v>44336</c:v>
                      </c:pt>
                      <c:pt idx="169">
                        <c:v>44337</c:v>
                      </c:pt>
                      <c:pt idx="170">
                        <c:v>44340</c:v>
                      </c:pt>
                      <c:pt idx="171">
                        <c:v>44341</c:v>
                      </c:pt>
                      <c:pt idx="172">
                        <c:v>44342</c:v>
                      </c:pt>
                      <c:pt idx="173">
                        <c:v>44343</c:v>
                      </c:pt>
                      <c:pt idx="174">
                        <c:v>44344</c:v>
                      </c:pt>
                      <c:pt idx="175">
                        <c:v>44347</c:v>
                      </c:pt>
                      <c:pt idx="176">
                        <c:v>44348</c:v>
                      </c:pt>
                      <c:pt idx="177">
                        <c:v>44349</c:v>
                      </c:pt>
                      <c:pt idx="178">
                        <c:v>44350</c:v>
                      </c:pt>
                      <c:pt idx="179">
                        <c:v>44351</c:v>
                      </c:pt>
                      <c:pt idx="180">
                        <c:v>44354</c:v>
                      </c:pt>
                      <c:pt idx="181">
                        <c:v>44355</c:v>
                      </c:pt>
                      <c:pt idx="182">
                        <c:v>44356</c:v>
                      </c:pt>
                      <c:pt idx="183">
                        <c:v>44357</c:v>
                      </c:pt>
                      <c:pt idx="184">
                        <c:v>44358</c:v>
                      </c:pt>
                      <c:pt idx="185">
                        <c:v>44361</c:v>
                      </c:pt>
                      <c:pt idx="186">
                        <c:v>44362</c:v>
                      </c:pt>
                      <c:pt idx="187">
                        <c:v>44363</c:v>
                      </c:pt>
                      <c:pt idx="188">
                        <c:v>44364</c:v>
                      </c:pt>
                      <c:pt idx="189">
                        <c:v>44365</c:v>
                      </c:pt>
                      <c:pt idx="190">
                        <c:v>44368</c:v>
                      </c:pt>
                      <c:pt idx="191">
                        <c:v>44369</c:v>
                      </c:pt>
                      <c:pt idx="192">
                        <c:v>44370</c:v>
                      </c:pt>
                      <c:pt idx="193">
                        <c:v>44371</c:v>
                      </c:pt>
                      <c:pt idx="194">
                        <c:v>44372</c:v>
                      </c:pt>
                      <c:pt idx="195">
                        <c:v>44375</c:v>
                      </c:pt>
                      <c:pt idx="196">
                        <c:v>44376</c:v>
                      </c:pt>
                      <c:pt idx="197">
                        <c:v>44377</c:v>
                      </c:pt>
                      <c:pt idx="198">
                        <c:v>44378</c:v>
                      </c:pt>
                      <c:pt idx="199">
                        <c:v>44379</c:v>
                      </c:pt>
                      <c:pt idx="200">
                        <c:v>44382</c:v>
                      </c:pt>
                      <c:pt idx="201">
                        <c:v>44383</c:v>
                      </c:pt>
                      <c:pt idx="202">
                        <c:v>44384</c:v>
                      </c:pt>
                      <c:pt idx="203">
                        <c:v>44385</c:v>
                      </c:pt>
                      <c:pt idx="204">
                        <c:v>44386</c:v>
                      </c:pt>
                      <c:pt idx="205">
                        <c:v>44389</c:v>
                      </c:pt>
                      <c:pt idx="206">
                        <c:v>44390</c:v>
                      </c:pt>
                      <c:pt idx="207">
                        <c:v>44391</c:v>
                      </c:pt>
                      <c:pt idx="208">
                        <c:v>44392</c:v>
                      </c:pt>
                      <c:pt idx="209">
                        <c:v>44393</c:v>
                      </c:pt>
                      <c:pt idx="210">
                        <c:v>44396</c:v>
                      </c:pt>
                      <c:pt idx="211">
                        <c:v>44397</c:v>
                      </c:pt>
                      <c:pt idx="212">
                        <c:v>44398</c:v>
                      </c:pt>
                      <c:pt idx="213">
                        <c:v>44399</c:v>
                      </c:pt>
                      <c:pt idx="214">
                        <c:v>44400</c:v>
                      </c:pt>
                      <c:pt idx="215">
                        <c:v>44403</c:v>
                      </c:pt>
                      <c:pt idx="216">
                        <c:v>44404</c:v>
                      </c:pt>
                      <c:pt idx="217">
                        <c:v>44405</c:v>
                      </c:pt>
                      <c:pt idx="218">
                        <c:v>44406</c:v>
                      </c:pt>
                      <c:pt idx="219">
                        <c:v>44407</c:v>
                      </c:pt>
                      <c:pt idx="220">
                        <c:v>44410</c:v>
                      </c:pt>
                      <c:pt idx="221">
                        <c:v>44411</c:v>
                      </c:pt>
                      <c:pt idx="222">
                        <c:v>44412</c:v>
                      </c:pt>
                      <c:pt idx="223">
                        <c:v>44413</c:v>
                      </c:pt>
                      <c:pt idx="224">
                        <c:v>44414</c:v>
                      </c:pt>
                      <c:pt idx="225">
                        <c:v>44417</c:v>
                      </c:pt>
                      <c:pt idx="226">
                        <c:v>44418</c:v>
                      </c:pt>
                      <c:pt idx="227">
                        <c:v>44419</c:v>
                      </c:pt>
                      <c:pt idx="228">
                        <c:v>44420</c:v>
                      </c:pt>
                      <c:pt idx="229">
                        <c:v>44421</c:v>
                      </c:pt>
                      <c:pt idx="230">
                        <c:v>44424</c:v>
                      </c:pt>
                      <c:pt idx="231">
                        <c:v>44425</c:v>
                      </c:pt>
                      <c:pt idx="232">
                        <c:v>44426</c:v>
                      </c:pt>
                      <c:pt idx="233">
                        <c:v>44427</c:v>
                      </c:pt>
                      <c:pt idx="234">
                        <c:v>44428</c:v>
                      </c:pt>
                      <c:pt idx="235">
                        <c:v>44431</c:v>
                      </c:pt>
                      <c:pt idx="236">
                        <c:v>44432</c:v>
                      </c:pt>
                      <c:pt idx="237">
                        <c:v>44433</c:v>
                      </c:pt>
                      <c:pt idx="238">
                        <c:v>44434</c:v>
                      </c:pt>
                      <c:pt idx="239">
                        <c:v>44435</c:v>
                      </c:pt>
                      <c:pt idx="240">
                        <c:v>44438</c:v>
                      </c:pt>
                      <c:pt idx="241">
                        <c:v>44439</c:v>
                      </c:pt>
                      <c:pt idx="242">
                        <c:v>44440</c:v>
                      </c:pt>
                      <c:pt idx="243">
                        <c:v>44441</c:v>
                      </c:pt>
                      <c:pt idx="244">
                        <c:v>44442</c:v>
                      </c:pt>
                      <c:pt idx="245">
                        <c:v>44445</c:v>
                      </c:pt>
                      <c:pt idx="246">
                        <c:v>44446</c:v>
                      </c:pt>
                      <c:pt idx="247">
                        <c:v>44447</c:v>
                      </c:pt>
                      <c:pt idx="248">
                        <c:v>44448</c:v>
                      </c:pt>
                      <c:pt idx="249">
                        <c:v>44449</c:v>
                      </c:pt>
                      <c:pt idx="250">
                        <c:v>44452</c:v>
                      </c:pt>
                      <c:pt idx="251">
                        <c:v>44453</c:v>
                      </c:pt>
                      <c:pt idx="252">
                        <c:v>44454</c:v>
                      </c:pt>
                      <c:pt idx="253">
                        <c:v>44455</c:v>
                      </c:pt>
                      <c:pt idx="254">
                        <c:v>44456</c:v>
                      </c:pt>
                      <c:pt idx="255">
                        <c:v>44459</c:v>
                      </c:pt>
                      <c:pt idx="256">
                        <c:v>44460</c:v>
                      </c:pt>
                      <c:pt idx="257">
                        <c:v>44461</c:v>
                      </c:pt>
                      <c:pt idx="258">
                        <c:v>44462</c:v>
                      </c:pt>
                      <c:pt idx="259">
                        <c:v>44463</c:v>
                      </c:pt>
                      <c:pt idx="260">
                        <c:v>44466</c:v>
                      </c:pt>
                      <c:pt idx="261">
                        <c:v>44467</c:v>
                      </c:pt>
                      <c:pt idx="262">
                        <c:v>44468</c:v>
                      </c:pt>
                      <c:pt idx="263">
                        <c:v>44469</c:v>
                      </c:pt>
                      <c:pt idx="264">
                        <c:v>44470</c:v>
                      </c:pt>
                      <c:pt idx="265">
                        <c:v>44473</c:v>
                      </c:pt>
                      <c:pt idx="266">
                        <c:v>44474</c:v>
                      </c:pt>
                      <c:pt idx="267">
                        <c:v>44475</c:v>
                      </c:pt>
                      <c:pt idx="268">
                        <c:v>44476</c:v>
                      </c:pt>
                      <c:pt idx="269">
                        <c:v>44477</c:v>
                      </c:pt>
                      <c:pt idx="270">
                        <c:v>44480</c:v>
                      </c:pt>
                      <c:pt idx="271">
                        <c:v>44481</c:v>
                      </c:pt>
                      <c:pt idx="272">
                        <c:v>44482</c:v>
                      </c:pt>
                      <c:pt idx="273">
                        <c:v>44483</c:v>
                      </c:pt>
                      <c:pt idx="274">
                        <c:v>44484</c:v>
                      </c:pt>
                      <c:pt idx="275">
                        <c:v>44487</c:v>
                      </c:pt>
                      <c:pt idx="276">
                        <c:v>44488</c:v>
                      </c:pt>
                      <c:pt idx="277">
                        <c:v>44489</c:v>
                      </c:pt>
                      <c:pt idx="278">
                        <c:v>44490</c:v>
                      </c:pt>
                      <c:pt idx="279">
                        <c:v>44491</c:v>
                      </c:pt>
                      <c:pt idx="280">
                        <c:v>44494</c:v>
                      </c:pt>
                      <c:pt idx="281">
                        <c:v>44495</c:v>
                      </c:pt>
                      <c:pt idx="282">
                        <c:v>44496</c:v>
                      </c:pt>
                      <c:pt idx="283">
                        <c:v>44497</c:v>
                      </c:pt>
                      <c:pt idx="284">
                        <c:v>44498</c:v>
                      </c:pt>
                      <c:pt idx="285">
                        <c:v>44501</c:v>
                      </c:pt>
                    </c:numCache>
                  </c:numRef>
                </c:cat>
                <c:val>
                  <c:numRef>
                    <c:extLst>
                      <c:ext uri="{02D57815-91ED-43cb-92C2-25804820EDAC}">
                        <c15:formulaRef>
                          <c15:sqref>'Currency Chart'!$P$6:$P$291</c15:sqref>
                        </c15:formulaRef>
                      </c:ext>
                    </c:extLst>
                    <c:numCache>
                      <c:formatCode>0</c:formatCode>
                      <c:ptCount val="286"/>
                      <c:pt idx="0" formatCode="General">
                        <c:v>100</c:v>
                      </c:pt>
                      <c:pt idx="1">
                        <c:v>100.5791987453664</c:v>
                      </c:pt>
                      <c:pt idx="2">
                        <c:v>101.31700883946392</c:v>
                      </c:pt>
                      <c:pt idx="3">
                        <c:v>99.342386655260896</c:v>
                      </c:pt>
                      <c:pt idx="4">
                        <c:v>99.675648702594799</c:v>
                      </c:pt>
                      <c:pt idx="5">
                        <c:v>99.973267750213836</c:v>
                      </c:pt>
                      <c:pt idx="6">
                        <c:v>99.777231251782126</c:v>
                      </c:pt>
                      <c:pt idx="7">
                        <c:v>98.584972911320193</c:v>
                      </c:pt>
                      <c:pt idx="8">
                        <c:v>98.581408611348706</c:v>
                      </c:pt>
                      <c:pt idx="9">
                        <c:v>99.253279155973743</c:v>
                      </c:pt>
                      <c:pt idx="10">
                        <c:v>99.643570002851419</c:v>
                      </c:pt>
                      <c:pt idx="11">
                        <c:v>100.02495009980038</c:v>
                      </c:pt>
                      <c:pt idx="12">
                        <c:v>100.56315939549472</c:v>
                      </c:pt>
                      <c:pt idx="13">
                        <c:v>99.923367550613051</c:v>
                      </c:pt>
                      <c:pt idx="14">
                        <c:v>99.896635300826915</c:v>
                      </c:pt>
                      <c:pt idx="15">
                        <c:v>99.918021100655821</c:v>
                      </c:pt>
                      <c:pt idx="16">
                        <c:v>99.60970915312231</c:v>
                      </c:pt>
                      <c:pt idx="17">
                        <c:v>100.11227544910177</c:v>
                      </c:pt>
                      <c:pt idx="18">
                        <c:v>100.20851154833188</c:v>
                      </c:pt>
                      <c:pt idx="19">
                        <c:v>101.68056743655544</c:v>
                      </c:pt>
                      <c:pt idx="20">
                        <c:v>102.39699173082404</c:v>
                      </c:pt>
                      <c:pt idx="21">
                        <c:v>102.99044767607639</c:v>
                      </c:pt>
                      <c:pt idx="22">
                        <c:v>102.37738808098086</c:v>
                      </c:pt>
                      <c:pt idx="23">
                        <c:v>102.33996293128025</c:v>
                      </c:pt>
                      <c:pt idx="24">
                        <c:v>102.58055317935555</c:v>
                      </c:pt>
                      <c:pt idx="25">
                        <c:v>100.93206444254345</c:v>
                      </c:pt>
                      <c:pt idx="26">
                        <c:v>98.463786712289689</c:v>
                      </c:pt>
                      <c:pt idx="27">
                        <c:v>95.607000285143968</c:v>
                      </c:pt>
                      <c:pt idx="28">
                        <c:v>95.983033932135683</c:v>
                      </c:pt>
                      <c:pt idx="29">
                        <c:v>96.498075278015364</c:v>
                      </c:pt>
                      <c:pt idx="30">
                        <c:v>96.075705731394322</c:v>
                      </c:pt>
                      <c:pt idx="31">
                        <c:v>97.271528371827742</c:v>
                      </c:pt>
                      <c:pt idx="32">
                        <c:v>97.273310521813471</c:v>
                      </c:pt>
                      <c:pt idx="33">
                        <c:v>96.506986027944066</c:v>
                      </c:pt>
                      <c:pt idx="34">
                        <c:v>94.954733390362094</c:v>
                      </c:pt>
                      <c:pt idx="35">
                        <c:v>95.574921585400588</c:v>
                      </c:pt>
                      <c:pt idx="36">
                        <c:v>94.550185343598471</c:v>
                      </c:pt>
                      <c:pt idx="37">
                        <c:v>95.874322783005383</c:v>
                      </c:pt>
                      <c:pt idx="38">
                        <c:v>96.931137724550879</c:v>
                      </c:pt>
                      <c:pt idx="39">
                        <c:v>95.765611633875082</c:v>
                      </c:pt>
                      <c:pt idx="40">
                        <c:v>94.87631879098943</c:v>
                      </c:pt>
                      <c:pt idx="41">
                        <c:v>95.104433989164519</c:v>
                      </c:pt>
                      <c:pt idx="42">
                        <c:v>95.234530938123726</c:v>
                      </c:pt>
                      <c:pt idx="43">
                        <c:v>95.02245508982034</c:v>
                      </c:pt>
                      <c:pt idx="44">
                        <c:v>92.780510407755898</c:v>
                      </c:pt>
                      <c:pt idx="45">
                        <c:v>92.983675506130567</c:v>
                      </c:pt>
                      <c:pt idx="46">
                        <c:v>91.807456515540323</c:v>
                      </c:pt>
                      <c:pt idx="47">
                        <c:v>91.882306814941515</c:v>
                      </c:pt>
                      <c:pt idx="48">
                        <c:v>90.871827773025345</c:v>
                      </c:pt>
                      <c:pt idx="49">
                        <c:v>91.249643570002817</c:v>
                      </c:pt>
                      <c:pt idx="50">
                        <c:v>92.151411462788687</c:v>
                      </c:pt>
                      <c:pt idx="51">
                        <c:v>89.563729683490138</c:v>
                      </c:pt>
                      <c:pt idx="52">
                        <c:v>90.276589677787257</c:v>
                      </c:pt>
                      <c:pt idx="53">
                        <c:v>91.226475620188182</c:v>
                      </c:pt>
                      <c:pt idx="54">
                        <c:v>90.608069575135431</c:v>
                      </c:pt>
                      <c:pt idx="55">
                        <c:v>90.600940975192458</c:v>
                      </c:pt>
                      <c:pt idx="56">
                        <c:v>90.144710578842293</c:v>
                      </c:pt>
                      <c:pt idx="57">
                        <c:v>90.928856572569131</c:v>
                      </c:pt>
                      <c:pt idx="58">
                        <c:v>91.285286569717712</c:v>
                      </c:pt>
                      <c:pt idx="59">
                        <c:v>91.953592814371262</c:v>
                      </c:pt>
                      <c:pt idx="60">
                        <c:v>92.964071856287433</c:v>
                      </c:pt>
                      <c:pt idx="61">
                        <c:v>92.965854006273176</c:v>
                      </c:pt>
                      <c:pt idx="62">
                        <c:v>92.965854006273176</c:v>
                      </c:pt>
                      <c:pt idx="63">
                        <c:v>93.493370402053046</c:v>
                      </c:pt>
                      <c:pt idx="64">
                        <c:v>92.848232107214159</c:v>
                      </c:pt>
                      <c:pt idx="65">
                        <c:v>92.559523809523824</c:v>
                      </c:pt>
                      <c:pt idx="66">
                        <c:v>92.559523809523824</c:v>
                      </c:pt>
                      <c:pt idx="67">
                        <c:v>92.559523809523824</c:v>
                      </c:pt>
                      <c:pt idx="68">
                        <c:v>94.396920444824659</c:v>
                      </c:pt>
                      <c:pt idx="69">
                        <c:v>94.193755346449976</c:v>
                      </c:pt>
                      <c:pt idx="70">
                        <c:v>94.701668092386683</c:v>
                      </c:pt>
                      <c:pt idx="71">
                        <c:v>96.416096378671241</c:v>
                      </c:pt>
                      <c:pt idx="72">
                        <c:v>96.553321927573435</c:v>
                      </c:pt>
                      <c:pt idx="73">
                        <c:v>97.822212717422317</c:v>
                      </c:pt>
                      <c:pt idx="74">
                        <c:v>94.856715141146296</c:v>
                      </c:pt>
                      <c:pt idx="75">
                        <c:v>94.436127744510998</c:v>
                      </c:pt>
                      <c:pt idx="76">
                        <c:v>92.612988309096096</c:v>
                      </c:pt>
                      <c:pt idx="77">
                        <c:v>94.323852295409182</c:v>
                      </c:pt>
                      <c:pt idx="78">
                        <c:v>94.377316794981468</c:v>
                      </c:pt>
                      <c:pt idx="79">
                        <c:v>95.484031936127735</c:v>
                      </c:pt>
                      <c:pt idx="80">
                        <c:v>94.306030795551735</c:v>
                      </c:pt>
                      <c:pt idx="81">
                        <c:v>95.355717137154244</c:v>
                      </c:pt>
                      <c:pt idx="82">
                        <c:v>97.423011120615882</c:v>
                      </c:pt>
                      <c:pt idx="83">
                        <c:v>97.421228970630153</c:v>
                      </c:pt>
                      <c:pt idx="84">
                        <c:v>95.437696036498423</c:v>
                      </c:pt>
                      <c:pt idx="85">
                        <c:v>96.482035928143702</c:v>
                      </c:pt>
                      <c:pt idx="86">
                        <c:v>96.966780724265732</c:v>
                      </c:pt>
                      <c:pt idx="87">
                        <c:v>97.349942971200448</c:v>
                      </c:pt>
                      <c:pt idx="88">
                        <c:v>96.809951525520376</c:v>
                      </c:pt>
                      <c:pt idx="89">
                        <c:v>95.665811234673498</c:v>
                      </c:pt>
                      <c:pt idx="90">
                        <c:v>95.405617336755043</c:v>
                      </c:pt>
                      <c:pt idx="91">
                        <c:v>96.710151126318763</c:v>
                      </c:pt>
                      <c:pt idx="92">
                        <c:v>95.70858283433131</c:v>
                      </c:pt>
                      <c:pt idx="93">
                        <c:v>95.624821785001402</c:v>
                      </c:pt>
                      <c:pt idx="94">
                        <c:v>95.845808383233489</c:v>
                      </c:pt>
                      <c:pt idx="95">
                        <c:v>95.98659823210717</c:v>
                      </c:pt>
                      <c:pt idx="96">
                        <c:v>95.639078984887334</c:v>
                      </c:pt>
                      <c:pt idx="97">
                        <c:v>95.697889934416835</c:v>
                      </c:pt>
                      <c:pt idx="98">
                        <c:v>95.697889934416835</c:v>
                      </c:pt>
                      <c:pt idx="99">
                        <c:v>95.69254348445962</c:v>
                      </c:pt>
                      <c:pt idx="100">
                        <c:v>96.423224978614144</c:v>
                      </c:pt>
                      <c:pt idx="101">
                        <c:v>96.717279726261694</c:v>
                      </c:pt>
                      <c:pt idx="102">
                        <c:v>95.920658682634667</c:v>
                      </c:pt>
                      <c:pt idx="103">
                        <c:v>95.920658682634667</c:v>
                      </c:pt>
                      <c:pt idx="104">
                        <c:v>97.410536070715665</c:v>
                      </c:pt>
                      <c:pt idx="105">
                        <c:v>96.96499857427996</c:v>
                      </c:pt>
                      <c:pt idx="106">
                        <c:v>96.346592529227209</c:v>
                      </c:pt>
                      <c:pt idx="107">
                        <c:v>98.567151411462746</c:v>
                      </c:pt>
                      <c:pt idx="108">
                        <c:v>99.775449101796355</c:v>
                      </c:pt>
                      <c:pt idx="109">
                        <c:v>100.54533789563725</c:v>
                      </c:pt>
                      <c:pt idx="110">
                        <c:v>101.15661534074704</c:v>
                      </c:pt>
                      <c:pt idx="111">
                        <c:v>100.14435414884512</c:v>
                      </c:pt>
                      <c:pt idx="112">
                        <c:v>101.03542914171653</c:v>
                      </c:pt>
                      <c:pt idx="113">
                        <c:v>101.41859138865124</c:v>
                      </c:pt>
                      <c:pt idx="114">
                        <c:v>104.71022241231817</c:v>
                      </c:pt>
                      <c:pt idx="115">
                        <c:v>103.40925292272594</c:v>
                      </c:pt>
                      <c:pt idx="116">
                        <c:v>101.08354719133158</c:v>
                      </c:pt>
                      <c:pt idx="117">
                        <c:v>98.654476760764155</c:v>
                      </c:pt>
                      <c:pt idx="118">
                        <c:v>98.941402908468731</c:v>
                      </c:pt>
                      <c:pt idx="119">
                        <c:v>100.07841459937264</c:v>
                      </c:pt>
                      <c:pt idx="120">
                        <c:v>100.23880809808949</c:v>
                      </c:pt>
                      <c:pt idx="121">
                        <c:v>99.500998003991967</c:v>
                      </c:pt>
                      <c:pt idx="122">
                        <c:v>99.094667807242615</c:v>
                      </c:pt>
                      <c:pt idx="123">
                        <c:v>97.870330767037316</c:v>
                      </c:pt>
                      <c:pt idx="124">
                        <c:v>98.098445965212392</c:v>
                      </c:pt>
                      <c:pt idx="125">
                        <c:v>98.399629312802929</c:v>
                      </c:pt>
                      <c:pt idx="126">
                        <c:v>100.172868548617</c:v>
                      </c:pt>
                      <c:pt idx="127">
                        <c:v>100.64692044482459</c:v>
                      </c:pt>
                      <c:pt idx="128">
                        <c:v>102.59124607926999</c:v>
                      </c:pt>
                      <c:pt idx="129">
                        <c:v>103.00648702594806</c:v>
                      </c:pt>
                      <c:pt idx="130">
                        <c:v>102.91025092671796</c:v>
                      </c:pt>
                      <c:pt idx="131">
                        <c:v>100.36177644710577</c:v>
                      </c:pt>
                      <c:pt idx="132">
                        <c:v>101.70908183632731</c:v>
                      </c:pt>
                      <c:pt idx="133">
                        <c:v>101.71621043627029</c:v>
                      </c:pt>
                      <c:pt idx="134">
                        <c:v>100.92671799258623</c:v>
                      </c:pt>
                      <c:pt idx="135">
                        <c:v>99.629312802965472</c:v>
                      </c:pt>
                      <c:pt idx="136">
                        <c:v>100.055246649558</c:v>
                      </c:pt>
                      <c:pt idx="137">
                        <c:v>99.301397205588799</c:v>
                      </c:pt>
                      <c:pt idx="138">
                        <c:v>101.26354433989162</c:v>
                      </c:pt>
                      <c:pt idx="139">
                        <c:v>102.17600513259194</c:v>
                      </c:pt>
                      <c:pt idx="140">
                        <c:v>101.87838608497289</c:v>
                      </c:pt>
                      <c:pt idx="141">
                        <c:v>100.73781009409748</c:v>
                      </c:pt>
                      <c:pt idx="142">
                        <c:v>100.08910749928711</c:v>
                      </c:pt>
                      <c:pt idx="143">
                        <c:v>99.591887653264877</c:v>
                      </c:pt>
                      <c:pt idx="144">
                        <c:v>98.839820359281404</c:v>
                      </c:pt>
                      <c:pt idx="145">
                        <c:v>99.242586256059283</c:v>
                      </c:pt>
                      <c:pt idx="146">
                        <c:v>99.247932706016513</c:v>
                      </c:pt>
                      <c:pt idx="147">
                        <c:v>97.03450242372395</c:v>
                      </c:pt>
                      <c:pt idx="148">
                        <c:v>97.574493869404023</c:v>
                      </c:pt>
                      <c:pt idx="149">
                        <c:v>97.574493869404023</c:v>
                      </c:pt>
                      <c:pt idx="150">
                        <c:v>96.884801824921553</c:v>
                      </c:pt>
                      <c:pt idx="151">
                        <c:v>97.109352723125156</c:v>
                      </c:pt>
                      <c:pt idx="152">
                        <c:v>95.220273738237793</c:v>
                      </c:pt>
                      <c:pt idx="153">
                        <c:v>95.122255489021939</c:v>
                      </c:pt>
                      <c:pt idx="154">
                        <c:v>96.888366124893054</c:v>
                      </c:pt>
                      <c:pt idx="155">
                        <c:v>96.984602224123165</c:v>
                      </c:pt>
                      <c:pt idx="156">
                        <c:v>97.011334473909301</c:v>
                      </c:pt>
                      <c:pt idx="157">
                        <c:v>95.419874536640975</c:v>
                      </c:pt>
                      <c:pt idx="158">
                        <c:v>94.026233247790103</c:v>
                      </c:pt>
                      <c:pt idx="159">
                        <c:v>93.32763045337893</c:v>
                      </c:pt>
                      <c:pt idx="160">
                        <c:v>93.156544054747627</c:v>
                      </c:pt>
                      <c:pt idx="161">
                        <c:v>93.042486455660082</c:v>
                      </c:pt>
                      <c:pt idx="162">
                        <c:v>94.562660393498689</c:v>
                      </c:pt>
                      <c:pt idx="163">
                        <c:v>94.614342743085231</c:v>
                      </c:pt>
                      <c:pt idx="164">
                        <c:v>93.969204448246344</c:v>
                      </c:pt>
                      <c:pt idx="165">
                        <c:v>93.970986598232088</c:v>
                      </c:pt>
                      <c:pt idx="166">
                        <c:v>93.749999999999986</c:v>
                      </c:pt>
                      <c:pt idx="167">
                        <c:v>94.621471343028205</c:v>
                      </c:pt>
                      <c:pt idx="168">
                        <c:v>94.142072996863391</c:v>
                      </c:pt>
                      <c:pt idx="169">
                        <c:v>95.553535785571682</c:v>
                      </c:pt>
                      <c:pt idx="170">
                        <c:v>94.765825491873358</c:v>
                      </c:pt>
                      <c:pt idx="171">
                        <c:v>95.009980039920109</c:v>
                      </c:pt>
                      <c:pt idx="172">
                        <c:v>94.658896492728772</c:v>
                      </c:pt>
                      <c:pt idx="173">
                        <c:v>93.354362703165037</c:v>
                      </c:pt>
                      <c:pt idx="174">
                        <c:v>93.1066438551468</c:v>
                      </c:pt>
                      <c:pt idx="175">
                        <c:v>92.978329056173322</c:v>
                      </c:pt>
                      <c:pt idx="176">
                        <c:v>91.796763615625849</c:v>
                      </c:pt>
                      <c:pt idx="177">
                        <c:v>90.451240376390032</c:v>
                      </c:pt>
                      <c:pt idx="178">
                        <c:v>90.488665526090614</c:v>
                      </c:pt>
                      <c:pt idx="179">
                        <c:v>89.989663530082638</c:v>
                      </c:pt>
                      <c:pt idx="180">
                        <c:v>89.911248930709945</c:v>
                      </c:pt>
                      <c:pt idx="181">
                        <c:v>89.686698032506357</c:v>
                      </c:pt>
                      <c:pt idx="182">
                        <c:v>90.21421442828624</c:v>
                      </c:pt>
                      <c:pt idx="183">
                        <c:v>90.091246079269993</c:v>
                      </c:pt>
                      <c:pt idx="184">
                        <c:v>91.194396920444774</c:v>
                      </c:pt>
                      <c:pt idx="185">
                        <c:v>90.178571428571388</c:v>
                      </c:pt>
                      <c:pt idx="186">
                        <c:v>89.886298830909567</c:v>
                      </c:pt>
                      <c:pt idx="187">
                        <c:v>90.078771029369776</c:v>
                      </c:pt>
                      <c:pt idx="188">
                        <c:v>89.212646136298773</c:v>
                      </c:pt>
                      <c:pt idx="189">
                        <c:v>90.700741374394013</c:v>
                      </c:pt>
                      <c:pt idx="190">
                        <c:v>89.339178785286506</c:v>
                      </c:pt>
                      <c:pt idx="191">
                        <c:v>88.348303393213499</c:v>
                      </c:pt>
                      <c:pt idx="192">
                        <c:v>88.514043341887586</c:v>
                      </c:pt>
                      <c:pt idx="193">
                        <c:v>87.569503849443905</c:v>
                      </c:pt>
                      <c:pt idx="194">
                        <c:v>87.922369546620985</c:v>
                      </c:pt>
                      <c:pt idx="195">
                        <c:v>87.760193897918384</c:v>
                      </c:pt>
                      <c:pt idx="196">
                        <c:v>88.321571143427349</c:v>
                      </c:pt>
                      <c:pt idx="197">
                        <c:v>88.547904191616695</c:v>
                      </c:pt>
                      <c:pt idx="198">
                        <c:v>89.9558026803535</c:v>
                      </c:pt>
                      <c:pt idx="199">
                        <c:v>90.132235528942047</c:v>
                      </c:pt>
                      <c:pt idx="200">
                        <c:v>90.729255774165878</c:v>
                      </c:pt>
                      <c:pt idx="201">
                        <c:v>92.616552609067497</c:v>
                      </c:pt>
                      <c:pt idx="202">
                        <c:v>93.233176504134491</c:v>
                      </c:pt>
                      <c:pt idx="203">
                        <c:v>93.703664100370588</c:v>
                      </c:pt>
                      <c:pt idx="204">
                        <c:v>93.703664100370588</c:v>
                      </c:pt>
                      <c:pt idx="205">
                        <c:v>92.190618762474955</c:v>
                      </c:pt>
                      <c:pt idx="206">
                        <c:v>91.998146564014732</c:v>
                      </c:pt>
                      <c:pt idx="207">
                        <c:v>90.365697177074324</c:v>
                      </c:pt>
                      <c:pt idx="208">
                        <c:v>91.067864271457012</c:v>
                      </c:pt>
                      <c:pt idx="209">
                        <c:v>91.15162532078692</c:v>
                      </c:pt>
                      <c:pt idx="210">
                        <c:v>93.596735101226031</c:v>
                      </c:pt>
                      <c:pt idx="211">
                        <c:v>93.037140005702796</c:v>
                      </c:pt>
                      <c:pt idx="212">
                        <c:v>92.447248360421924</c:v>
                      </c:pt>
                      <c:pt idx="213">
                        <c:v>92.677145708582756</c:v>
                      </c:pt>
                      <c:pt idx="214">
                        <c:v>92.682492158539972</c:v>
                      </c:pt>
                      <c:pt idx="215">
                        <c:v>92.245865412032984</c:v>
                      </c:pt>
                      <c:pt idx="216">
                        <c:v>92.119332763045236</c:v>
                      </c:pt>
                      <c:pt idx="217">
                        <c:v>91.169446820644339</c:v>
                      </c:pt>
                      <c:pt idx="218">
                        <c:v>90.55460507556306</c:v>
                      </c:pt>
                      <c:pt idx="219">
                        <c:v>92.891003706871857</c:v>
                      </c:pt>
                      <c:pt idx="220">
                        <c:v>92.220915312232563</c:v>
                      </c:pt>
                      <c:pt idx="221">
                        <c:v>92.612988309095982</c:v>
                      </c:pt>
                      <c:pt idx="222">
                        <c:v>92.110422013116519</c:v>
                      </c:pt>
                      <c:pt idx="223">
                        <c:v>93.541488451668002</c:v>
                      </c:pt>
                      <c:pt idx="224">
                        <c:v>93.208226404334098</c:v>
                      </c:pt>
                      <c:pt idx="225">
                        <c:v>93.261690903906384</c:v>
                      </c:pt>
                      <c:pt idx="226">
                        <c:v>92.484673510122505</c:v>
                      </c:pt>
                      <c:pt idx="227">
                        <c:v>93.001497005987915</c:v>
                      </c:pt>
                      <c:pt idx="228">
                        <c:v>93.605645851154733</c:v>
                      </c:pt>
                      <c:pt idx="229">
                        <c:v>93.502281151981649</c:v>
                      </c:pt>
                      <c:pt idx="230">
                        <c:v>93.732178500142481</c:v>
                      </c:pt>
                      <c:pt idx="231">
                        <c:v>94.361277445109693</c:v>
                      </c:pt>
                      <c:pt idx="232">
                        <c:v>95.868976333048096</c:v>
                      </c:pt>
                      <c:pt idx="233">
                        <c:v>96.48916452808659</c:v>
                      </c:pt>
                      <c:pt idx="234">
                        <c:v>95.82620473339027</c:v>
                      </c:pt>
                      <c:pt idx="235">
                        <c:v>95.883233532934057</c:v>
                      </c:pt>
                      <c:pt idx="236">
                        <c:v>93.496934702024433</c:v>
                      </c:pt>
                      <c:pt idx="237">
                        <c:v>92.880310806957439</c:v>
                      </c:pt>
                      <c:pt idx="238">
                        <c:v>93.602081551183275</c:v>
                      </c:pt>
                      <c:pt idx="239">
                        <c:v>92.664670658682567</c:v>
                      </c:pt>
                      <c:pt idx="240">
                        <c:v>92.386655260906693</c:v>
                      </c:pt>
                      <c:pt idx="241">
                        <c:v>91.766467065868213</c:v>
                      </c:pt>
                      <c:pt idx="242">
                        <c:v>92.418733960650087</c:v>
                      </c:pt>
                      <c:pt idx="243">
                        <c:v>92.349230111206111</c:v>
                      </c:pt>
                      <c:pt idx="244">
                        <c:v>92.507841459937225</c:v>
                      </c:pt>
                      <c:pt idx="245">
                        <c:v>92.124679213002509</c:v>
                      </c:pt>
                      <c:pt idx="246">
                        <c:v>92.122897063016765</c:v>
                      </c:pt>
                      <c:pt idx="247">
                        <c:v>94.835329341317305</c:v>
                      </c:pt>
                      <c:pt idx="248">
                        <c:v>92.629027658967729</c:v>
                      </c:pt>
                      <c:pt idx="249">
                        <c:v>93.480895352152771</c:v>
                      </c:pt>
                      <c:pt idx="250">
                        <c:v>92.928428856572509</c:v>
                      </c:pt>
                      <c:pt idx="251">
                        <c:v>93.381094952951159</c:v>
                      </c:pt>
                      <c:pt idx="252">
                        <c:v>93.062090105503202</c:v>
                      </c:pt>
                      <c:pt idx="253">
                        <c:v>93.625249500997938</c:v>
                      </c:pt>
                      <c:pt idx="254">
                        <c:v>94.245437696036419</c:v>
                      </c:pt>
                      <c:pt idx="255">
                        <c:v>94.881665240946603</c:v>
                      </c:pt>
                      <c:pt idx="256">
                        <c:v>93.917522098659745</c:v>
                      </c:pt>
                      <c:pt idx="257">
                        <c:v>94.254348445965135</c:v>
                      </c:pt>
                      <c:pt idx="258">
                        <c:v>94.507413743940617</c:v>
                      </c:pt>
                      <c:pt idx="259">
                        <c:v>95.067008839463838</c:v>
                      </c:pt>
                      <c:pt idx="260">
                        <c:v>96.082834331337239</c:v>
                      </c:pt>
                      <c:pt idx="261">
                        <c:v>96.758269175933748</c:v>
                      </c:pt>
                      <c:pt idx="262">
                        <c:v>96.506986027944009</c:v>
                      </c:pt>
                      <c:pt idx="263">
                        <c:v>96.998859424009041</c:v>
                      </c:pt>
                      <c:pt idx="264">
                        <c:v>95.573139435414802</c:v>
                      </c:pt>
                      <c:pt idx="265">
                        <c:v>97.189549472483534</c:v>
                      </c:pt>
                      <c:pt idx="266">
                        <c:v>97.569147419446765</c:v>
                      </c:pt>
                      <c:pt idx="267">
                        <c:v>97.861420017108586</c:v>
                      </c:pt>
                      <c:pt idx="268">
                        <c:v>98.353293413173589</c:v>
                      </c:pt>
                      <c:pt idx="269">
                        <c:v>98.164385514684867</c:v>
                      </c:pt>
                      <c:pt idx="270">
                        <c:v>98.672298260621545</c:v>
                      </c:pt>
                      <c:pt idx="271">
                        <c:v>98.597447961220354</c:v>
                      </c:pt>
                      <c:pt idx="272">
                        <c:v>98.255275163957748</c:v>
                      </c:pt>
                      <c:pt idx="273">
                        <c:v>98.253493013972005</c:v>
                      </c:pt>
                      <c:pt idx="274">
                        <c:v>97.324992871399999</c:v>
                      </c:pt>
                      <c:pt idx="275">
                        <c:v>98.226760764185855</c:v>
                      </c:pt>
                      <c:pt idx="276">
                        <c:v>99.522383803820873</c:v>
                      </c:pt>
                      <c:pt idx="277">
                        <c:v>99.755845451953178</c:v>
                      </c:pt>
                      <c:pt idx="278">
                        <c:v>100.82869974337034</c:v>
                      </c:pt>
                      <c:pt idx="279">
                        <c:v>100.64513829483883</c:v>
                      </c:pt>
                      <c:pt idx="280">
                        <c:v>99.021599657827139</c:v>
                      </c:pt>
                      <c:pt idx="281">
                        <c:v>99.205161106358659</c:v>
                      </c:pt>
                      <c:pt idx="282">
                        <c:v>98.695466210436209</c:v>
                      </c:pt>
                      <c:pt idx="283">
                        <c:v>100.6273167949814</c:v>
                      </c:pt>
                      <c:pt idx="284">
                        <c:v>100.46335899629307</c:v>
                      </c:pt>
                    </c:numCache>
                  </c:numRef>
                </c:val>
                <c:smooth val="0"/>
                <c:extLst>
                  <c:ext xmlns:c16="http://schemas.microsoft.com/office/drawing/2014/chart" uri="{C3380CC4-5D6E-409C-BE32-E72D297353CC}">
                    <c16:uniqueId val="{00000003-61DB-4070-8C60-273A3892C606}"/>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'Currency Chart'!$Q$5</c15:sqref>
                        </c15:formulaRef>
                      </c:ext>
                    </c:extLst>
                    <c:strCache>
                      <c:ptCount val="1"/>
                      <c:pt idx="0">
                        <c:v>Rouble</c:v>
                      </c:pt>
                    </c:strCache>
                  </c:strRef>
                </c:tx>
                <c:spPr>
                  <a:ln w="28575" cap="rnd">
                    <a:solidFill>
                      <a:schemeClr val="accent2"/>
                    </a:solidFill>
                    <a:round/>
                  </a:ln>
                  <a:effectLst/>
                </c:spPr>
                <c:marker>
                  <c:symbol val="none"/>
                </c:marker>
                <c:cat>
                  <c:numRef>
                    <c:extLst xmlns:c15="http://schemas.microsoft.com/office/drawing/2012/chart">
                      <c:ext xmlns:c15="http://schemas.microsoft.com/office/drawing/2012/chart" uri="{02D57815-91ED-43cb-92C2-25804820EDAC}">
                        <c15:formulaRef>
                          <c15:sqref>'Currency Chart'!$O$6:$O$291</c15:sqref>
                        </c15:formulaRef>
                      </c:ext>
                    </c:extLst>
                    <c:numCache>
                      <c:formatCode>m/d/yyyy</c:formatCode>
                      <c:ptCount val="286"/>
                      <c:pt idx="0">
                        <c:v>44104</c:v>
                      </c:pt>
                      <c:pt idx="1">
                        <c:v>44105</c:v>
                      </c:pt>
                      <c:pt idx="2">
                        <c:v>44106</c:v>
                      </c:pt>
                      <c:pt idx="3">
                        <c:v>44109</c:v>
                      </c:pt>
                      <c:pt idx="4">
                        <c:v>44110</c:v>
                      </c:pt>
                      <c:pt idx="5">
                        <c:v>44111</c:v>
                      </c:pt>
                      <c:pt idx="6">
                        <c:v>44112</c:v>
                      </c:pt>
                      <c:pt idx="7">
                        <c:v>44113</c:v>
                      </c:pt>
                      <c:pt idx="8">
                        <c:v>44116</c:v>
                      </c:pt>
                      <c:pt idx="9">
                        <c:v>44117</c:v>
                      </c:pt>
                      <c:pt idx="10">
                        <c:v>44118</c:v>
                      </c:pt>
                      <c:pt idx="11">
                        <c:v>44119</c:v>
                      </c:pt>
                      <c:pt idx="12">
                        <c:v>44120</c:v>
                      </c:pt>
                      <c:pt idx="13">
                        <c:v>44123</c:v>
                      </c:pt>
                      <c:pt idx="14">
                        <c:v>44124</c:v>
                      </c:pt>
                      <c:pt idx="15">
                        <c:v>44125</c:v>
                      </c:pt>
                      <c:pt idx="16">
                        <c:v>44126</c:v>
                      </c:pt>
                      <c:pt idx="17">
                        <c:v>44127</c:v>
                      </c:pt>
                      <c:pt idx="18">
                        <c:v>44130</c:v>
                      </c:pt>
                      <c:pt idx="19">
                        <c:v>44131</c:v>
                      </c:pt>
                      <c:pt idx="20">
                        <c:v>44132</c:v>
                      </c:pt>
                      <c:pt idx="21">
                        <c:v>44133</c:v>
                      </c:pt>
                      <c:pt idx="22">
                        <c:v>44134</c:v>
                      </c:pt>
                      <c:pt idx="23">
                        <c:v>44137</c:v>
                      </c:pt>
                      <c:pt idx="24">
                        <c:v>44138</c:v>
                      </c:pt>
                      <c:pt idx="25">
                        <c:v>44139</c:v>
                      </c:pt>
                      <c:pt idx="26">
                        <c:v>44140</c:v>
                      </c:pt>
                      <c:pt idx="27">
                        <c:v>44141</c:v>
                      </c:pt>
                      <c:pt idx="28">
                        <c:v>44144</c:v>
                      </c:pt>
                      <c:pt idx="29">
                        <c:v>44145</c:v>
                      </c:pt>
                      <c:pt idx="30">
                        <c:v>44146</c:v>
                      </c:pt>
                      <c:pt idx="31">
                        <c:v>44147</c:v>
                      </c:pt>
                      <c:pt idx="32">
                        <c:v>44148</c:v>
                      </c:pt>
                      <c:pt idx="33">
                        <c:v>44151</c:v>
                      </c:pt>
                      <c:pt idx="34">
                        <c:v>44152</c:v>
                      </c:pt>
                      <c:pt idx="35">
                        <c:v>44153</c:v>
                      </c:pt>
                      <c:pt idx="36">
                        <c:v>44154</c:v>
                      </c:pt>
                      <c:pt idx="37">
                        <c:v>44155</c:v>
                      </c:pt>
                      <c:pt idx="38">
                        <c:v>44158</c:v>
                      </c:pt>
                      <c:pt idx="39">
                        <c:v>44159</c:v>
                      </c:pt>
                      <c:pt idx="40">
                        <c:v>44160</c:v>
                      </c:pt>
                      <c:pt idx="41">
                        <c:v>44161</c:v>
                      </c:pt>
                      <c:pt idx="42">
                        <c:v>44162</c:v>
                      </c:pt>
                      <c:pt idx="43">
                        <c:v>44165</c:v>
                      </c:pt>
                      <c:pt idx="44">
                        <c:v>44166</c:v>
                      </c:pt>
                      <c:pt idx="45">
                        <c:v>44167</c:v>
                      </c:pt>
                      <c:pt idx="46">
                        <c:v>44168</c:v>
                      </c:pt>
                      <c:pt idx="47">
                        <c:v>44169</c:v>
                      </c:pt>
                      <c:pt idx="48">
                        <c:v>44172</c:v>
                      </c:pt>
                      <c:pt idx="49">
                        <c:v>44173</c:v>
                      </c:pt>
                      <c:pt idx="50">
                        <c:v>44174</c:v>
                      </c:pt>
                      <c:pt idx="51">
                        <c:v>44175</c:v>
                      </c:pt>
                      <c:pt idx="52">
                        <c:v>44176</c:v>
                      </c:pt>
                      <c:pt idx="53">
                        <c:v>44179</c:v>
                      </c:pt>
                      <c:pt idx="54">
                        <c:v>44180</c:v>
                      </c:pt>
                      <c:pt idx="55">
                        <c:v>44181</c:v>
                      </c:pt>
                      <c:pt idx="56">
                        <c:v>44182</c:v>
                      </c:pt>
                      <c:pt idx="57">
                        <c:v>44183</c:v>
                      </c:pt>
                      <c:pt idx="58">
                        <c:v>44186</c:v>
                      </c:pt>
                      <c:pt idx="59">
                        <c:v>44187</c:v>
                      </c:pt>
                      <c:pt idx="60">
                        <c:v>44188</c:v>
                      </c:pt>
                      <c:pt idx="61">
                        <c:v>44189</c:v>
                      </c:pt>
                      <c:pt idx="62">
                        <c:v>44190</c:v>
                      </c:pt>
                      <c:pt idx="63">
                        <c:v>44193</c:v>
                      </c:pt>
                      <c:pt idx="64">
                        <c:v>44194</c:v>
                      </c:pt>
                      <c:pt idx="65">
                        <c:v>44195</c:v>
                      </c:pt>
                      <c:pt idx="66">
                        <c:v>44196</c:v>
                      </c:pt>
                      <c:pt idx="67">
                        <c:v>44197</c:v>
                      </c:pt>
                      <c:pt idx="68">
                        <c:v>44200</c:v>
                      </c:pt>
                      <c:pt idx="69">
                        <c:v>44201</c:v>
                      </c:pt>
                      <c:pt idx="70">
                        <c:v>44202</c:v>
                      </c:pt>
                      <c:pt idx="71">
                        <c:v>44203</c:v>
                      </c:pt>
                      <c:pt idx="72">
                        <c:v>44204</c:v>
                      </c:pt>
                      <c:pt idx="73">
                        <c:v>44207</c:v>
                      </c:pt>
                      <c:pt idx="74">
                        <c:v>44208</c:v>
                      </c:pt>
                      <c:pt idx="75">
                        <c:v>44209</c:v>
                      </c:pt>
                      <c:pt idx="76">
                        <c:v>44210</c:v>
                      </c:pt>
                      <c:pt idx="77">
                        <c:v>44211</c:v>
                      </c:pt>
                      <c:pt idx="78">
                        <c:v>44214</c:v>
                      </c:pt>
                      <c:pt idx="79">
                        <c:v>44215</c:v>
                      </c:pt>
                      <c:pt idx="80">
                        <c:v>44216</c:v>
                      </c:pt>
                      <c:pt idx="81">
                        <c:v>44217</c:v>
                      </c:pt>
                      <c:pt idx="82">
                        <c:v>44218</c:v>
                      </c:pt>
                      <c:pt idx="83">
                        <c:v>44221</c:v>
                      </c:pt>
                      <c:pt idx="84">
                        <c:v>44222</c:v>
                      </c:pt>
                      <c:pt idx="85">
                        <c:v>44223</c:v>
                      </c:pt>
                      <c:pt idx="86">
                        <c:v>44224</c:v>
                      </c:pt>
                      <c:pt idx="87">
                        <c:v>44225</c:v>
                      </c:pt>
                      <c:pt idx="88">
                        <c:v>44228</c:v>
                      </c:pt>
                      <c:pt idx="89">
                        <c:v>44229</c:v>
                      </c:pt>
                      <c:pt idx="90">
                        <c:v>44230</c:v>
                      </c:pt>
                      <c:pt idx="91">
                        <c:v>44231</c:v>
                      </c:pt>
                      <c:pt idx="92">
                        <c:v>44232</c:v>
                      </c:pt>
                      <c:pt idx="93">
                        <c:v>44235</c:v>
                      </c:pt>
                      <c:pt idx="94">
                        <c:v>44236</c:v>
                      </c:pt>
                      <c:pt idx="95">
                        <c:v>44237</c:v>
                      </c:pt>
                      <c:pt idx="96">
                        <c:v>44238</c:v>
                      </c:pt>
                      <c:pt idx="97">
                        <c:v>44239</c:v>
                      </c:pt>
                      <c:pt idx="98">
                        <c:v>44242</c:v>
                      </c:pt>
                      <c:pt idx="99">
                        <c:v>44243</c:v>
                      </c:pt>
                      <c:pt idx="100">
                        <c:v>44244</c:v>
                      </c:pt>
                      <c:pt idx="101">
                        <c:v>44245</c:v>
                      </c:pt>
                      <c:pt idx="102">
                        <c:v>44246</c:v>
                      </c:pt>
                      <c:pt idx="103">
                        <c:v>44247</c:v>
                      </c:pt>
                      <c:pt idx="104">
                        <c:v>44249</c:v>
                      </c:pt>
                      <c:pt idx="105">
                        <c:v>44250</c:v>
                      </c:pt>
                      <c:pt idx="106">
                        <c:v>44251</c:v>
                      </c:pt>
                      <c:pt idx="107">
                        <c:v>44252</c:v>
                      </c:pt>
                      <c:pt idx="108">
                        <c:v>44253</c:v>
                      </c:pt>
                      <c:pt idx="109">
                        <c:v>44256</c:v>
                      </c:pt>
                      <c:pt idx="110">
                        <c:v>44257</c:v>
                      </c:pt>
                      <c:pt idx="111">
                        <c:v>44258</c:v>
                      </c:pt>
                      <c:pt idx="112">
                        <c:v>44259</c:v>
                      </c:pt>
                      <c:pt idx="113">
                        <c:v>44260</c:v>
                      </c:pt>
                      <c:pt idx="114">
                        <c:v>44263</c:v>
                      </c:pt>
                      <c:pt idx="115">
                        <c:v>44264</c:v>
                      </c:pt>
                      <c:pt idx="116">
                        <c:v>44265</c:v>
                      </c:pt>
                      <c:pt idx="117">
                        <c:v>44266</c:v>
                      </c:pt>
                      <c:pt idx="118">
                        <c:v>44267</c:v>
                      </c:pt>
                      <c:pt idx="119">
                        <c:v>44270</c:v>
                      </c:pt>
                      <c:pt idx="120">
                        <c:v>44271</c:v>
                      </c:pt>
                      <c:pt idx="121">
                        <c:v>44272</c:v>
                      </c:pt>
                      <c:pt idx="122">
                        <c:v>44273</c:v>
                      </c:pt>
                      <c:pt idx="123">
                        <c:v>44274</c:v>
                      </c:pt>
                      <c:pt idx="124">
                        <c:v>44277</c:v>
                      </c:pt>
                      <c:pt idx="125">
                        <c:v>44278</c:v>
                      </c:pt>
                      <c:pt idx="126">
                        <c:v>44279</c:v>
                      </c:pt>
                      <c:pt idx="127">
                        <c:v>44280</c:v>
                      </c:pt>
                      <c:pt idx="128">
                        <c:v>44281</c:v>
                      </c:pt>
                      <c:pt idx="129">
                        <c:v>44284</c:v>
                      </c:pt>
                      <c:pt idx="130">
                        <c:v>44285</c:v>
                      </c:pt>
                      <c:pt idx="131">
                        <c:v>44286</c:v>
                      </c:pt>
                      <c:pt idx="132">
                        <c:v>44287</c:v>
                      </c:pt>
                      <c:pt idx="133">
                        <c:v>44288</c:v>
                      </c:pt>
                      <c:pt idx="134">
                        <c:v>44291</c:v>
                      </c:pt>
                      <c:pt idx="135">
                        <c:v>44292</c:v>
                      </c:pt>
                      <c:pt idx="136">
                        <c:v>44293</c:v>
                      </c:pt>
                      <c:pt idx="137">
                        <c:v>44294</c:v>
                      </c:pt>
                      <c:pt idx="138">
                        <c:v>44295</c:v>
                      </c:pt>
                      <c:pt idx="139">
                        <c:v>44298</c:v>
                      </c:pt>
                      <c:pt idx="140">
                        <c:v>44299</c:v>
                      </c:pt>
                      <c:pt idx="141">
                        <c:v>44300</c:v>
                      </c:pt>
                      <c:pt idx="142">
                        <c:v>44301</c:v>
                      </c:pt>
                      <c:pt idx="143">
                        <c:v>44302</c:v>
                      </c:pt>
                      <c:pt idx="144">
                        <c:v>44305</c:v>
                      </c:pt>
                      <c:pt idx="145">
                        <c:v>44306</c:v>
                      </c:pt>
                      <c:pt idx="146">
                        <c:v>44307</c:v>
                      </c:pt>
                      <c:pt idx="147">
                        <c:v>44308</c:v>
                      </c:pt>
                      <c:pt idx="148">
                        <c:v>44309</c:v>
                      </c:pt>
                      <c:pt idx="149">
                        <c:v>44311</c:v>
                      </c:pt>
                      <c:pt idx="150">
                        <c:v>44312</c:v>
                      </c:pt>
                      <c:pt idx="151">
                        <c:v>44313</c:v>
                      </c:pt>
                      <c:pt idx="152">
                        <c:v>44314</c:v>
                      </c:pt>
                      <c:pt idx="153">
                        <c:v>44315</c:v>
                      </c:pt>
                      <c:pt idx="154">
                        <c:v>44316</c:v>
                      </c:pt>
                      <c:pt idx="155">
                        <c:v>44319</c:v>
                      </c:pt>
                      <c:pt idx="156">
                        <c:v>44320</c:v>
                      </c:pt>
                      <c:pt idx="157">
                        <c:v>44321</c:v>
                      </c:pt>
                      <c:pt idx="158">
                        <c:v>44322</c:v>
                      </c:pt>
                      <c:pt idx="159">
                        <c:v>44323</c:v>
                      </c:pt>
                      <c:pt idx="160">
                        <c:v>44326</c:v>
                      </c:pt>
                      <c:pt idx="161">
                        <c:v>44327</c:v>
                      </c:pt>
                      <c:pt idx="162">
                        <c:v>44328</c:v>
                      </c:pt>
                      <c:pt idx="163">
                        <c:v>44329</c:v>
                      </c:pt>
                      <c:pt idx="164">
                        <c:v>44330</c:v>
                      </c:pt>
                      <c:pt idx="165">
                        <c:v>44333</c:v>
                      </c:pt>
                      <c:pt idx="166">
                        <c:v>44334</c:v>
                      </c:pt>
                      <c:pt idx="167">
                        <c:v>44335</c:v>
                      </c:pt>
                      <c:pt idx="168">
                        <c:v>44336</c:v>
                      </c:pt>
                      <c:pt idx="169">
                        <c:v>44337</c:v>
                      </c:pt>
                      <c:pt idx="170">
                        <c:v>44340</c:v>
                      </c:pt>
                      <c:pt idx="171">
                        <c:v>44341</c:v>
                      </c:pt>
                      <c:pt idx="172">
                        <c:v>44342</c:v>
                      </c:pt>
                      <c:pt idx="173">
                        <c:v>44343</c:v>
                      </c:pt>
                      <c:pt idx="174">
                        <c:v>44344</c:v>
                      </c:pt>
                      <c:pt idx="175">
                        <c:v>44347</c:v>
                      </c:pt>
                      <c:pt idx="176">
                        <c:v>44348</c:v>
                      </c:pt>
                      <c:pt idx="177">
                        <c:v>44349</c:v>
                      </c:pt>
                      <c:pt idx="178">
                        <c:v>44350</c:v>
                      </c:pt>
                      <c:pt idx="179">
                        <c:v>44351</c:v>
                      </c:pt>
                      <c:pt idx="180">
                        <c:v>44354</c:v>
                      </c:pt>
                      <c:pt idx="181">
                        <c:v>44355</c:v>
                      </c:pt>
                      <c:pt idx="182">
                        <c:v>44356</c:v>
                      </c:pt>
                      <c:pt idx="183">
                        <c:v>44357</c:v>
                      </c:pt>
                      <c:pt idx="184">
                        <c:v>44358</c:v>
                      </c:pt>
                      <c:pt idx="185">
                        <c:v>44361</c:v>
                      </c:pt>
                      <c:pt idx="186">
                        <c:v>44362</c:v>
                      </c:pt>
                      <c:pt idx="187">
                        <c:v>44363</c:v>
                      </c:pt>
                      <c:pt idx="188">
                        <c:v>44364</c:v>
                      </c:pt>
                      <c:pt idx="189">
                        <c:v>44365</c:v>
                      </c:pt>
                      <c:pt idx="190">
                        <c:v>44368</c:v>
                      </c:pt>
                      <c:pt idx="191">
                        <c:v>44369</c:v>
                      </c:pt>
                      <c:pt idx="192">
                        <c:v>44370</c:v>
                      </c:pt>
                      <c:pt idx="193">
                        <c:v>44371</c:v>
                      </c:pt>
                      <c:pt idx="194">
                        <c:v>44372</c:v>
                      </c:pt>
                      <c:pt idx="195">
                        <c:v>44375</c:v>
                      </c:pt>
                      <c:pt idx="196">
                        <c:v>44376</c:v>
                      </c:pt>
                      <c:pt idx="197">
                        <c:v>44377</c:v>
                      </c:pt>
                      <c:pt idx="198">
                        <c:v>44378</c:v>
                      </c:pt>
                      <c:pt idx="199">
                        <c:v>44379</c:v>
                      </c:pt>
                      <c:pt idx="200">
                        <c:v>44382</c:v>
                      </c:pt>
                      <c:pt idx="201">
                        <c:v>44383</c:v>
                      </c:pt>
                      <c:pt idx="202">
                        <c:v>44384</c:v>
                      </c:pt>
                      <c:pt idx="203">
                        <c:v>44385</c:v>
                      </c:pt>
                      <c:pt idx="204">
                        <c:v>44386</c:v>
                      </c:pt>
                      <c:pt idx="205">
                        <c:v>44389</c:v>
                      </c:pt>
                      <c:pt idx="206">
                        <c:v>44390</c:v>
                      </c:pt>
                      <c:pt idx="207">
                        <c:v>44391</c:v>
                      </c:pt>
                      <c:pt idx="208">
                        <c:v>44392</c:v>
                      </c:pt>
                      <c:pt idx="209">
                        <c:v>44393</c:v>
                      </c:pt>
                      <c:pt idx="210">
                        <c:v>44396</c:v>
                      </c:pt>
                      <c:pt idx="211">
                        <c:v>44397</c:v>
                      </c:pt>
                      <c:pt idx="212">
                        <c:v>44398</c:v>
                      </c:pt>
                      <c:pt idx="213">
                        <c:v>44399</c:v>
                      </c:pt>
                      <c:pt idx="214">
                        <c:v>44400</c:v>
                      </c:pt>
                      <c:pt idx="215">
                        <c:v>44403</c:v>
                      </c:pt>
                      <c:pt idx="216">
                        <c:v>44404</c:v>
                      </c:pt>
                      <c:pt idx="217">
                        <c:v>44405</c:v>
                      </c:pt>
                      <c:pt idx="218">
                        <c:v>44406</c:v>
                      </c:pt>
                      <c:pt idx="219">
                        <c:v>44407</c:v>
                      </c:pt>
                      <c:pt idx="220">
                        <c:v>44410</c:v>
                      </c:pt>
                      <c:pt idx="221">
                        <c:v>44411</c:v>
                      </c:pt>
                      <c:pt idx="222">
                        <c:v>44412</c:v>
                      </c:pt>
                      <c:pt idx="223">
                        <c:v>44413</c:v>
                      </c:pt>
                      <c:pt idx="224">
                        <c:v>44414</c:v>
                      </c:pt>
                      <c:pt idx="225">
                        <c:v>44417</c:v>
                      </c:pt>
                      <c:pt idx="226">
                        <c:v>44418</c:v>
                      </c:pt>
                      <c:pt idx="227">
                        <c:v>44419</c:v>
                      </c:pt>
                      <c:pt idx="228">
                        <c:v>44420</c:v>
                      </c:pt>
                      <c:pt idx="229">
                        <c:v>44421</c:v>
                      </c:pt>
                      <c:pt idx="230">
                        <c:v>44424</c:v>
                      </c:pt>
                      <c:pt idx="231">
                        <c:v>44425</c:v>
                      </c:pt>
                      <c:pt idx="232">
                        <c:v>44426</c:v>
                      </c:pt>
                      <c:pt idx="233">
                        <c:v>44427</c:v>
                      </c:pt>
                      <c:pt idx="234">
                        <c:v>44428</c:v>
                      </c:pt>
                      <c:pt idx="235">
                        <c:v>44431</c:v>
                      </c:pt>
                      <c:pt idx="236">
                        <c:v>44432</c:v>
                      </c:pt>
                      <c:pt idx="237">
                        <c:v>44433</c:v>
                      </c:pt>
                      <c:pt idx="238">
                        <c:v>44434</c:v>
                      </c:pt>
                      <c:pt idx="239">
                        <c:v>44435</c:v>
                      </c:pt>
                      <c:pt idx="240">
                        <c:v>44438</c:v>
                      </c:pt>
                      <c:pt idx="241">
                        <c:v>44439</c:v>
                      </c:pt>
                      <c:pt idx="242">
                        <c:v>44440</c:v>
                      </c:pt>
                      <c:pt idx="243">
                        <c:v>44441</c:v>
                      </c:pt>
                      <c:pt idx="244">
                        <c:v>44442</c:v>
                      </c:pt>
                      <c:pt idx="245">
                        <c:v>44445</c:v>
                      </c:pt>
                      <c:pt idx="246">
                        <c:v>44446</c:v>
                      </c:pt>
                      <c:pt idx="247">
                        <c:v>44447</c:v>
                      </c:pt>
                      <c:pt idx="248">
                        <c:v>44448</c:v>
                      </c:pt>
                      <c:pt idx="249">
                        <c:v>44449</c:v>
                      </c:pt>
                      <c:pt idx="250">
                        <c:v>44452</c:v>
                      </c:pt>
                      <c:pt idx="251">
                        <c:v>44453</c:v>
                      </c:pt>
                      <c:pt idx="252">
                        <c:v>44454</c:v>
                      </c:pt>
                      <c:pt idx="253">
                        <c:v>44455</c:v>
                      </c:pt>
                      <c:pt idx="254">
                        <c:v>44456</c:v>
                      </c:pt>
                      <c:pt idx="255">
                        <c:v>44459</c:v>
                      </c:pt>
                      <c:pt idx="256">
                        <c:v>44460</c:v>
                      </c:pt>
                      <c:pt idx="257">
                        <c:v>44461</c:v>
                      </c:pt>
                      <c:pt idx="258">
                        <c:v>44462</c:v>
                      </c:pt>
                      <c:pt idx="259">
                        <c:v>44463</c:v>
                      </c:pt>
                      <c:pt idx="260">
                        <c:v>44466</c:v>
                      </c:pt>
                      <c:pt idx="261">
                        <c:v>44467</c:v>
                      </c:pt>
                      <c:pt idx="262">
                        <c:v>44468</c:v>
                      </c:pt>
                      <c:pt idx="263">
                        <c:v>44469</c:v>
                      </c:pt>
                      <c:pt idx="264">
                        <c:v>44470</c:v>
                      </c:pt>
                      <c:pt idx="265">
                        <c:v>44473</c:v>
                      </c:pt>
                      <c:pt idx="266">
                        <c:v>44474</c:v>
                      </c:pt>
                      <c:pt idx="267">
                        <c:v>44475</c:v>
                      </c:pt>
                      <c:pt idx="268">
                        <c:v>44476</c:v>
                      </c:pt>
                      <c:pt idx="269">
                        <c:v>44477</c:v>
                      </c:pt>
                      <c:pt idx="270">
                        <c:v>44480</c:v>
                      </c:pt>
                      <c:pt idx="271">
                        <c:v>44481</c:v>
                      </c:pt>
                      <c:pt idx="272">
                        <c:v>44482</c:v>
                      </c:pt>
                      <c:pt idx="273">
                        <c:v>44483</c:v>
                      </c:pt>
                      <c:pt idx="274">
                        <c:v>44484</c:v>
                      </c:pt>
                      <c:pt idx="275">
                        <c:v>44487</c:v>
                      </c:pt>
                      <c:pt idx="276">
                        <c:v>44488</c:v>
                      </c:pt>
                      <c:pt idx="277">
                        <c:v>44489</c:v>
                      </c:pt>
                      <c:pt idx="278">
                        <c:v>44490</c:v>
                      </c:pt>
                      <c:pt idx="279">
                        <c:v>44491</c:v>
                      </c:pt>
                      <c:pt idx="280">
                        <c:v>44494</c:v>
                      </c:pt>
                      <c:pt idx="281">
                        <c:v>44495</c:v>
                      </c:pt>
                      <c:pt idx="282">
                        <c:v>44496</c:v>
                      </c:pt>
                      <c:pt idx="283">
                        <c:v>44497</c:v>
                      </c:pt>
                      <c:pt idx="284">
                        <c:v>44498</c:v>
                      </c:pt>
                      <c:pt idx="285">
                        <c:v>44501</c:v>
                      </c:pt>
                    </c:numCache>
                  </c:numRef>
                </c:cat>
                <c:val>
                  <c:numRef>
                    <c:extLst xmlns:c15="http://schemas.microsoft.com/office/drawing/2012/chart">
                      <c:ext xmlns:c15="http://schemas.microsoft.com/office/drawing/2012/chart" uri="{02D57815-91ED-43cb-92C2-25804820EDAC}">
                        <c15:formulaRef>
                          <c15:sqref>'Currency Chart'!$Q$6:$Q$291</c15:sqref>
                        </c15:formulaRef>
                      </c:ext>
                    </c:extLst>
                    <c:numCache>
                      <c:formatCode>0</c:formatCode>
                      <c:ptCount val="286"/>
                      <c:pt idx="0" formatCode="General">
                        <c:v>100</c:v>
                      </c:pt>
                      <c:pt idx="1">
                        <c:v>99.240656541227295</c:v>
                      </c:pt>
                      <c:pt idx="2">
                        <c:v>100.68814291702944</c:v>
                      </c:pt>
                      <c:pt idx="3">
                        <c:v>100.69214149817805</c:v>
                      </c:pt>
                      <c:pt idx="4">
                        <c:v>101.08077778852663</c:v>
                      </c:pt>
                      <c:pt idx="5">
                        <c:v>100.55464190126084</c:v>
                      </c:pt>
                      <c:pt idx="6">
                        <c:v>99.607752087968777</c:v>
                      </c:pt>
                      <c:pt idx="7">
                        <c:v>98.868143561961887</c:v>
                      </c:pt>
                      <c:pt idx="8">
                        <c:v>99.027570861952199</c:v>
                      </c:pt>
                      <c:pt idx="9">
                        <c:v>99.177711134758624</c:v>
                      </c:pt>
                      <c:pt idx="10">
                        <c:v>100.0754570958692</c:v>
                      </c:pt>
                      <c:pt idx="11">
                        <c:v>100.37728547934601</c:v>
                      </c:pt>
                      <c:pt idx="12">
                        <c:v>100.27151655864047</c:v>
                      </c:pt>
                      <c:pt idx="13">
                        <c:v>99.920673309470814</c:v>
                      </c:pt>
                      <c:pt idx="14">
                        <c:v>99.502757086195203</c:v>
                      </c:pt>
                      <c:pt idx="15">
                        <c:v>98.779529844248799</c:v>
                      </c:pt>
                      <c:pt idx="16">
                        <c:v>98.524652542646152</c:v>
                      </c:pt>
                      <c:pt idx="17">
                        <c:v>98.158717874302653</c:v>
                      </c:pt>
                      <c:pt idx="18">
                        <c:v>98.37477024281705</c:v>
                      </c:pt>
                      <c:pt idx="19">
                        <c:v>99.390151881590384</c:v>
                      </c:pt>
                      <c:pt idx="20">
                        <c:v>101.76621198929411</c:v>
                      </c:pt>
                      <c:pt idx="21">
                        <c:v>101.59233820257326</c:v>
                      </c:pt>
                      <c:pt idx="22">
                        <c:v>102.35593821547191</c:v>
                      </c:pt>
                      <c:pt idx="23">
                        <c:v>103.64361033181773</c:v>
                      </c:pt>
                      <c:pt idx="24">
                        <c:v>101.93931185708297</c:v>
                      </c:pt>
                      <c:pt idx="25">
                        <c:v>99.909322498468285</c:v>
                      </c:pt>
                      <c:pt idx="26">
                        <c:v>98.951984779594341</c:v>
                      </c:pt>
                      <c:pt idx="27">
                        <c:v>99.602076682467512</c:v>
                      </c:pt>
                      <c:pt idx="28">
                        <c:v>98.376705040147058</c:v>
                      </c:pt>
                      <c:pt idx="29">
                        <c:v>98.52310470478217</c:v>
                      </c:pt>
                      <c:pt idx="30">
                        <c:v>99.332494921157021</c:v>
                      </c:pt>
                      <c:pt idx="31">
                        <c:v>99.430524652542644</c:v>
                      </c:pt>
                      <c:pt idx="32">
                        <c:v>99.514365870175098</c:v>
                      </c:pt>
                      <c:pt idx="33">
                        <c:v>98.166199090645264</c:v>
                      </c:pt>
                      <c:pt idx="34">
                        <c:v>98.234819902615214</c:v>
                      </c:pt>
                      <c:pt idx="35">
                        <c:v>97.835348747218731</c:v>
                      </c:pt>
                      <c:pt idx="36">
                        <c:v>98.107123278836539</c:v>
                      </c:pt>
                      <c:pt idx="37">
                        <c:v>98.09422462997</c:v>
                      </c:pt>
                      <c:pt idx="38">
                        <c:v>98.087775305536738</c:v>
                      </c:pt>
                      <c:pt idx="39">
                        <c:v>97.236464480345674</c:v>
                      </c:pt>
                      <c:pt idx="40">
                        <c:v>97.334494211731297</c:v>
                      </c:pt>
                      <c:pt idx="41">
                        <c:v>97.510818741736784</c:v>
                      </c:pt>
                      <c:pt idx="42">
                        <c:v>97.778207732739986</c:v>
                      </c:pt>
                      <c:pt idx="43">
                        <c:v>98.453065041436901</c:v>
                      </c:pt>
                      <c:pt idx="44">
                        <c:v>97.726226177807874</c:v>
                      </c:pt>
                      <c:pt idx="45">
                        <c:v>96.691496565734738</c:v>
                      </c:pt>
                      <c:pt idx="46">
                        <c:v>95.78214182064427</c:v>
                      </c:pt>
                      <c:pt idx="47">
                        <c:v>95.447421882557805</c:v>
                      </c:pt>
                      <c:pt idx="48">
                        <c:v>94.988874915352611</c:v>
                      </c:pt>
                      <c:pt idx="49">
                        <c:v>94.588371868046806</c:v>
                      </c:pt>
                      <c:pt idx="50">
                        <c:v>94.900519170616874</c:v>
                      </c:pt>
                      <c:pt idx="51">
                        <c:v>94.160136725677987</c:v>
                      </c:pt>
                      <c:pt idx="52">
                        <c:v>94.035148818161289</c:v>
                      </c:pt>
                      <c:pt idx="53">
                        <c:v>94.992873496501232</c:v>
                      </c:pt>
                      <c:pt idx="54">
                        <c:v>93.951307600528835</c:v>
                      </c:pt>
                      <c:pt idx="55">
                        <c:v>94.375157202283077</c:v>
                      </c:pt>
                      <c:pt idx="56">
                        <c:v>93.973106317113306</c:v>
                      </c:pt>
                      <c:pt idx="57">
                        <c:v>94.366515107542497</c:v>
                      </c:pt>
                      <c:pt idx="58">
                        <c:v>96.169746219083578</c:v>
                      </c:pt>
                      <c:pt idx="59">
                        <c:v>97.825932733546182</c:v>
                      </c:pt>
                      <c:pt idx="60">
                        <c:v>96.601850956112372</c:v>
                      </c:pt>
                      <c:pt idx="61">
                        <c:v>95.212666473186957</c:v>
                      </c:pt>
                      <c:pt idx="62">
                        <c:v>95.46290026119766</c:v>
                      </c:pt>
                      <c:pt idx="63">
                        <c:v>94.784818290284122</c:v>
                      </c:pt>
                      <c:pt idx="64">
                        <c:v>95.270710393086361</c:v>
                      </c:pt>
                      <c:pt idx="65">
                        <c:v>95.62748702073462</c:v>
                      </c:pt>
                      <c:pt idx="66">
                        <c:v>95.179129986133987</c:v>
                      </c:pt>
                      <c:pt idx="67">
                        <c:v>95.179129986133987</c:v>
                      </c:pt>
                      <c:pt idx="68">
                        <c:v>95.812453645480659</c:v>
                      </c:pt>
                      <c:pt idx="69">
                        <c:v>95.591886749862965</c:v>
                      </c:pt>
                      <c:pt idx="70">
                        <c:v>95.072716132985079</c:v>
                      </c:pt>
                      <c:pt idx="71">
                        <c:v>96.015091419173856</c:v>
                      </c:pt>
                      <c:pt idx="72">
                        <c:v>95.211376608300284</c:v>
                      </c:pt>
                      <c:pt idx="73">
                        <c:v>96.181483989552092</c:v>
                      </c:pt>
                      <c:pt idx="74">
                        <c:v>94.736190384057281</c:v>
                      </c:pt>
                      <c:pt idx="75">
                        <c:v>95.111412079584653</c:v>
                      </c:pt>
                      <c:pt idx="76">
                        <c:v>94.314404566121695</c:v>
                      </c:pt>
                      <c:pt idx="77">
                        <c:v>94.559994840540455</c:v>
                      </c:pt>
                      <c:pt idx="78">
                        <c:v>95.194608364773785</c:v>
                      </c:pt>
                      <c:pt idx="79">
                        <c:v>94.992099577569235</c:v>
                      </c:pt>
                      <c:pt idx="80">
                        <c:v>94.648995517719513</c:v>
                      </c:pt>
                      <c:pt idx="81">
                        <c:v>95.117861404017916</c:v>
                      </c:pt>
                      <c:pt idx="82">
                        <c:v>96.933346231982185</c:v>
                      </c:pt>
                      <c:pt idx="83">
                        <c:v>97.175324884718293</c:v>
                      </c:pt>
                      <c:pt idx="84">
                        <c:v>96.746315823417461</c:v>
                      </c:pt>
                      <c:pt idx="85">
                        <c:v>97.665086582180479</c:v>
                      </c:pt>
                      <c:pt idx="86">
                        <c:v>97.877527329012253</c:v>
                      </c:pt>
                      <c:pt idx="87">
                        <c:v>97.707265163974043</c:v>
                      </c:pt>
                      <c:pt idx="88">
                        <c:v>98.038760439843898</c:v>
                      </c:pt>
                      <c:pt idx="89">
                        <c:v>98.206442875108806</c:v>
                      </c:pt>
                      <c:pt idx="90">
                        <c:v>97.818193544226219</c:v>
                      </c:pt>
                      <c:pt idx="91">
                        <c:v>97.256070426622784</c:v>
                      </c:pt>
                      <c:pt idx="92">
                        <c:v>96.162007029763615</c:v>
                      </c:pt>
                      <c:pt idx="93">
                        <c:v>95.773886685369675</c:v>
                      </c:pt>
                      <c:pt idx="94">
                        <c:v>95.193318499887113</c:v>
                      </c:pt>
                      <c:pt idx="95">
                        <c:v>95.275869852632908</c:v>
                      </c:pt>
                      <c:pt idx="96">
                        <c:v>94.886588629841</c:v>
                      </c:pt>
                      <c:pt idx="97">
                        <c:v>94.830866466737589</c:v>
                      </c:pt>
                      <c:pt idx="98">
                        <c:v>94.479894231079285</c:v>
                      </c:pt>
                      <c:pt idx="99">
                        <c:v>94.897939440843558</c:v>
                      </c:pt>
                      <c:pt idx="100">
                        <c:v>95.035954983715456</c:v>
                      </c:pt>
                      <c:pt idx="101">
                        <c:v>95.217825932733533</c:v>
                      </c:pt>
                      <c:pt idx="102">
                        <c:v>95.385508367998455</c:v>
                      </c:pt>
                      <c:pt idx="103">
                        <c:v>95.511915126890457</c:v>
                      </c:pt>
                      <c:pt idx="104">
                        <c:v>95.797749185772787</c:v>
                      </c:pt>
                      <c:pt idx="105">
                        <c:v>95.375189448905218</c:v>
                      </c:pt>
                      <c:pt idx="106">
                        <c:v>94.70059011318564</c:v>
                      </c:pt>
                      <c:pt idx="107">
                        <c:v>96.278094869562395</c:v>
                      </c:pt>
                      <c:pt idx="108">
                        <c:v>95.651220534648985</c:v>
                      </c:pt>
                      <c:pt idx="109">
                        <c:v>95.741511076714701</c:v>
                      </c:pt>
                      <c:pt idx="110">
                        <c:v>95.069491470768426</c:v>
                      </c:pt>
                      <c:pt idx="111">
                        <c:v>95.376479313791862</c:v>
                      </c:pt>
                      <c:pt idx="112">
                        <c:v>96.13711263745121</c:v>
                      </c:pt>
                      <c:pt idx="113">
                        <c:v>95.591886749862937</c:v>
                      </c:pt>
                      <c:pt idx="114">
                        <c:v>95.898229660443036</c:v>
                      </c:pt>
                      <c:pt idx="115">
                        <c:v>95.253942149559805</c:v>
                      </c:pt>
                      <c:pt idx="116">
                        <c:v>94.688981329205745</c:v>
                      </c:pt>
                      <c:pt idx="117">
                        <c:v>94.52258875882751</c:v>
                      </c:pt>
                      <c:pt idx="118">
                        <c:v>94.105317467995206</c:v>
                      </c:pt>
                      <c:pt idx="119">
                        <c:v>93.776401921898668</c:v>
                      </c:pt>
                      <c:pt idx="120">
                        <c:v>93.591822256618599</c:v>
                      </c:pt>
                      <c:pt idx="121">
                        <c:v>95.0372448486021</c:v>
                      </c:pt>
                      <c:pt idx="122">
                        <c:v>95.646706007545689</c:v>
                      </c:pt>
                      <c:pt idx="123">
                        <c:v>95.541582019283453</c:v>
                      </c:pt>
                      <c:pt idx="124">
                        <c:v>96.26519622069587</c:v>
                      </c:pt>
                      <c:pt idx="125">
                        <c:v>98.474089839089345</c:v>
                      </c:pt>
                      <c:pt idx="126">
                        <c:v>98.722001870304069</c:v>
                      </c:pt>
                      <c:pt idx="127">
                        <c:v>98.057592467189053</c:v>
                      </c:pt>
                      <c:pt idx="128">
                        <c:v>97.575698945535436</c:v>
                      </c:pt>
                      <c:pt idx="129">
                        <c:v>97.364161104124321</c:v>
                      </c:pt>
                      <c:pt idx="130">
                        <c:v>97.671535906613769</c:v>
                      </c:pt>
                      <c:pt idx="131">
                        <c:v>97.502176646996205</c:v>
                      </c:pt>
                      <c:pt idx="132">
                        <c:v>98.294153687401234</c:v>
                      </c:pt>
                      <c:pt idx="133">
                        <c:v>98.648866531230851</c:v>
                      </c:pt>
                      <c:pt idx="134">
                        <c:v>98.472670987714039</c:v>
                      </c:pt>
                      <c:pt idx="135">
                        <c:v>99.422785463222723</c:v>
                      </c:pt>
                      <c:pt idx="136">
                        <c:v>99.190609783625163</c:v>
                      </c:pt>
                      <c:pt idx="137">
                        <c:v>98.927477346747906</c:v>
                      </c:pt>
                      <c:pt idx="138">
                        <c:v>99.77104898261905</c:v>
                      </c:pt>
                      <c:pt idx="139">
                        <c:v>99.644642223727047</c:v>
                      </c:pt>
                      <c:pt idx="140">
                        <c:v>97.900744896972043</c:v>
                      </c:pt>
                      <c:pt idx="141">
                        <c:v>97.549901647802386</c:v>
                      </c:pt>
                      <c:pt idx="142">
                        <c:v>98.427009770726528</c:v>
                      </c:pt>
                      <c:pt idx="143">
                        <c:v>97.774983070523348</c:v>
                      </c:pt>
                      <c:pt idx="144">
                        <c:v>98.379284769920346</c:v>
                      </c:pt>
                      <c:pt idx="145">
                        <c:v>99.015188159040321</c:v>
                      </c:pt>
                      <c:pt idx="146">
                        <c:v>98.616619909064497</c:v>
                      </c:pt>
                      <c:pt idx="147">
                        <c:v>97.017187449614639</c:v>
                      </c:pt>
                      <c:pt idx="148">
                        <c:v>96.363225952081493</c:v>
                      </c:pt>
                      <c:pt idx="149">
                        <c:v>96.363225952081493</c:v>
                      </c:pt>
                      <c:pt idx="150">
                        <c:v>96.675373254651561</c:v>
                      </c:pt>
                      <c:pt idx="151">
                        <c:v>96.594111766792409</c:v>
                      </c:pt>
                      <c:pt idx="152">
                        <c:v>95.868691754538702</c:v>
                      </c:pt>
                      <c:pt idx="153">
                        <c:v>96.059462771274681</c:v>
                      </c:pt>
                      <c:pt idx="154">
                        <c:v>96.946244880848695</c:v>
                      </c:pt>
                      <c:pt idx="155">
                        <c:v>96.548966495759544</c:v>
                      </c:pt>
                      <c:pt idx="156">
                        <c:v>96.165876624423575</c:v>
                      </c:pt>
                      <c:pt idx="157">
                        <c:v>96.355486762761572</c:v>
                      </c:pt>
                      <c:pt idx="158">
                        <c:v>95.674438102608732</c:v>
                      </c:pt>
                      <c:pt idx="159">
                        <c:v>94.882461062203703</c:v>
                      </c:pt>
                      <c:pt idx="160">
                        <c:v>95.74989519847793</c:v>
                      </c:pt>
                      <c:pt idx="161">
                        <c:v>95.385508367998426</c:v>
                      </c:pt>
                      <c:pt idx="162">
                        <c:v>96.069136757924596</c:v>
                      </c:pt>
                      <c:pt idx="163">
                        <c:v>95.424204314598043</c:v>
                      </c:pt>
                      <c:pt idx="164">
                        <c:v>95.259101609106452</c:v>
                      </c:pt>
                      <c:pt idx="165">
                        <c:v>95.150752958627578</c:v>
                      </c:pt>
                      <c:pt idx="166">
                        <c:v>94.872142143110509</c:v>
                      </c:pt>
                      <c:pt idx="167">
                        <c:v>95.059559511141188</c:v>
                      </c:pt>
                      <c:pt idx="168">
                        <c:v>94.740575924671873</c:v>
                      </c:pt>
                      <c:pt idx="169">
                        <c:v>94.808938763664486</c:v>
                      </c:pt>
                      <c:pt idx="170">
                        <c:v>94.678662410112523</c:v>
                      </c:pt>
                      <c:pt idx="171">
                        <c:v>94.740059978717213</c:v>
                      </c:pt>
                      <c:pt idx="172">
                        <c:v>94.726387410918676</c:v>
                      </c:pt>
                      <c:pt idx="173">
                        <c:v>94.575473219180267</c:v>
                      </c:pt>
                      <c:pt idx="174">
                        <c:v>94.164006320337919</c:v>
                      </c:pt>
                      <c:pt idx="175">
                        <c:v>94.482602947341235</c:v>
                      </c:pt>
                      <c:pt idx="176">
                        <c:v>94.727677275805334</c:v>
                      </c:pt>
                      <c:pt idx="177">
                        <c:v>94.227209699783927</c:v>
                      </c:pt>
                      <c:pt idx="178">
                        <c:v>94.082228886524106</c:v>
                      </c:pt>
                      <c:pt idx="179">
                        <c:v>93.824771855148143</c:v>
                      </c:pt>
                      <c:pt idx="180">
                        <c:v>93.809680435974315</c:v>
                      </c:pt>
                      <c:pt idx="181">
                        <c:v>93.142175357131322</c:v>
                      </c:pt>
                      <c:pt idx="182">
                        <c:v>93.204346844667995</c:v>
                      </c:pt>
                      <c:pt idx="183">
                        <c:v>92.522008319628497</c:v>
                      </c:pt>
                      <c:pt idx="184">
                        <c:v>92.61616845635416</c:v>
                      </c:pt>
                      <c:pt idx="185">
                        <c:v>92.836735351971839</c:v>
                      </c:pt>
                      <c:pt idx="186">
                        <c:v>93.095998194189107</c:v>
                      </c:pt>
                      <c:pt idx="187">
                        <c:v>93.647286446744658</c:v>
                      </c:pt>
                      <c:pt idx="188">
                        <c:v>93.194027925574744</c:v>
                      </c:pt>
                      <c:pt idx="189">
                        <c:v>93.757698881042145</c:v>
                      </c:pt>
                      <c:pt idx="190">
                        <c:v>94.162716455451218</c:v>
                      </c:pt>
                      <c:pt idx="191">
                        <c:v>93.863467801747689</c:v>
                      </c:pt>
                      <c:pt idx="192">
                        <c:v>93.433942794492197</c:v>
                      </c:pt>
                      <c:pt idx="193">
                        <c:v>93.066976234239391</c:v>
                      </c:pt>
                      <c:pt idx="194">
                        <c:v>92.982490084163615</c:v>
                      </c:pt>
                      <c:pt idx="195">
                        <c:v>93.004417787236719</c:v>
                      </c:pt>
                      <c:pt idx="196">
                        <c:v>93.780916449001907</c:v>
                      </c:pt>
                      <c:pt idx="197">
                        <c:v>94.127890103511589</c:v>
                      </c:pt>
                      <c:pt idx="198">
                        <c:v>94.543097610525237</c:v>
                      </c:pt>
                      <c:pt idx="199">
                        <c:v>94.276224565476724</c:v>
                      </c:pt>
                      <c:pt idx="200">
                        <c:v>94.571603624520293</c:v>
                      </c:pt>
                      <c:pt idx="201">
                        <c:v>95.882106349359844</c:v>
                      </c:pt>
                      <c:pt idx="202">
                        <c:v>96.088484731224355</c:v>
                      </c:pt>
                      <c:pt idx="203">
                        <c:v>96.198123246589873</c:v>
                      </c:pt>
                      <c:pt idx="204">
                        <c:v>95.861984457128074</c:v>
                      </c:pt>
                      <c:pt idx="205">
                        <c:v>95.893328173873741</c:v>
                      </c:pt>
                      <c:pt idx="206">
                        <c:v>95.847279997420245</c:v>
                      </c:pt>
                      <c:pt idx="207">
                        <c:v>95.50288607268385</c:v>
                      </c:pt>
                      <c:pt idx="208">
                        <c:v>95.731579117087463</c:v>
                      </c:pt>
                      <c:pt idx="209">
                        <c:v>95.43968269323787</c:v>
                      </c:pt>
                      <c:pt idx="210">
                        <c:v>96.205862435909808</c:v>
                      </c:pt>
                      <c:pt idx="211">
                        <c:v>95.763438779787776</c:v>
                      </c:pt>
                      <c:pt idx="212">
                        <c:v>95.282319177066171</c:v>
                      </c:pt>
                      <c:pt idx="213">
                        <c:v>94.877301602657084</c:v>
                      </c:pt>
                      <c:pt idx="214">
                        <c:v>95.077230660088318</c:v>
                      </c:pt>
                      <c:pt idx="215">
                        <c:v>94.911483022153391</c:v>
                      </c:pt>
                      <c:pt idx="216">
                        <c:v>95.064332011221779</c:v>
                      </c:pt>
                      <c:pt idx="217">
                        <c:v>94.643836058172866</c:v>
                      </c:pt>
                      <c:pt idx="218">
                        <c:v>94.266550578826823</c:v>
                      </c:pt>
                      <c:pt idx="219">
                        <c:v>94.253651929960313</c:v>
                      </c:pt>
                      <c:pt idx="220">
                        <c:v>93.93441037051366</c:v>
                      </c:pt>
                      <c:pt idx="221">
                        <c:v>94.068298345748246</c:v>
                      </c:pt>
                      <c:pt idx="222">
                        <c:v>94.245267808197056</c:v>
                      </c:pt>
                      <c:pt idx="223">
                        <c:v>94.229273483602555</c:v>
                      </c:pt>
                      <c:pt idx="224">
                        <c:v>94.798619844571249</c:v>
                      </c:pt>
                      <c:pt idx="225">
                        <c:v>94.937925252329777</c:v>
                      </c:pt>
                      <c:pt idx="226">
                        <c:v>95.278449582406211</c:v>
                      </c:pt>
                      <c:pt idx="227">
                        <c:v>94.660604301699365</c:v>
                      </c:pt>
                      <c:pt idx="228">
                        <c:v>94.846344845377402</c:v>
                      </c:pt>
                      <c:pt idx="229">
                        <c:v>94.356196188449218</c:v>
                      </c:pt>
                      <c:pt idx="230">
                        <c:v>94.340717809809391</c:v>
                      </c:pt>
                      <c:pt idx="231">
                        <c:v>94.767534100802905</c:v>
                      </c:pt>
                      <c:pt idx="232">
                        <c:v>94.750120924833098</c:v>
                      </c:pt>
                      <c:pt idx="233">
                        <c:v>95.382283705781788</c:v>
                      </c:pt>
                      <c:pt idx="234">
                        <c:v>95.791815807294157</c:v>
                      </c:pt>
                      <c:pt idx="235">
                        <c:v>95.318048434426473</c:v>
                      </c:pt>
                      <c:pt idx="236">
                        <c:v>94.892135048853604</c:v>
                      </c:pt>
                      <c:pt idx="237">
                        <c:v>95.13398471510105</c:v>
                      </c:pt>
                      <c:pt idx="238">
                        <c:v>95.599625939182829</c:v>
                      </c:pt>
                      <c:pt idx="239">
                        <c:v>94.736706330011899</c:v>
                      </c:pt>
                      <c:pt idx="240">
                        <c:v>94.678791396601184</c:v>
                      </c:pt>
                      <c:pt idx="241">
                        <c:v>94.311695849859703</c:v>
                      </c:pt>
                      <c:pt idx="242">
                        <c:v>94.108542130211816</c:v>
                      </c:pt>
                      <c:pt idx="243">
                        <c:v>93.943439424720211</c:v>
                      </c:pt>
                      <c:pt idx="244">
                        <c:v>93.831221179581405</c:v>
                      </c:pt>
                      <c:pt idx="245">
                        <c:v>94.094353616458633</c:v>
                      </c:pt>
                      <c:pt idx="246">
                        <c:v>94.500661055754364</c:v>
                      </c:pt>
                      <c:pt idx="247">
                        <c:v>94.311695849859703</c:v>
                      </c:pt>
                      <c:pt idx="248">
                        <c:v>94.095643481345306</c:v>
                      </c:pt>
                      <c:pt idx="249">
                        <c:v>94.26719551127016</c:v>
                      </c:pt>
                      <c:pt idx="250">
                        <c:v>93.534552255651192</c:v>
                      </c:pt>
                      <c:pt idx="251">
                        <c:v>94.041469156105876</c:v>
                      </c:pt>
                      <c:pt idx="252">
                        <c:v>93.086324207539235</c:v>
                      </c:pt>
                      <c:pt idx="253">
                        <c:v>93.116507045886905</c:v>
                      </c:pt>
                      <c:pt idx="254">
                        <c:v>93.90216374834732</c:v>
                      </c:pt>
                      <c:pt idx="255">
                        <c:v>94.552771597175152</c:v>
                      </c:pt>
                      <c:pt idx="256">
                        <c:v>94.243977943310398</c:v>
                      </c:pt>
                      <c:pt idx="257">
                        <c:v>93.979555641546511</c:v>
                      </c:pt>
                      <c:pt idx="258">
                        <c:v>93.797813679017082</c:v>
                      </c:pt>
                      <c:pt idx="259">
                        <c:v>93.640966108800058</c:v>
                      </c:pt>
                      <c:pt idx="260">
                        <c:v>93.590403405243265</c:v>
                      </c:pt>
                      <c:pt idx="261">
                        <c:v>93.786720840991862</c:v>
                      </c:pt>
                      <c:pt idx="262">
                        <c:v>93.948598884266829</c:v>
                      </c:pt>
                      <c:pt idx="263">
                        <c:v>93.615168811066994</c:v>
                      </c:pt>
                      <c:pt idx="264">
                        <c:v>93.615168811066994</c:v>
                      </c:pt>
                      <c:pt idx="265">
                        <c:v>93.257231305020753</c:v>
                      </c:pt>
                      <c:pt idx="266">
                        <c:v>93.173390087388299</c:v>
                      </c:pt>
                      <c:pt idx="267">
                        <c:v>93.341072522653207</c:v>
                      </c:pt>
                      <c:pt idx="268">
                        <c:v>92.480087710812256</c:v>
                      </c:pt>
                      <c:pt idx="269">
                        <c:v>92.581342104414503</c:v>
                      </c:pt>
                      <c:pt idx="270">
                        <c:v>92.346586695043626</c:v>
                      </c:pt>
                      <c:pt idx="271">
                        <c:v>92.48073264325555</c:v>
                      </c:pt>
                      <c:pt idx="272">
                        <c:v>92.765792783205896</c:v>
                      </c:pt>
                      <c:pt idx="273">
                        <c:v>91.948018445067817</c:v>
                      </c:pt>
                      <c:pt idx="274">
                        <c:v>91.359840056753981</c:v>
                      </c:pt>
                      <c:pt idx="275">
                        <c:v>91.735190738770058</c:v>
                      </c:pt>
                      <c:pt idx="276">
                        <c:v>91.296636677308001</c:v>
                      </c:pt>
                      <c:pt idx="277">
                        <c:v>91.10315694431003</c:v>
                      </c:pt>
                      <c:pt idx="278">
                        <c:v>91.606204250104739</c:v>
                      </c:pt>
                      <c:pt idx="279">
                        <c:v>90.671052207281235</c:v>
                      </c:pt>
                      <c:pt idx="280">
                        <c:v>89.94485827609553</c:v>
                      </c:pt>
                      <c:pt idx="281">
                        <c:v>89.416271645545081</c:v>
                      </c:pt>
                      <c:pt idx="282">
                        <c:v>91.044081132501319</c:v>
                      </c:pt>
                      <c:pt idx="283">
                        <c:v>90.371158621134398</c:v>
                      </c:pt>
                      <c:pt idx="284">
                        <c:v>91.403050530456895</c:v>
                      </c:pt>
                    </c:numCache>
                  </c:numRef>
                </c:val>
                <c:smooth val="0"/>
                <c:extLst xmlns:c15="http://schemas.microsoft.com/office/drawing/2012/chart">
                  <c:ext xmlns:c16="http://schemas.microsoft.com/office/drawing/2014/chart" uri="{C3380CC4-5D6E-409C-BE32-E72D297353CC}">
                    <c16:uniqueId val="{00000004-61DB-4070-8C60-273A3892C606}"/>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'Currency Chart'!$S$5</c15:sqref>
                        </c15:formulaRef>
                      </c:ext>
                    </c:extLst>
                    <c:strCache>
                      <c:ptCount val="1"/>
                      <c:pt idx="0">
                        <c:v>Renminbi</c:v>
                      </c:pt>
                    </c:strCache>
                  </c:strRef>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'Currency Chart'!$O$6:$O$291</c15:sqref>
                        </c15:formulaRef>
                      </c:ext>
                    </c:extLst>
                    <c:numCache>
                      <c:formatCode>m/d/yyyy</c:formatCode>
                      <c:ptCount val="286"/>
                      <c:pt idx="0">
                        <c:v>44104</c:v>
                      </c:pt>
                      <c:pt idx="1">
                        <c:v>44105</c:v>
                      </c:pt>
                      <c:pt idx="2">
                        <c:v>44106</c:v>
                      </c:pt>
                      <c:pt idx="3">
                        <c:v>44109</c:v>
                      </c:pt>
                      <c:pt idx="4">
                        <c:v>44110</c:v>
                      </c:pt>
                      <c:pt idx="5">
                        <c:v>44111</c:v>
                      </c:pt>
                      <c:pt idx="6">
                        <c:v>44112</c:v>
                      </c:pt>
                      <c:pt idx="7">
                        <c:v>44113</c:v>
                      </c:pt>
                      <c:pt idx="8">
                        <c:v>44116</c:v>
                      </c:pt>
                      <c:pt idx="9">
                        <c:v>44117</c:v>
                      </c:pt>
                      <c:pt idx="10">
                        <c:v>44118</c:v>
                      </c:pt>
                      <c:pt idx="11">
                        <c:v>44119</c:v>
                      </c:pt>
                      <c:pt idx="12">
                        <c:v>44120</c:v>
                      </c:pt>
                      <c:pt idx="13">
                        <c:v>44123</c:v>
                      </c:pt>
                      <c:pt idx="14">
                        <c:v>44124</c:v>
                      </c:pt>
                      <c:pt idx="15">
                        <c:v>44125</c:v>
                      </c:pt>
                      <c:pt idx="16">
                        <c:v>44126</c:v>
                      </c:pt>
                      <c:pt idx="17">
                        <c:v>44127</c:v>
                      </c:pt>
                      <c:pt idx="18">
                        <c:v>44130</c:v>
                      </c:pt>
                      <c:pt idx="19">
                        <c:v>44131</c:v>
                      </c:pt>
                      <c:pt idx="20">
                        <c:v>44132</c:v>
                      </c:pt>
                      <c:pt idx="21">
                        <c:v>44133</c:v>
                      </c:pt>
                      <c:pt idx="22">
                        <c:v>44134</c:v>
                      </c:pt>
                      <c:pt idx="23">
                        <c:v>44137</c:v>
                      </c:pt>
                      <c:pt idx="24">
                        <c:v>44138</c:v>
                      </c:pt>
                      <c:pt idx="25">
                        <c:v>44139</c:v>
                      </c:pt>
                      <c:pt idx="26">
                        <c:v>44140</c:v>
                      </c:pt>
                      <c:pt idx="27">
                        <c:v>44141</c:v>
                      </c:pt>
                      <c:pt idx="28">
                        <c:v>44144</c:v>
                      </c:pt>
                      <c:pt idx="29">
                        <c:v>44145</c:v>
                      </c:pt>
                      <c:pt idx="30">
                        <c:v>44146</c:v>
                      </c:pt>
                      <c:pt idx="31">
                        <c:v>44147</c:v>
                      </c:pt>
                      <c:pt idx="32">
                        <c:v>44148</c:v>
                      </c:pt>
                      <c:pt idx="33">
                        <c:v>44151</c:v>
                      </c:pt>
                      <c:pt idx="34">
                        <c:v>44152</c:v>
                      </c:pt>
                      <c:pt idx="35">
                        <c:v>44153</c:v>
                      </c:pt>
                      <c:pt idx="36">
                        <c:v>44154</c:v>
                      </c:pt>
                      <c:pt idx="37">
                        <c:v>44155</c:v>
                      </c:pt>
                      <c:pt idx="38">
                        <c:v>44158</c:v>
                      </c:pt>
                      <c:pt idx="39">
                        <c:v>44159</c:v>
                      </c:pt>
                      <c:pt idx="40">
                        <c:v>44160</c:v>
                      </c:pt>
                      <c:pt idx="41">
                        <c:v>44161</c:v>
                      </c:pt>
                      <c:pt idx="42">
                        <c:v>44162</c:v>
                      </c:pt>
                      <c:pt idx="43">
                        <c:v>44165</c:v>
                      </c:pt>
                      <c:pt idx="44">
                        <c:v>44166</c:v>
                      </c:pt>
                      <c:pt idx="45">
                        <c:v>44167</c:v>
                      </c:pt>
                      <c:pt idx="46">
                        <c:v>44168</c:v>
                      </c:pt>
                      <c:pt idx="47">
                        <c:v>44169</c:v>
                      </c:pt>
                      <c:pt idx="48">
                        <c:v>44172</c:v>
                      </c:pt>
                      <c:pt idx="49">
                        <c:v>44173</c:v>
                      </c:pt>
                      <c:pt idx="50">
                        <c:v>44174</c:v>
                      </c:pt>
                      <c:pt idx="51">
                        <c:v>44175</c:v>
                      </c:pt>
                      <c:pt idx="52">
                        <c:v>44176</c:v>
                      </c:pt>
                      <c:pt idx="53">
                        <c:v>44179</c:v>
                      </c:pt>
                      <c:pt idx="54">
                        <c:v>44180</c:v>
                      </c:pt>
                      <c:pt idx="55">
                        <c:v>44181</c:v>
                      </c:pt>
                      <c:pt idx="56">
                        <c:v>44182</c:v>
                      </c:pt>
                      <c:pt idx="57">
                        <c:v>44183</c:v>
                      </c:pt>
                      <c:pt idx="58">
                        <c:v>44186</c:v>
                      </c:pt>
                      <c:pt idx="59">
                        <c:v>44187</c:v>
                      </c:pt>
                      <c:pt idx="60">
                        <c:v>44188</c:v>
                      </c:pt>
                      <c:pt idx="61">
                        <c:v>44189</c:v>
                      </c:pt>
                      <c:pt idx="62">
                        <c:v>44190</c:v>
                      </c:pt>
                      <c:pt idx="63">
                        <c:v>44193</c:v>
                      </c:pt>
                      <c:pt idx="64">
                        <c:v>44194</c:v>
                      </c:pt>
                      <c:pt idx="65">
                        <c:v>44195</c:v>
                      </c:pt>
                      <c:pt idx="66">
                        <c:v>44196</c:v>
                      </c:pt>
                      <c:pt idx="67">
                        <c:v>44197</c:v>
                      </c:pt>
                      <c:pt idx="68">
                        <c:v>44200</c:v>
                      </c:pt>
                      <c:pt idx="69">
                        <c:v>44201</c:v>
                      </c:pt>
                      <c:pt idx="70">
                        <c:v>44202</c:v>
                      </c:pt>
                      <c:pt idx="71">
                        <c:v>44203</c:v>
                      </c:pt>
                      <c:pt idx="72">
                        <c:v>44204</c:v>
                      </c:pt>
                      <c:pt idx="73">
                        <c:v>44207</c:v>
                      </c:pt>
                      <c:pt idx="74">
                        <c:v>44208</c:v>
                      </c:pt>
                      <c:pt idx="75">
                        <c:v>44209</c:v>
                      </c:pt>
                      <c:pt idx="76">
                        <c:v>44210</c:v>
                      </c:pt>
                      <c:pt idx="77">
                        <c:v>44211</c:v>
                      </c:pt>
                      <c:pt idx="78">
                        <c:v>44214</c:v>
                      </c:pt>
                      <c:pt idx="79">
                        <c:v>44215</c:v>
                      </c:pt>
                      <c:pt idx="80">
                        <c:v>44216</c:v>
                      </c:pt>
                      <c:pt idx="81">
                        <c:v>44217</c:v>
                      </c:pt>
                      <c:pt idx="82">
                        <c:v>44218</c:v>
                      </c:pt>
                      <c:pt idx="83">
                        <c:v>44221</c:v>
                      </c:pt>
                      <c:pt idx="84">
                        <c:v>44222</c:v>
                      </c:pt>
                      <c:pt idx="85">
                        <c:v>44223</c:v>
                      </c:pt>
                      <c:pt idx="86">
                        <c:v>44224</c:v>
                      </c:pt>
                      <c:pt idx="87">
                        <c:v>44225</c:v>
                      </c:pt>
                      <c:pt idx="88">
                        <c:v>44228</c:v>
                      </c:pt>
                      <c:pt idx="89">
                        <c:v>44229</c:v>
                      </c:pt>
                      <c:pt idx="90">
                        <c:v>44230</c:v>
                      </c:pt>
                      <c:pt idx="91">
                        <c:v>44231</c:v>
                      </c:pt>
                      <c:pt idx="92">
                        <c:v>44232</c:v>
                      </c:pt>
                      <c:pt idx="93">
                        <c:v>44235</c:v>
                      </c:pt>
                      <c:pt idx="94">
                        <c:v>44236</c:v>
                      </c:pt>
                      <c:pt idx="95">
                        <c:v>44237</c:v>
                      </c:pt>
                      <c:pt idx="96">
                        <c:v>44238</c:v>
                      </c:pt>
                      <c:pt idx="97">
                        <c:v>44239</c:v>
                      </c:pt>
                      <c:pt idx="98">
                        <c:v>44242</c:v>
                      </c:pt>
                      <c:pt idx="99">
                        <c:v>44243</c:v>
                      </c:pt>
                      <c:pt idx="100">
                        <c:v>44244</c:v>
                      </c:pt>
                      <c:pt idx="101">
                        <c:v>44245</c:v>
                      </c:pt>
                      <c:pt idx="102">
                        <c:v>44246</c:v>
                      </c:pt>
                      <c:pt idx="103">
                        <c:v>44247</c:v>
                      </c:pt>
                      <c:pt idx="104">
                        <c:v>44249</c:v>
                      </c:pt>
                      <c:pt idx="105">
                        <c:v>44250</c:v>
                      </c:pt>
                      <c:pt idx="106">
                        <c:v>44251</c:v>
                      </c:pt>
                      <c:pt idx="107">
                        <c:v>44252</c:v>
                      </c:pt>
                      <c:pt idx="108">
                        <c:v>44253</c:v>
                      </c:pt>
                      <c:pt idx="109">
                        <c:v>44256</c:v>
                      </c:pt>
                      <c:pt idx="110">
                        <c:v>44257</c:v>
                      </c:pt>
                      <c:pt idx="111">
                        <c:v>44258</c:v>
                      </c:pt>
                      <c:pt idx="112">
                        <c:v>44259</c:v>
                      </c:pt>
                      <c:pt idx="113">
                        <c:v>44260</c:v>
                      </c:pt>
                      <c:pt idx="114">
                        <c:v>44263</c:v>
                      </c:pt>
                      <c:pt idx="115">
                        <c:v>44264</c:v>
                      </c:pt>
                      <c:pt idx="116">
                        <c:v>44265</c:v>
                      </c:pt>
                      <c:pt idx="117">
                        <c:v>44266</c:v>
                      </c:pt>
                      <c:pt idx="118">
                        <c:v>44267</c:v>
                      </c:pt>
                      <c:pt idx="119">
                        <c:v>44270</c:v>
                      </c:pt>
                      <c:pt idx="120">
                        <c:v>44271</c:v>
                      </c:pt>
                      <c:pt idx="121">
                        <c:v>44272</c:v>
                      </c:pt>
                      <c:pt idx="122">
                        <c:v>44273</c:v>
                      </c:pt>
                      <c:pt idx="123">
                        <c:v>44274</c:v>
                      </c:pt>
                      <c:pt idx="124">
                        <c:v>44277</c:v>
                      </c:pt>
                      <c:pt idx="125">
                        <c:v>44278</c:v>
                      </c:pt>
                      <c:pt idx="126">
                        <c:v>44279</c:v>
                      </c:pt>
                      <c:pt idx="127">
                        <c:v>44280</c:v>
                      </c:pt>
                      <c:pt idx="128">
                        <c:v>44281</c:v>
                      </c:pt>
                      <c:pt idx="129">
                        <c:v>44284</c:v>
                      </c:pt>
                      <c:pt idx="130">
                        <c:v>44285</c:v>
                      </c:pt>
                      <c:pt idx="131">
                        <c:v>44286</c:v>
                      </c:pt>
                      <c:pt idx="132">
                        <c:v>44287</c:v>
                      </c:pt>
                      <c:pt idx="133">
                        <c:v>44288</c:v>
                      </c:pt>
                      <c:pt idx="134">
                        <c:v>44291</c:v>
                      </c:pt>
                      <c:pt idx="135">
                        <c:v>44292</c:v>
                      </c:pt>
                      <c:pt idx="136">
                        <c:v>44293</c:v>
                      </c:pt>
                      <c:pt idx="137">
                        <c:v>44294</c:v>
                      </c:pt>
                      <c:pt idx="138">
                        <c:v>44295</c:v>
                      </c:pt>
                      <c:pt idx="139">
                        <c:v>44298</c:v>
                      </c:pt>
                      <c:pt idx="140">
                        <c:v>44299</c:v>
                      </c:pt>
                      <c:pt idx="141">
                        <c:v>44300</c:v>
                      </c:pt>
                      <c:pt idx="142">
                        <c:v>44301</c:v>
                      </c:pt>
                      <c:pt idx="143">
                        <c:v>44302</c:v>
                      </c:pt>
                      <c:pt idx="144">
                        <c:v>44305</c:v>
                      </c:pt>
                      <c:pt idx="145">
                        <c:v>44306</c:v>
                      </c:pt>
                      <c:pt idx="146">
                        <c:v>44307</c:v>
                      </c:pt>
                      <c:pt idx="147">
                        <c:v>44308</c:v>
                      </c:pt>
                      <c:pt idx="148">
                        <c:v>44309</c:v>
                      </c:pt>
                      <c:pt idx="149">
                        <c:v>44311</c:v>
                      </c:pt>
                      <c:pt idx="150">
                        <c:v>44312</c:v>
                      </c:pt>
                      <c:pt idx="151">
                        <c:v>44313</c:v>
                      </c:pt>
                      <c:pt idx="152">
                        <c:v>44314</c:v>
                      </c:pt>
                      <c:pt idx="153">
                        <c:v>44315</c:v>
                      </c:pt>
                      <c:pt idx="154">
                        <c:v>44316</c:v>
                      </c:pt>
                      <c:pt idx="155">
                        <c:v>44319</c:v>
                      </c:pt>
                      <c:pt idx="156">
                        <c:v>44320</c:v>
                      </c:pt>
                      <c:pt idx="157">
                        <c:v>44321</c:v>
                      </c:pt>
                      <c:pt idx="158">
                        <c:v>44322</c:v>
                      </c:pt>
                      <c:pt idx="159">
                        <c:v>44323</c:v>
                      </c:pt>
                      <c:pt idx="160">
                        <c:v>44326</c:v>
                      </c:pt>
                      <c:pt idx="161">
                        <c:v>44327</c:v>
                      </c:pt>
                      <c:pt idx="162">
                        <c:v>44328</c:v>
                      </c:pt>
                      <c:pt idx="163">
                        <c:v>44329</c:v>
                      </c:pt>
                      <c:pt idx="164">
                        <c:v>44330</c:v>
                      </c:pt>
                      <c:pt idx="165">
                        <c:v>44333</c:v>
                      </c:pt>
                      <c:pt idx="166">
                        <c:v>44334</c:v>
                      </c:pt>
                      <c:pt idx="167">
                        <c:v>44335</c:v>
                      </c:pt>
                      <c:pt idx="168">
                        <c:v>44336</c:v>
                      </c:pt>
                      <c:pt idx="169">
                        <c:v>44337</c:v>
                      </c:pt>
                      <c:pt idx="170">
                        <c:v>44340</c:v>
                      </c:pt>
                      <c:pt idx="171">
                        <c:v>44341</c:v>
                      </c:pt>
                      <c:pt idx="172">
                        <c:v>44342</c:v>
                      </c:pt>
                      <c:pt idx="173">
                        <c:v>44343</c:v>
                      </c:pt>
                      <c:pt idx="174">
                        <c:v>44344</c:v>
                      </c:pt>
                      <c:pt idx="175">
                        <c:v>44347</c:v>
                      </c:pt>
                      <c:pt idx="176">
                        <c:v>44348</c:v>
                      </c:pt>
                      <c:pt idx="177">
                        <c:v>44349</c:v>
                      </c:pt>
                      <c:pt idx="178">
                        <c:v>44350</c:v>
                      </c:pt>
                      <c:pt idx="179">
                        <c:v>44351</c:v>
                      </c:pt>
                      <c:pt idx="180">
                        <c:v>44354</c:v>
                      </c:pt>
                      <c:pt idx="181">
                        <c:v>44355</c:v>
                      </c:pt>
                      <c:pt idx="182">
                        <c:v>44356</c:v>
                      </c:pt>
                      <c:pt idx="183">
                        <c:v>44357</c:v>
                      </c:pt>
                      <c:pt idx="184">
                        <c:v>44358</c:v>
                      </c:pt>
                      <c:pt idx="185">
                        <c:v>44361</c:v>
                      </c:pt>
                      <c:pt idx="186">
                        <c:v>44362</c:v>
                      </c:pt>
                      <c:pt idx="187">
                        <c:v>44363</c:v>
                      </c:pt>
                      <c:pt idx="188">
                        <c:v>44364</c:v>
                      </c:pt>
                      <c:pt idx="189">
                        <c:v>44365</c:v>
                      </c:pt>
                      <c:pt idx="190">
                        <c:v>44368</c:v>
                      </c:pt>
                      <c:pt idx="191">
                        <c:v>44369</c:v>
                      </c:pt>
                      <c:pt idx="192">
                        <c:v>44370</c:v>
                      </c:pt>
                      <c:pt idx="193">
                        <c:v>44371</c:v>
                      </c:pt>
                      <c:pt idx="194">
                        <c:v>44372</c:v>
                      </c:pt>
                      <c:pt idx="195">
                        <c:v>44375</c:v>
                      </c:pt>
                      <c:pt idx="196">
                        <c:v>44376</c:v>
                      </c:pt>
                      <c:pt idx="197">
                        <c:v>44377</c:v>
                      </c:pt>
                      <c:pt idx="198">
                        <c:v>44378</c:v>
                      </c:pt>
                      <c:pt idx="199">
                        <c:v>44379</c:v>
                      </c:pt>
                      <c:pt idx="200">
                        <c:v>44382</c:v>
                      </c:pt>
                      <c:pt idx="201">
                        <c:v>44383</c:v>
                      </c:pt>
                      <c:pt idx="202">
                        <c:v>44384</c:v>
                      </c:pt>
                      <c:pt idx="203">
                        <c:v>44385</c:v>
                      </c:pt>
                      <c:pt idx="204">
                        <c:v>44386</c:v>
                      </c:pt>
                      <c:pt idx="205">
                        <c:v>44389</c:v>
                      </c:pt>
                      <c:pt idx="206">
                        <c:v>44390</c:v>
                      </c:pt>
                      <c:pt idx="207">
                        <c:v>44391</c:v>
                      </c:pt>
                      <c:pt idx="208">
                        <c:v>44392</c:v>
                      </c:pt>
                      <c:pt idx="209">
                        <c:v>44393</c:v>
                      </c:pt>
                      <c:pt idx="210">
                        <c:v>44396</c:v>
                      </c:pt>
                      <c:pt idx="211">
                        <c:v>44397</c:v>
                      </c:pt>
                      <c:pt idx="212">
                        <c:v>44398</c:v>
                      </c:pt>
                      <c:pt idx="213">
                        <c:v>44399</c:v>
                      </c:pt>
                      <c:pt idx="214">
                        <c:v>44400</c:v>
                      </c:pt>
                      <c:pt idx="215">
                        <c:v>44403</c:v>
                      </c:pt>
                      <c:pt idx="216">
                        <c:v>44404</c:v>
                      </c:pt>
                      <c:pt idx="217">
                        <c:v>44405</c:v>
                      </c:pt>
                      <c:pt idx="218">
                        <c:v>44406</c:v>
                      </c:pt>
                      <c:pt idx="219">
                        <c:v>44407</c:v>
                      </c:pt>
                      <c:pt idx="220">
                        <c:v>44410</c:v>
                      </c:pt>
                      <c:pt idx="221">
                        <c:v>44411</c:v>
                      </c:pt>
                      <c:pt idx="222">
                        <c:v>44412</c:v>
                      </c:pt>
                      <c:pt idx="223">
                        <c:v>44413</c:v>
                      </c:pt>
                      <c:pt idx="224">
                        <c:v>44414</c:v>
                      </c:pt>
                      <c:pt idx="225">
                        <c:v>44417</c:v>
                      </c:pt>
                      <c:pt idx="226">
                        <c:v>44418</c:v>
                      </c:pt>
                      <c:pt idx="227">
                        <c:v>44419</c:v>
                      </c:pt>
                      <c:pt idx="228">
                        <c:v>44420</c:v>
                      </c:pt>
                      <c:pt idx="229">
                        <c:v>44421</c:v>
                      </c:pt>
                      <c:pt idx="230">
                        <c:v>44424</c:v>
                      </c:pt>
                      <c:pt idx="231">
                        <c:v>44425</c:v>
                      </c:pt>
                      <c:pt idx="232">
                        <c:v>44426</c:v>
                      </c:pt>
                      <c:pt idx="233">
                        <c:v>44427</c:v>
                      </c:pt>
                      <c:pt idx="234">
                        <c:v>44428</c:v>
                      </c:pt>
                      <c:pt idx="235">
                        <c:v>44431</c:v>
                      </c:pt>
                      <c:pt idx="236">
                        <c:v>44432</c:v>
                      </c:pt>
                      <c:pt idx="237">
                        <c:v>44433</c:v>
                      </c:pt>
                      <c:pt idx="238">
                        <c:v>44434</c:v>
                      </c:pt>
                      <c:pt idx="239">
                        <c:v>44435</c:v>
                      </c:pt>
                      <c:pt idx="240">
                        <c:v>44438</c:v>
                      </c:pt>
                      <c:pt idx="241">
                        <c:v>44439</c:v>
                      </c:pt>
                      <c:pt idx="242">
                        <c:v>44440</c:v>
                      </c:pt>
                      <c:pt idx="243">
                        <c:v>44441</c:v>
                      </c:pt>
                      <c:pt idx="244">
                        <c:v>44442</c:v>
                      </c:pt>
                      <c:pt idx="245">
                        <c:v>44445</c:v>
                      </c:pt>
                      <c:pt idx="246">
                        <c:v>44446</c:v>
                      </c:pt>
                      <c:pt idx="247">
                        <c:v>44447</c:v>
                      </c:pt>
                      <c:pt idx="248">
                        <c:v>44448</c:v>
                      </c:pt>
                      <c:pt idx="249">
                        <c:v>44449</c:v>
                      </c:pt>
                      <c:pt idx="250">
                        <c:v>44452</c:v>
                      </c:pt>
                      <c:pt idx="251">
                        <c:v>44453</c:v>
                      </c:pt>
                      <c:pt idx="252">
                        <c:v>44454</c:v>
                      </c:pt>
                      <c:pt idx="253">
                        <c:v>44455</c:v>
                      </c:pt>
                      <c:pt idx="254">
                        <c:v>44456</c:v>
                      </c:pt>
                      <c:pt idx="255">
                        <c:v>44459</c:v>
                      </c:pt>
                      <c:pt idx="256">
                        <c:v>44460</c:v>
                      </c:pt>
                      <c:pt idx="257">
                        <c:v>44461</c:v>
                      </c:pt>
                      <c:pt idx="258">
                        <c:v>44462</c:v>
                      </c:pt>
                      <c:pt idx="259">
                        <c:v>44463</c:v>
                      </c:pt>
                      <c:pt idx="260">
                        <c:v>44466</c:v>
                      </c:pt>
                      <c:pt idx="261">
                        <c:v>44467</c:v>
                      </c:pt>
                      <c:pt idx="262">
                        <c:v>44468</c:v>
                      </c:pt>
                      <c:pt idx="263">
                        <c:v>44469</c:v>
                      </c:pt>
                      <c:pt idx="264">
                        <c:v>44470</c:v>
                      </c:pt>
                      <c:pt idx="265">
                        <c:v>44473</c:v>
                      </c:pt>
                      <c:pt idx="266">
                        <c:v>44474</c:v>
                      </c:pt>
                      <c:pt idx="267">
                        <c:v>44475</c:v>
                      </c:pt>
                      <c:pt idx="268">
                        <c:v>44476</c:v>
                      </c:pt>
                      <c:pt idx="269">
                        <c:v>44477</c:v>
                      </c:pt>
                      <c:pt idx="270">
                        <c:v>44480</c:v>
                      </c:pt>
                      <c:pt idx="271">
                        <c:v>44481</c:v>
                      </c:pt>
                      <c:pt idx="272">
                        <c:v>44482</c:v>
                      </c:pt>
                      <c:pt idx="273">
                        <c:v>44483</c:v>
                      </c:pt>
                      <c:pt idx="274">
                        <c:v>44484</c:v>
                      </c:pt>
                      <c:pt idx="275">
                        <c:v>44487</c:v>
                      </c:pt>
                      <c:pt idx="276">
                        <c:v>44488</c:v>
                      </c:pt>
                      <c:pt idx="277">
                        <c:v>44489</c:v>
                      </c:pt>
                      <c:pt idx="278">
                        <c:v>44490</c:v>
                      </c:pt>
                      <c:pt idx="279">
                        <c:v>44491</c:v>
                      </c:pt>
                      <c:pt idx="280">
                        <c:v>44494</c:v>
                      </c:pt>
                      <c:pt idx="281">
                        <c:v>44495</c:v>
                      </c:pt>
                      <c:pt idx="282">
                        <c:v>44496</c:v>
                      </c:pt>
                      <c:pt idx="283">
                        <c:v>44497</c:v>
                      </c:pt>
                      <c:pt idx="284">
                        <c:v>44498</c:v>
                      </c:pt>
                      <c:pt idx="285">
                        <c:v>44501</c:v>
                      </c:pt>
                    </c:numCache>
                  </c:numRef>
                </c:cat>
                <c:val>
                  <c:numRef>
                    <c:extLst xmlns:c15="http://schemas.microsoft.com/office/drawing/2012/chart">
                      <c:ext xmlns:c15="http://schemas.microsoft.com/office/drawing/2012/chart" uri="{02D57815-91ED-43cb-92C2-25804820EDAC}">
                        <c15:formulaRef>
                          <c15:sqref>'Currency Chart'!$S$6:$S$291</c15:sqref>
                        </c15:formulaRef>
                      </c:ext>
                    </c:extLst>
                    <c:numCache>
                      <c:formatCode>0</c:formatCode>
                      <c:ptCount val="286"/>
                      <c:pt idx="0" formatCode="General">
                        <c:v>100</c:v>
                      </c:pt>
                      <c:pt idx="1">
                        <c:v>100.00294568163073</c:v>
                      </c:pt>
                      <c:pt idx="2">
                        <c:v>100.00294568163073</c:v>
                      </c:pt>
                      <c:pt idx="3">
                        <c:v>100.00294568163073</c:v>
                      </c:pt>
                      <c:pt idx="4">
                        <c:v>100.00294568163073</c:v>
                      </c:pt>
                      <c:pt idx="5">
                        <c:v>100.00294568163073</c:v>
                      </c:pt>
                      <c:pt idx="6">
                        <c:v>100.00294568163073</c:v>
                      </c:pt>
                      <c:pt idx="7">
                        <c:v>98.581654294803826</c:v>
                      </c:pt>
                      <c:pt idx="8">
                        <c:v>99.344585837162725</c:v>
                      </c:pt>
                      <c:pt idx="9">
                        <c:v>99.346058677978078</c:v>
                      </c:pt>
                      <c:pt idx="10">
                        <c:v>98.880640980322838</c:v>
                      </c:pt>
                      <c:pt idx="11">
                        <c:v>99.023506539413219</c:v>
                      </c:pt>
                      <c:pt idx="12">
                        <c:v>98.624366678449391</c:v>
                      </c:pt>
                      <c:pt idx="13">
                        <c:v>98.390184988806396</c:v>
                      </c:pt>
                      <c:pt idx="14">
                        <c:v>98.318015788853515</c:v>
                      </c:pt>
                      <c:pt idx="15">
                        <c:v>97.948332744196975</c:v>
                      </c:pt>
                      <c:pt idx="16">
                        <c:v>98.41669612348295</c:v>
                      </c:pt>
                      <c:pt idx="17">
                        <c:v>98.449098621420973</c:v>
                      </c:pt>
                      <c:pt idx="18">
                        <c:v>98.855602686461623</c:v>
                      </c:pt>
                      <c:pt idx="19">
                        <c:v>98.745139625309264</c:v>
                      </c:pt>
                      <c:pt idx="20">
                        <c:v>99.091257216919971</c:v>
                      </c:pt>
                      <c:pt idx="21">
                        <c:v>98.886532343584292</c:v>
                      </c:pt>
                      <c:pt idx="22">
                        <c:v>98.561034523388699</c:v>
                      </c:pt>
                      <c:pt idx="23">
                        <c:v>98.531577707081397</c:v>
                      </c:pt>
                      <c:pt idx="24">
                        <c:v>98.325379992930351</c:v>
                      </c:pt>
                      <c:pt idx="25">
                        <c:v>97.914457405443585</c:v>
                      </c:pt>
                      <c:pt idx="26">
                        <c:v>97.247260516083387</c:v>
                      </c:pt>
                      <c:pt idx="27">
                        <c:v>97.325321079297723</c:v>
                      </c:pt>
                      <c:pt idx="28">
                        <c:v>97.619889242370661</c:v>
                      </c:pt>
                      <c:pt idx="29">
                        <c:v>97.422528573111791</c:v>
                      </c:pt>
                      <c:pt idx="30">
                        <c:v>97.650818899493302</c:v>
                      </c:pt>
                      <c:pt idx="31">
                        <c:v>97.37539766702011</c:v>
                      </c:pt>
                      <c:pt idx="32">
                        <c:v>97.264934605867765</c:v>
                      </c:pt>
                      <c:pt idx="33">
                        <c:v>96.957110875456536</c:v>
                      </c:pt>
                      <c:pt idx="34">
                        <c:v>96.553552492046606</c:v>
                      </c:pt>
                      <c:pt idx="35">
                        <c:v>96.600683398138258</c:v>
                      </c:pt>
                      <c:pt idx="36">
                        <c:v>96.896724402026564</c:v>
                      </c:pt>
                      <c:pt idx="37">
                        <c:v>96.630140214445561</c:v>
                      </c:pt>
                      <c:pt idx="38">
                        <c:v>96.98656769176381</c:v>
                      </c:pt>
                      <c:pt idx="39">
                        <c:v>97.060209732532044</c:v>
                      </c:pt>
                      <c:pt idx="40">
                        <c:v>96.839283610227341</c:v>
                      </c:pt>
                      <c:pt idx="41">
                        <c:v>96.82602804288905</c:v>
                      </c:pt>
                      <c:pt idx="42">
                        <c:v>96.821609520442962</c:v>
                      </c:pt>
                      <c:pt idx="43">
                        <c:v>96.854012018380985</c:v>
                      </c:pt>
                      <c:pt idx="44">
                        <c:v>96.773005773535928</c:v>
                      </c:pt>
                      <c:pt idx="45">
                        <c:v>96.65075998586066</c:v>
                      </c:pt>
                      <c:pt idx="46">
                        <c:v>96.350300459526281</c:v>
                      </c:pt>
                      <c:pt idx="47">
                        <c:v>96.177978084128611</c:v>
                      </c:pt>
                      <c:pt idx="48">
                        <c:v>96.169141039236422</c:v>
                      </c:pt>
                      <c:pt idx="49">
                        <c:v>96.1868151290208</c:v>
                      </c:pt>
                      <c:pt idx="50">
                        <c:v>96.338517733003371</c:v>
                      </c:pt>
                      <c:pt idx="51">
                        <c:v>96.375338753387496</c:v>
                      </c:pt>
                      <c:pt idx="52">
                        <c:v>96.39006716154114</c:v>
                      </c:pt>
                      <c:pt idx="53">
                        <c:v>96.441616590078894</c:v>
                      </c:pt>
                      <c:pt idx="54">
                        <c:v>96.306115235065334</c:v>
                      </c:pt>
                      <c:pt idx="55">
                        <c:v>96.210380582066634</c:v>
                      </c:pt>
                      <c:pt idx="56">
                        <c:v>96.207434900435899</c:v>
                      </c:pt>
                      <c:pt idx="57">
                        <c:v>96.247201602450744</c:v>
                      </c:pt>
                      <c:pt idx="58">
                        <c:v>96.422469659479162</c:v>
                      </c:pt>
                      <c:pt idx="59">
                        <c:v>96.362083186049205</c:v>
                      </c:pt>
                      <c:pt idx="60">
                        <c:v>96.323789324849727</c:v>
                      </c:pt>
                      <c:pt idx="61">
                        <c:v>96.176505243313258</c:v>
                      </c:pt>
                      <c:pt idx="62">
                        <c:v>96.335572051372623</c:v>
                      </c:pt>
                      <c:pt idx="63">
                        <c:v>96.244255920820009</c:v>
                      </c:pt>
                      <c:pt idx="64">
                        <c:v>96.176505243313244</c:v>
                      </c:pt>
                      <c:pt idx="65">
                        <c:v>96.041003888299699</c:v>
                      </c:pt>
                      <c:pt idx="66">
                        <c:v>96.102863202545009</c:v>
                      </c:pt>
                      <c:pt idx="67">
                        <c:v>96.102863202545009</c:v>
                      </c:pt>
                      <c:pt idx="68">
                        <c:v>95.146989513373327</c:v>
                      </c:pt>
                      <c:pt idx="69">
                        <c:v>95.071874631789726</c:v>
                      </c:pt>
                      <c:pt idx="70">
                        <c:v>95.170554966419161</c:v>
                      </c:pt>
                      <c:pt idx="71">
                        <c:v>95.381171203016308</c:v>
                      </c:pt>
                      <c:pt idx="72">
                        <c:v>95.36644279486265</c:v>
                      </c:pt>
                      <c:pt idx="73">
                        <c:v>95.432720631554062</c:v>
                      </c:pt>
                      <c:pt idx="74">
                        <c:v>95.160245080711604</c:v>
                      </c:pt>
                      <c:pt idx="75">
                        <c:v>95.258925415341025</c:v>
                      </c:pt>
                      <c:pt idx="76">
                        <c:v>95.345823023447551</c:v>
                      </c:pt>
                      <c:pt idx="77">
                        <c:v>95.440084835630884</c:v>
                      </c:pt>
                      <c:pt idx="78">
                        <c:v>95.590314598798074</c:v>
                      </c:pt>
                      <c:pt idx="79">
                        <c:v>95.406209496877494</c:v>
                      </c:pt>
                      <c:pt idx="80">
                        <c:v>95.219158713326195</c:v>
                      </c:pt>
                      <c:pt idx="81">
                        <c:v>95.138152468481152</c:v>
                      </c:pt>
                      <c:pt idx="82">
                        <c:v>95.454813243784542</c:v>
                      </c:pt>
                      <c:pt idx="83">
                        <c:v>95.416519382585065</c:v>
                      </c:pt>
                      <c:pt idx="84">
                        <c:v>95.197066101095729</c:v>
                      </c:pt>
                      <c:pt idx="85">
                        <c:v>95.472487333568935</c:v>
                      </c:pt>
                      <c:pt idx="86">
                        <c:v>94.984977023683228</c:v>
                      </c:pt>
                      <c:pt idx="87">
                        <c:v>94.630022387180347</c:v>
                      </c:pt>
                      <c:pt idx="88">
                        <c:v>95.247142688818144</c:v>
                      </c:pt>
                      <c:pt idx="89">
                        <c:v>95.073347472605107</c:v>
                      </c:pt>
                      <c:pt idx="90">
                        <c:v>95.114587015435319</c:v>
                      </c:pt>
                      <c:pt idx="91">
                        <c:v>95.31489336632491</c:v>
                      </c:pt>
                      <c:pt idx="92">
                        <c:v>95.239778484741322</c:v>
                      </c:pt>
                      <c:pt idx="93">
                        <c:v>94.915753505361081</c:v>
                      </c:pt>
                      <c:pt idx="94">
                        <c:v>94.768469423824612</c:v>
                      </c:pt>
                      <c:pt idx="95">
                        <c:v>95.110168492989217</c:v>
                      </c:pt>
                      <c:pt idx="96">
                        <c:v>95.060091905266816</c:v>
                      </c:pt>
                      <c:pt idx="97">
                        <c:v>95.060091905266816</c:v>
                      </c:pt>
                      <c:pt idx="98">
                        <c:v>95.060091905266816</c:v>
                      </c:pt>
                      <c:pt idx="99">
                        <c:v>95.060091905266816</c:v>
                      </c:pt>
                      <c:pt idx="100">
                        <c:v>95.060091905266816</c:v>
                      </c:pt>
                      <c:pt idx="101">
                        <c:v>95.541710851891068</c:v>
                      </c:pt>
                      <c:pt idx="102">
                        <c:v>95.079238835866548</c:v>
                      </c:pt>
                      <c:pt idx="103">
                        <c:v>95.079238835866548</c:v>
                      </c:pt>
                      <c:pt idx="104">
                        <c:v>95.182337692942085</c:v>
                      </c:pt>
                      <c:pt idx="105">
                        <c:v>95.204430305172565</c:v>
                      </c:pt>
                      <c:pt idx="106">
                        <c:v>95.080711676681929</c:v>
                      </c:pt>
                      <c:pt idx="107">
                        <c:v>95.058619064451477</c:v>
                      </c:pt>
                      <c:pt idx="108">
                        <c:v>95.336985978555404</c:v>
                      </c:pt>
                      <c:pt idx="109">
                        <c:v>95.216213031695517</c:v>
                      </c:pt>
                      <c:pt idx="110">
                        <c:v>95.295746435725192</c:v>
                      </c:pt>
                      <c:pt idx="111">
                        <c:v>95.255979733710348</c:v>
                      </c:pt>
                      <c:pt idx="112">
                        <c:v>95.283963709202268</c:v>
                      </c:pt>
                      <c:pt idx="113">
                        <c:v>95.675739366089289</c:v>
                      </c:pt>
                      <c:pt idx="114">
                        <c:v>96.102863202545052</c:v>
                      </c:pt>
                      <c:pt idx="115">
                        <c:v>95.808295039472114</c:v>
                      </c:pt>
                      <c:pt idx="116">
                        <c:v>95.808295039472114</c:v>
                      </c:pt>
                      <c:pt idx="117">
                        <c:v>95.634499823259091</c:v>
                      </c:pt>
                      <c:pt idx="118">
                        <c:v>95.853953104748427</c:v>
                      </c:pt>
                      <c:pt idx="119">
                        <c:v>95.728761635442424</c:v>
                      </c:pt>
                      <c:pt idx="120">
                        <c:v>95.811240721102834</c:v>
                      </c:pt>
                      <c:pt idx="121">
                        <c:v>95.778838223164811</c:v>
                      </c:pt>
                      <c:pt idx="122">
                        <c:v>95.814186402733554</c:v>
                      </c:pt>
                      <c:pt idx="123">
                        <c:v>95.837751855779373</c:v>
                      </c:pt>
                      <c:pt idx="124">
                        <c:v>95.837751855779373</c:v>
                      </c:pt>
                      <c:pt idx="125">
                        <c:v>95.970307529162199</c:v>
                      </c:pt>
                      <c:pt idx="126">
                        <c:v>96.073406386237721</c:v>
                      </c:pt>
                      <c:pt idx="127">
                        <c:v>96.400377047248696</c:v>
                      </c:pt>
                      <c:pt idx="128">
                        <c:v>96.341463414634106</c:v>
                      </c:pt>
                      <c:pt idx="129">
                        <c:v>96.733239071521112</c:v>
                      </c:pt>
                      <c:pt idx="130">
                        <c:v>96.789207022504982</c:v>
                      </c:pt>
                      <c:pt idx="131">
                        <c:v>96.497584541062778</c:v>
                      </c:pt>
                      <c:pt idx="132">
                        <c:v>96.684635324614092</c:v>
                      </c:pt>
                      <c:pt idx="133">
                        <c:v>96.686108165429474</c:v>
                      </c:pt>
                      <c:pt idx="134">
                        <c:v>96.686108165429474</c:v>
                      </c:pt>
                      <c:pt idx="135">
                        <c:v>96.279604100388823</c:v>
                      </c:pt>
                      <c:pt idx="136">
                        <c:v>96.345881937080222</c:v>
                      </c:pt>
                      <c:pt idx="137">
                        <c:v>96.478437610463047</c:v>
                      </c:pt>
                      <c:pt idx="138">
                        <c:v>96.503475904324233</c:v>
                      </c:pt>
                      <c:pt idx="139">
                        <c:v>96.387121479910419</c:v>
                      </c:pt>
                      <c:pt idx="140">
                        <c:v>96.369447390126041</c:v>
                      </c:pt>
                      <c:pt idx="141">
                        <c:v>96.164722516790349</c:v>
                      </c:pt>
                      <c:pt idx="142">
                        <c:v>96.058677978084091</c:v>
                      </c:pt>
                      <c:pt idx="143">
                        <c:v>96.033639684222877</c:v>
                      </c:pt>
                      <c:pt idx="144">
                        <c:v>95.859844468009854</c:v>
                      </c:pt>
                      <c:pt idx="145">
                        <c:v>95.70666902321193</c:v>
                      </c:pt>
                      <c:pt idx="146">
                        <c:v>95.591787439613483</c:v>
                      </c:pt>
                      <c:pt idx="147">
                        <c:v>95.602097325321026</c:v>
                      </c:pt>
                      <c:pt idx="148">
                        <c:v>95.653646753858808</c:v>
                      </c:pt>
                      <c:pt idx="149">
                        <c:v>95.653646753858808</c:v>
                      </c:pt>
                      <c:pt idx="150">
                        <c:v>95.504889831506972</c:v>
                      </c:pt>
                      <c:pt idx="151">
                        <c:v>95.484270060091859</c:v>
                      </c:pt>
                      <c:pt idx="152">
                        <c:v>95.397372451985348</c:v>
                      </c:pt>
                      <c:pt idx="153">
                        <c:v>95.307529162248102</c:v>
                      </c:pt>
                      <c:pt idx="154">
                        <c:v>95.336985978555404</c:v>
                      </c:pt>
                      <c:pt idx="155">
                        <c:v>95.336985978555404</c:v>
                      </c:pt>
                      <c:pt idx="156">
                        <c:v>95.336985978555404</c:v>
                      </c:pt>
                      <c:pt idx="157">
                        <c:v>95.336985978555404</c:v>
                      </c:pt>
                      <c:pt idx="158">
                        <c:v>95.142570990927268</c:v>
                      </c:pt>
                      <c:pt idx="159">
                        <c:v>94.71839283610224</c:v>
                      </c:pt>
                      <c:pt idx="160">
                        <c:v>94.491575350536081</c:v>
                      </c:pt>
                      <c:pt idx="161">
                        <c:v>94.681571815718115</c:v>
                      </c:pt>
                      <c:pt idx="162">
                        <c:v>95.095440084835587</c:v>
                      </c:pt>
                      <c:pt idx="163">
                        <c:v>95.007069635913709</c:v>
                      </c:pt>
                      <c:pt idx="164">
                        <c:v>94.802344762578031</c:v>
                      </c:pt>
                      <c:pt idx="165">
                        <c:v>94.833274419700686</c:v>
                      </c:pt>
                      <c:pt idx="166">
                        <c:v>94.630022387180361</c:v>
                      </c:pt>
                      <c:pt idx="167">
                        <c:v>94.765523742193906</c:v>
                      </c:pt>
                      <c:pt idx="168">
                        <c:v>94.761105219747833</c:v>
                      </c:pt>
                      <c:pt idx="169">
                        <c:v>94.761105219747833</c:v>
                      </c:pt>
                      <c:pt idx="170">
                        <c:v>94.522505007658751</c:v>
                      </c:pt>
                      <c:pt idx="171">
                        <c:v>94.409096264875672</c:v>
                      </c:pt>
                      <c:pt idx="172">
                        <c:v>94.121892305879555</c:v>
                      </c:pt>
                      <c:pt idx="173">
                        <c:v>94.002592199835007</c:v>
                      </c:pt>
                      <c:pt idx="174">
                        <c:v>93.781666077530318</c:v>
                      </c:pt>
                      <c:pt idx="175">
                        <c:v>93.802285848945431</c:v>
                      </c:pt>
                      <c:pt idx="176">
                        <c:v>93.961352657004824</c:v>
                      </c:pt>
                      <c:pt idx="177">
                        <c:v>93.9746082243431</c:v>
                      </c:pt>
                      <c:pt idx="178">
                        <c:v>94.314834452692338</c:v>
                      </c:pt>
                      <c:pt idx="179">
                        <c:v>94.180805938494146</c:v>
                      </c:pt>
                      <c:pt idx="180">
                        <c:v>94.207317073170714</c:v>
                      </c:pt>
                      <c:pt idx="181">
                        <c:v>94.261812183339202</c:v>
                      </c:pt>
                      <c:pt idx="182">
                        <c:v>94.062978673264965</c:v>
                      </c:pt>
                      <c:pt idx="183">
                        <c:v>94.157240485448298</c:v>
                      </c:pt>
                      <c:pt idx="184">
                        <c:v>94.213208436432154</c:v>
                      </c:pt>
                      <c:pt idx="185">
                        <c:v>94.213208436432154</c:v>
                      </c:pt>
                      <c:pt idx="186">
                        <c:v>94.338399905738143</c:v>
                      </c:pt>
                      <c:pt idx="187">
                        <c:v>94.216154118062875</c:v>
                      </c:pt>
                      <c:pt idx="188">
                        <c:v>94.96435725226813</c:v>
                      </c:pt>
                      <c:pt idx="189">
                        <c:v>95.03505361140563</c:v>
                      </c:pt>
                      <c:pt idx="190">
                        <c:v>95.232414280664514</c:v>
                      </c:pt>
                      <c:pt idx="191">
                        <c:v>95.456286084599938</c:v>
                      </c:pt>
                      <c:pt idx="192">
                        <c:v>95.332567456109302</c:v>
                      </c:pt>
                      <c:pt idx="193">
                        <c:v>95.294273594909839</c:v>
                      </c:pt>
                      <c:pt idx="194">
                        <c:v>95.064510427712946</c:v>
                      </c:pt>
                      <c:pt idx="195">
                        <c:v>95.07923883586659</c:v>
                      </c:pt>
                      <c:pt idx="196">
                        <c:v>95.197066101095757</c:v>
                      </c:pt>
                      <c:pt idx="197">
                        <c:v>95.095440084835602</c:v>
                      </c:pt>
                      <c:pt idx="198">
                        <c:v>95.261871096971817</c:v>
                      </c:pt>
                      <c:pt idx="199">
                        <c:v>95.323730411217142</c:v>
                      </c:pt>
                      <c:pt idx="200">
                        <c:v>95.189701897018949</c:v>
                      </c:pt>
                      <c:pt idx="201">
                        <c:v>95.369388476493441</c:v>
                      </c:pt>
                      <c:pt idx="202">
                        <c:v>95.31931188877104</c:v>
                      </c:pt>
                      <c:pt idx="203">
                        <c:v>95.584423235536676</c:v>
                      </c:pt>
                      <c:pt idx="204">
                        <c:v>95.422410745846562</c:v>
                      </c:pt>
                      <c:pt idx="205">
                        <c:v>95.367915635678088</c:v>
                      </c:pt>
                      <c:pt idx="206">
                        <c:v>95.270708141864006</c:v>
                      </c:pt>
                      <c:pt idx="207">
                        <c:v>95.275126664310108</c:v>
                      </c:pt>
                      <c:pt idx="208">
                        <c:v>95.099858607281718</c:v>
                      </c:pt>
                      <c:pt idx="209">
                        <c:v>95.417992223400475</c:v>
                      </c:pt>
                      <c:pt idx="210">
                        <c:v>95.577059031459854</c:v>
                      </c:pt>
                      <c:pt idx="211">
                        <c:v>95.506362672322339</c:v>
                      </c:pt>
                      <c:pt idx="212">
                        <c:v>95.239778484741336</c:v>
                      </c:pt>
                      <c:pt idx="213">
                        <c:v>95.291327913279105</c:v>
                      </c:pt>
                      <c:pt idx="214">
                        <c:v>95.451867562153865</c:v>
                      </c:pt>
                      <c:pt idx="215">
                        <c:v>95.476905856015051</c:v>
                      </c:pt>
                      <c:pt idx="216">
                        <c:v>95.887828443501803</c:v>
                      </c:pt>
                      <c:pt idx="217">
                        <c:v>95.594733121244246</c:v>
                      </c:pt>
                      <c:pt idx="218">
                        <c:v>95.089548721574161</c:v>
                      </c:pt>
                      <c:pt idx="219">
                        <c:v>95.158772239896294</c:v>
                      </c:pt>
                      <c:pt idx="220">
                        <c:v>95.174973488865319</c:v>
                      </c:pt>
                      <c:pt idx="221">
                        <c:v>95.292800754094486</c:v>
                      </c:pt>
                      <c:pt idx="222">
                        <c:v>95.226522917403074</c:v>
                      </c:pt>
                      <c:pt idx="223">
                        <c:v>95.157299399080941</c:v>
                      </c:pt>
                      <c:pt idx="224">
                        <c:v>95.47690585601508</c:v>
                      </c:pt>
                      <c:pt idx="225">
                        <c:v>95.524036762106746</c:v>
                      </c:pt>
                      <c:pt idx="226">
                        <c:v>95.516672558029939</c:v>
                      </c:pt>
                      <c:pt idx="227">
                        <c:v>95.415046541769783</c:v>
                      </c:pt>
                      <c:pt idx="228">
                        <c:v>95.41357370095443</c:v>
                      </c:pt>
                      <c:pt idx="229">
                        <c:v>95.392953929539317</c:v>
                      </c:pt>
                      <c:pt idx="230">
                        <c:v>95.35466006833984</c:v>
                      </c:pt>
                      <c:pt idx="231">
                        <c:v>95.519618239660701</c:v>
                      </c:pt>
                      <c:pt idx="232">
                        <c:v>95.500471309060956</c:v>
                      </c:pt>
                      <c:pt idx="233">
                        <c:v>95.649228231412806</c:v>
                      </c:pt>
                      <c:pt idx="234">
                        <c:v>95.752327088488343</c:v>
                      </c:pt>
                      <c:pt idx="235">
                        <c:v>95.447449039707863</c:v>
                      </c:pt>
                      <c:pt idx="236">
                        <c:v>95.307529162248215</c:v>
                      </c:pt>
                      <c:pt idx="237">
                        <c:v>95.375279839754995</c:v>
                      </c:pt>
                      <c:pt idx="238">
                        <c:v>95.453340402969317</c:v>
                      </c:pt>
                      <c:pt idx="239">
                        <c:v>95.309002003063569</c:v>
                      </c:pt>
                      <c:pt idx="240">
                        <c:v>95.230941439849246</c:v>
                      </c:pt>
                      <c:pt idx="241">
                        <c:v>95.151408035819557</c:v>
                      </c:pt>
                      <c:pt idx="242">
                        <c:v>95.124896901142989</c:v>
                      </c:pt>
                      <c:pt idx="243">
                        <c:v>95.083657358312777</c:v>
                      </c:pt>
                      <c:pt idx="244">
                        <c:v>95.039472133851831</c:v>
                      </c:pt>
                      <c:pt idx="245">
                        <c:v>95.06009190526693</c:v>
                      </c:pt>
                      <c:pt idx="246">
                        <c:v>95.236832803110687</c:v>
                      </c:pt>
                      <c:pt idx="247">
                        <c:v>95.163190762342452</c:v>
                      </c:pt>
                      <c:pt idx="248">
                        <c:v>95.018852362436704</c:v>
                      </c:pt>
                      <c:pt idx="249">
                        <c:v>94.909862142099712</c:v>
                      </c:pt>
                      <c:pt idx="250">
                        <c:v>95.014433839990602</c:v>
                      </c:pt>
                      <c:pt idx="251">
                        <c:v>94.824437374808554</c:v>
                      </c:pt>
                      <c:pt idx="252">
                        <c:v>94.73312124425594</c:v>
                      </c:pt>
                      <c:pt idx="253">
                        <c:v>95.095440084835644</c:v>
                      </c:pt>
                      <c:pt idx="254">
                        <c:v>95.226522917403102</c:v>
                      </c:pt>
                      <c:pt idx="255">
                        <c:v>95.226522917403102</c:v>
                      </c:pt>
                      <c:pt idx="256">
                        <c:v>95.226522917403102</c:v>
                      </c:pt>
                      <c:pt idx="257">
                        <c:v>95.120478378696859</c:v>
                      </c:pt>
                      <c:pt idx="258">
                        <c:v>95.130788264404401</c:v>
                      </c:pt>
                      <c:pt idx="259">
                        <c:v>95.233887121479924</c:v>
                      </c:pt>
                      <c:pt idx="260">
                        <c:v>95.086603039943469</c:v>
                      </c:pt>
                      <c:pt idx="261">
                        <c:v>95.138152468481223</c:v>
                      </c:pt>
                      <c:pt idx="262">
                        <c:v>95.295746435725249</c:v>
                      </c:pt>
                      <c:pt idx="263">
                        <c:v>94.927536231884076</c:v>
                      </c:pt>
                      <c:pt idx="264">
                        <c:v>94.927536231884076</c:v>
                      </c:pt>
                      <c:pt idx="265">
                        <c:v>94.927536231884076</c:v>
                      </c:pt>
                      <c:pt idx="266">
                        <c:v>94.927536231884076</c:v>
                      </c:pt>
                      <c:pt idx="267">
                        <c:v>94.927536231884076</c:v>
                      </c:pt>
                      <c:pt idx="268">
                        <c:v>94.927536231884076</c:v>
                      </c:pt>
                      <c:pt idx="269">
                        <c:v>94.90249793802289</c:v>
                      </c:pt>
                      <c:pt idx="270">
                        <c:v>94.999705431836958</c:v>
                      </c:pt>
                      <c:pt idx="271">
                        <c:v>94.976139978791124</c:v>
                      </c:pt>
                      <c:pt idx="272">
                        <c:v>94.647696476964796</c:v>
                      </c:pt>
                      <c:pt idx="273">
                        <c:v>94.821491693177819</c:v>
                      </c:pt>
                      <c:pt idx="274">
                        <c:v>94.762578060563243</c:v>
                      </c:pt>
                      <c:pt idx="275">
                        <c:v>94.688936019795008</c:v>
                      </c:pt>
                      <c:pt idx="276">
                        <c:v>93.999646518204329</c:v>
                      </c:pt>
                      <c:pt idx="277">
                        <c:v>94.167550371155912</c:v>
                      </c:pt>
                      <c:pt idx="278">
                        <c:v>94.1513491221869</c:v>
                      </c:pt>
                      <c:pt idx="279">
                        <c:v>94.02468481206553</c:v>
                      </c:pt>
                      <c:pt idx="280">
                        <c:v>94.049723105926745</c:v>
                      </c:pt>
                      <c:pt idx="281">
                        <c:v>93.996700836573609</c:v>
                      </c:pt>
                      <c:pt idx="282">
                        <c:v>94.136620714033256</c:v>
                      </c:pt>
                      <c:pt idx="283">
                        <c:v>94.139566395664005</c:v>
                      </c:pt>
                      <c:pt idx="284">
                        <c:v>94.335454224107522</c:v>
                      </c:pt>
                    </c:numCache>
                  </c:numRef>
                </c:val>
                <c:smooth val="0"/>
                <c:extLst xmlns:c15="http://schemas.microsoft.com/office/drawing/2012/chart">
                  <c:ext xmlns:c16="http://schemas.microsoft.com/office/drawing/2014/chart" uri="{C3380CC4-5D6E-409C-BE32-E72D297353CC}">
                    <c16:uniqueId val="{00000005-61DB-4070-8C60-273A3892C606}"/>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'Currency Chart'!$T$5</c15:sqref>
                        </c15:formulaRef>
                      </c:ext>
                    </c:extLst>
                    <c:strCache>
                      <c:ptCount val="1"/>
                      <c:pt idx="0">
                        <c:v>Rand</c:v>
                      </c:pt>
                    </c:strCache>
                  </c:strRef>
                </c:tx>
                <c:spPr>
                  <a:ln w="28575" cap="rnd">
                    <a:solidFill>
                      <a:schemeClr val="accent5"/>
                    </a:solidFill>
                    <a:round/>
                  </a:ln>
                  <a:effectLst/>
                </c:spPr>
                <c:marker>
                  <c:symbol val="none"/>
                </c:marker>
                <c:cat>
                  <c:numRef>
                    <c:extLst xmlns:c15="http://schemas.microsoft.com/office/drawing/2012/chart">
                      <c:ext xmlns:c15="http://schemas.microsoft.com/office/drawing/2012/chart" uri="{02D57815-91ED-43cb-92C2-25804820EDAC}">
                        <c15:formulaRef>
                          <c15:sqref>'Currency Chart'!$O$6:$O$291</c15:sqref>
                        </c15:formulaRef>
                      </c:ext>
                    </c:extLst>
                    <c:numCache>
                      <c:formatCode>m/d/yyyy</c:formatCode>
                      <c:ptCount val="286"/>
                      <c:pt idx="0">
                        <c:v>44104</c:v>
                      </c:pt>
                      <c:pt idx="1">
                        <c:v>44105</c:v>
                      </c:pt>
                      <c:pt idx="2">
                        <c:v>44106</c:v>
                      </c:pt>
                      <c:pt idx="3">
                        <c:v>44109</c:v>
                      </c:pt>
                      <c:pt idx="4">
                        <c:v>44110</c:v>
                      </c:pt>
                      <c:pt idx="5">
                        <c:v>44111</c:v>
                      </c:pt>
                      <c:pt idx="6">
                        <c:v>44112</c:v>
                      </c:pt>
                      <c:pt idx="7">
                        <c:v>44113</c:v>
                      </c:pt>
                      <c:pt idx="8">
                        <c:v>44116</c:v>
                      </c:pt>
                      <c:pt idx="9">
                        <c:v>44117</c:v>
                      </c:pt>
                      <c:pt idx="10">
                        <c:v>44118</c:v>
                      </c:pt>
                      <c:pt idx="11">
                        <c:v>44119</c:v>
                      </c:pt>
                      <c:pt idx="12">
                        <c:v>44120</c:v>
                      </c:pt>
                      <c:pt idx="13">
                        <c:v>44123</c:v>
                      </c:pt>
                      <c:pt idx="14">
                        <c:v>44124</c:v>
                      </c:pt>
                      <c:pt idx="15">
                        <c:v>44125</c:v>
                      </c:pt>
                      <c:pt idx="16">
                        <c:v>44126</c:v>
                      </c:pt>
                      <c:pt idx="17">
                        <c:v>44127</c:v>
                      </c:pt>
                      <c:pt idx="18">
                        <c:v>44130</c:v>
                      </c:pt>
                      <c:pt idx="19">
                        <c:v>44131</c:v>
                      </c:pt>
                      <c:pt idx="20">
                        <c:v>44132</c:v>
                      </c:pt>
                      <c:pt idx="21">
                        <c:v>44133</c:v>
                      </c:pt>
                      <c:pt idx="22">
                        <c:v>44134</c:v>
                      </c:pt>
                      <c:pt idx="23">
                        <c:v>44137</c:v>
                      </c:pt>
                      <c:pt idx="24">
                        <c:v>44138</c:v>
                      </c:pt>
                      <c:pt idx="25">
                        <c:v>44139</c:v>
                      </c:pt>
                      <c:pt idx="26">
                        <c:v>44140</c:v>
                      </c:pt>
                      <c:pt idx="27">
                        <c:v>44141</c:v>
                      </c:pt>
                      <c:pt idx="28">
                        <c:v>44144</c:v>
                      </c:pt>
                      <c:pt idx="29">
                        <c:v>44145</c:v>
                      </c:pt>
                      <c:pt idx="30">
                        <c:v>44146</c:v>
                      </c:pt>
                      <c:pt idx="31">
                        <c:v>44147</c:v>
                      </c:pt>
                      <c:pt idx="32">
                        <c:v>44148</c:v>
                      </c:pt>
                      <c:pt idx="33">
                        <c:v>44151</c:v>
                      </c:pt>
                      <c:pt idx="34">
                        <c:v>44152</c:v>
                      </c:pt>
                      <c:pt idx="35">
                        <c:v>44153</c:v>
                      </c:pt>
                      <c:pt idx="36">
                        <c:v>44154</c:v>
                      </c:pt>
                      <c:pt idx="37">
                        <c:v>44155</c:v>
                      </c:pt>
                      <c:pt idx="38">
                        <c:v>44158</c:v>
                      </c:pt>
                      <c:pt idx="39">
                        <c:v>44159</c:v>
                      </c:pt>
                      <c:pt idx="40">
                        <c:v>44160</c:v>
                      </c:pt>
                      <c:pt idx="41">
                        <c:v>44161</c:v>
                      </c:pt>
                      <c:pt idx="42">
                        <c:v>44162</c:v>
                      </c:pt>
                      <c:pt idx="43">
                        <c:v>44165</c:v>
                      </c:pt>
                      <c:pt idx="44">
                        <c:v>44166</c:v>
                      </c:pt>
                      <c:pt idx="45">
                        <c:v>44167</c:v>
                      </c:pt>
                      <c:pt idx="46">
                        <c:v>44168</c:v>
                      </c:pt>
                      <c:pt idx="47">
                        <c:v>44169</c:v>
                      </c:pt>
                      <c:pt idx="48">
                        <c:v>44172</c:v>
                      </c:pt>
                      <c:pt idx="49">
                        <c:v>44173</c:v>
                      </c:pt>
                      <c:pt idx="50">
                        <c:v>44174</c:v>
                      </c:pt>
                      <c:pt idx="51">
                        <c:v>44175</c:v>
                      </c:pt>
                      <c:pt idx="52">
                        <c:v>44176</c:v>
                      </c:pt>
                      <c:pt idx="53">
                        <c:v>44179</c:v>
                      </c:pt>
                      <c:pt idx="54">
                        <c:v>44180</c:v>
                      </c:pt>
                      <c:pt idx="55">
                        <c:v>44181</c:v>
                      </c:pt>
                      <c:pt idx="56">
                        <c:v>44182</c:v>
                      </c:pt>
                      <c:pt idx="57">
                        <c:v>44183</c:v>
                      </c:pt>
                      <c:pt idx="58">
                        <c:v>44186</c:v>
                      </c:pt>
                      <c:pt idx="59">
                        <c:v>44187</c:v>
                      </c:pt>
                      <c:pt idx="60">
                        <c:v>44188</c:v>
                      </c:pt>
                      <c:pt idx="61">
                        <c:v>44189</c:v>
                      </c:pt>
                      <c:pt idx="62">
                        <c:v>44190</c:v>
                      </c:pt>
                      <c:pt idx="63">
                        <c:v>44193</c:v>
                      </c:pt>
                      <c:pt idx="64">
                        <c:v>44194</c:v>
                      </c:pt>
                      <c:pt idx="65">
                        <c:v>44195</c:v>
                      </c:pt>
                      <c:pt idx="66">
                        <c:v>44196</c:v>
                      </c:pt>
                      <c:pt idx="67">
                        <c:v>44197</c:v>
                      </c:pt>
                      <c:pt idx="68">
                        <c:v>44200</c:v>
                      </c:pt>
                      <c:pt idx="69">
                        <c:v>44201</c:v>
                      </c:pt>
                      <c:pt idx="70">
                        <c:v>44202</c:v>
                      </c:pt>
                      <c:pt idx="71">
                        <c:v>44203</c:v>
                      </c:pt>
                      <c:pt idx="72">
                        <c:v>44204</c:v>
                      </c:pt>
                      <c:pt idx="73">
                        <c:v>44207</c:v>
                      </c:pt>
                      <c:pt idx="74">
                        <c:v>44208</c:v>
                      </c:pt>
                      <c:pt idx="75">
                        <c:v>44209</c:v>
                      </c:pt>
                      <c:pt idx="76">
                        <c:v>44210</c:v>
                      </c:pt>
                      <c:pt idx="77">
                        <c:v>44211</c:v>
                      </c:pt>
                      <c:pt idx="78">
                        <c:v>44214</c:v>
                      </c:pt>
                      <c:pt idx="79">
                        <c:v>44215</c:v>
                      </c:pt>
                      <c:pt idx="80">
                        <c:v>44216</c:v>
                      </c:pt>
                      <c:pt idx="81">
                        <c:v>44217</c:v>
                      </c:pt>
                      <c:pt idx="82">
                        <c:v>44218</c:v>
                      </c:pt>
                      <c:pt idx="83">
                        <c:v>44221</c:v>
                      </c:pt>
                      <c:pt idx="84">
                        <c:v>44222</c:v>
                      </c:pt>
                      <c:pt idx="85">
                        <c:v>44223</c:v>
                      </c:pt>
                      <c:pt idx="86">
                        <c:v>44224</c:v>
                      </c:pt>
                      <c:pt idx="87">
                        <c:v>44225</c:v>
                      </c:pt>
                      <c:pt idx="88">
                        <c:v>44228</c:v>
                      </c:pt>
                      <c:pt idx="89">
                        <c:v>44229</c:v>
                      </c:pt>
                      <c:pt idx="90">
                        <c:v>44230</c:v>
                      </c:pt>
                      <c:pt idx="91">
                        <c:v>44231</c:v>
                      </c:pt>
                      <c:pt idx="92">
                        <c:v>44232</c:v>
                      </c:pt>
                      <c:pt idx="93">
                        <c:v>44235</c:v>
                      </c:pt>
                      <c:pt idx="94">
                        <c:v>44236</c:v>
                      </c:pt>
                      <c:pt idx="95">
                        <c:v>44237</c:v>
                      </c:pt>
                      <c:pt idx="96">
                        <c:v>44238</c:v>
                      </c:pt>
                      <c:pt idx="97">
                        <c:v>44239</c:v>
                      </c:pt>
                      <c:pt idx="98">
                        <c:v>44242</c:v>
                      </c:pt>
                      <c:pt idx="99">
                        <c:v>44243</c:v>
                      </c:pt>
                      <c:pt idx="100">
                        <c:v>44244</c:v>
                      </c:pt>
                      <c:pt idx="101">
                        <c:v>44245</c:v>
                      </c:pt>
                      <c:pt idx="102">
                        <c:v>44246</c:v>
                      </c:pt>
                      <c:pt idx="103">
                        <c:v>44247</c:v>
                      </c:pt>
                      <c:pt idx="104">
                        <c:v>44249</c:v>
                      </c:pt>
                      <c:pt idx="105">
                        <c:v>44250</c:v>
                      </c:pt>
                      <c:pt idx="106">
                        <c:v>44251</c:v>
                      </c:pt>
                      <c:pt idx="107">
                        <c:v>44252</c:v>
                      </c:pt>
                      <c:pt idx="108">
                        <c:v>44253</c:v>
                      </c:pt>
                      <c:pt idx="109">
                        <c:v>44256</c:v>
                      </c:pt>
                      <c:pt idx="110">
                        <c:v>44257</c:v>
                      </c:pt>
                      <c:pt idx="111">
                        <c:v>44258</c:v>
                      </c:pt>
                      <c:pt idx="112">
                        <c:v>44259</c:v>
                      </c:pt>
                      <c:pt idx="113">
                        <c:v>44260</c:v>
                      </c:pt>
                      <c:pt idx="114">
                        <c:v>44263</c:v>
                      </c:pt>
                      <c:pt idx="115">
                        <c:v>44264</c:v>
                      </c:pt>
                      <c:pt idx="116">
                        <c:v>44265</c:v>
                      </c:pt>
                      <c:pt idx="117">
                        <c:v>44266</c:v>
                      </c:pt>
                      <c:pt idx="118">
                        <c:v>44267</c:v>
                      </c:pt>
                      <c:pt idx="119">
                        <c:v>44270</c:v>
                      </c:pt>
                      <c:pt idx="120">
                        <c:v>44271</c:v>
                      </c:pt>
                      <c:pt idx="121">
                        <c:v>44272</c:v>
                      </c:pt>
                      <c:pt idx="122">
                        <c:v>44273</c:v>
                      </c:pt>
                      <c:pt idx="123">
                        <c:v>44274</c:v>
                      </c:pt>
                      <c:pt idx="124">
                        <c:v>44277</c:v>
                      </c:pt>
                      <c:pt idx="125">
                        <c:v>44278</c:v>
                      </c:pt>
                      <c:pt idx="126">
                        <c:v>44279</c:v>
                      </c:pt>
                      <c:pt idx="127">
                        <c:v>44280</c:v>
                      </c:pt>
                      <c:pt idx="128">
                        <c:v>44281</c:v>
                      </c:pt>
                      <c:pt idx="129">
                        <c:v>44284</c:v>
                      </c:pt>
                      <c:pt idx="130">
                        <c:v>44285</c:v>
                      </c:pt>
                      <c:pt idx="131">
                        <c:v>44286</c:v>
                      </c:pt>
                      <c:pt idx="132">
                        <c:v>44287</c:v>
                      </c:pt>
                      <c:pt idx="133">
                        <c:v>44288</c:v>
                      </c:pt>
                      <c:pt idx="134">
                        <c:v>44291</c:v>
                      </c:pt>
                      <c:pt idx="135">
                        <c:v>44292</c:v>
                      </c:pt>
                      <c:pt idx="136">
                        <c:v>44293</c:v>
                      </c:pt>
                      <c:pt idx="137">
                        <c:v>44294</c:v>
                      </c:pt>
                      <c:pt idx="138">
                        <c:v>44295</c:v>
                      </c:pt>
                      <c:pt idx="139">
                        <c:v>44298</c:v>
                      </c:pt>
                      <c:pt idx="140">
                        <c:v>44299</c:v>
                      </c:pt>
                      <c:pt idx="141">
                        <c:v>44300</c:v>
                      </c:pt>
                      <c:pt idx="142">
                        <c:v>44301</c:v>
                      </c:pt>
                      <c:pt idx="143">
                        <c:v>44302</c:v>
                      </c:pt>
                      <c:pt idx="144">
                        <c:v>44305</c:v>
                      </c:pt>
                      <c:pt idx="145">
                        <c:v>44306</c:v>
                      </c:pt>
                      <c:pt idx="146">
                        <c:v>44307</c:v>
                      </c:pt>
                      <c:pt idx="147">
                        <c:v>44308</c:v>
                      </c:pt>
                      <c:pt idx="148">
                        <c:v>44309</c:v>
                      </c:pt>
                      <c:pt idx="149">
                        <c:v>44311</c:v>
                      </c:pt>
                      <c:pt idx="150">
                        <c:v>44312</c:v>
                      </c:pt>
                      <c:pt idx="151">
                        <c:v>44313</c:v>
                      </c:pt>
                      <c:pt idx="152">
                        <c:v>44314</c:v>
                      </c:pt>
                      <c:pt idx="153">
                        <c:v>44315</c:v>
                      </c:pt>
                      <c:pt idx="154">
                        <c:v>44316</c:v>
                      </c:pt>
                      <c:pt idx="155">
                        <c:v>44319</c:v>
                      </c:pt>
                      <c:pt idx="156">
                        <c:v>44320</c:v>
                      </c:pt>
                      <c:pt idx="157">
                        <c:v>44321</c:v>
                      </c:pt>
                      <c:pt idx="158">
                        <c:v>44322</c:v>
                      </c:pt>
                      <c:pt idx="159">
                        <c:v>44323</c:v>
                      </c:pt>
                      <c:pt idx="160">
                        <c:v>44326</c:v>
                      </c:pt>
                      <c:pt idx="161">
                        <c:v>44327</c:v>
                      </c:pt>
                      <c:pt idx="162">
                        <c:v>44328</c:v>
                      </c:pt>
                      <c:pt idx="163">
                        <c:v>44329</c:v>
                      </c:pt>
                      <c:pt idx="164">
                        <c:v>44330</c:v>
                      </c:pt>
                      <c:pt idx="165">
                        <c:v>44333</c:v>
                      </c:pt>
                      <c:pt idx="166">
                        <c:v>44334</c:v>
                      </c:pt>
                      <c:pt idx="167">
                        <c:v>44335</c:v>
                      </c:pt>
                      <c:pt idx="168">
                        <c:v>44336</c:v>
                      </c:pt>
                      <c:pt idx="169">
                        <c:v>44337</c:v>
                      </c:pt>
                      <c:pt idx="170">
                        <c:v>44340</c:v>
                      </c:pt>
                      <c:pt idx="171">
                        <c:v>44341</c:v>
                      </c:pt>
                      <c:pt idx="172">
                        <c:v>44342</c:v>
                      </c:pt>
                      <c:pt idx="173">
                        <c:v>44343</c:v>
                      </c:pt>
                      <c:pt idx="174">
                        <c:v>44344</c:v>
                      </c:pt>
                      <c:pt idx="175">
                        <c:v>44347</c:v>
                      </c:pt>
                      <c:pt idx="176">
                        <c:v>44348</c:v>
                      </c:pt>
                      <c:pt idx="177">
                        <c:v>44349</c:v>
                      </c:pt>
                      <c:pt idx="178">
                        <c:v>44350</c:v>
                      </c:pt>
                      <c:pt idx="179">
                        <c:v>44351</c:v>
                      </c:pt>
                      <c:pt idx="180">
                        <c:v>44354</c:v>
                      </c:pt>
                      <c:pt idx="181">
                        <c:v>44355</c:v>
                      </c:pt>
                      <c:pt idx="182">
                        <c:v>44356</c:v>
                      </c:pt>
                      <c:pt idx="183">
                        <c:v>44357</c:v>
                      </c:pt>
                      <c:pt idx="184">
                        <c:v>44358</c:v>
                      </c:pt>
                      <c:pt idx="185">
                        <c:v>44361</c:v>
                      </c:pt>
                      <c:pt idx="186">
                        <c:v>44362</c:v>
                      </c:pt>
                      <c:pt idx="187">
                        <c:v>44363</c:v>
                      </c:pt>
                      <c:pt idx="188">
                        <c:v>44364</c:v>
                      </c:pt>
                      <c:pt idx="189">
                        <c:v>44365</c:v>
                      </c:pt>
                      <c:pt idx="190">
                        <c:v>44368</c:v>
                      </c:pt>
                      <c:pt idx="191">
                        <c:v>44369</c:v>
                      </c:pt>
                      <c:pt idx="192">
                        <c:v>44370</c:v>
                      </c:pt>
                      <c:pt idx="193">
                        <c:v>44371</c:v>
                      </c:pt>
                      <c:pt idx="194">
                        <c:v>44372</c:v>
                      </c:pt>
                      <c:pt idx="195">
                        <c:v>44375</c:v>
                      </c:pt>
                      <c:pt idx="196">
                        <c:v>44376</c:v>
                      </c:pt>
                      <c:pt idx="197">
                        <c:v>44377</c:v>
                      </c:pt>
                      <c:pt idx="198">
                        <c:v>44378</c:v>
                      </c:pt>
                      <c:pt idx="199">
                        <c:v>44379</c:v>
                      </c:pt>
                      <c:pt idx="200">
                        <c:v>44382</c:v>
                      </c:pt>
                      <c:pt idx="201">
                        <c:v>44383</c:v>
                      </c:pt>
                      <c:pt idx="202">
                        <c:v>44384</c:v>
                      </c:pt>
                      <c:pt idx="203">
                        <c:v>44385</c:v>
                      </c:pt>
                      <c:pt idx="204">
                        <c:v>44386</c:v>
                      </c:pt>
                      <c:pt idx="205">
                        <c:v>44389</c:v>
                      </c:pt>
                      <c:pt idx="206">
                        <c:v>44390</c:v>
                      </c:pt>
                      <c:pt idx="207">
                        <c:v>44391</c:v>
                      </c:pt>
                      <c:pt idx="208">
                        <c:v>44392</c:v>
                      </c:pt>
                      <c:pt idx="209">
                        <c:v>44393</c:v>
                      </c:pt>
                      <c:pt idx="210">
                        <c:v>44396</c:v>
                      </c:pt>
                      <c:pt idx="211">
                        <c:v>44397</c:v>
                      </c:pt>
                      <c:pt idx="212">
                        <c:v>44398</c:v>
                      </c:pt>
                      <c:pt idx="213">
                        <c:v>44399</c:v>
                      </c:pt>
                      <c:pt idx="214">
                        <c:v>44400</c:v>
                      </c:pt>
                      <c:pt idx="215">
                        <c:v>44403</c:v>
                      </c:pt>
                      <c:pt idx="216">
                        <c:v>44404</c:v>
                      </c:pt>
                      <c:pt idx="217">
                        <c:v>44405</c:v>
                      </c:pt>
                      <c:pt idx="218">
                        <c:v>44406</c:v>
                      </c:pt>
                      <c:pt idx="219">
                        <c:v>44407</c:v>
                      </c:pt>
                      <c:pt idx="220">
                        <c:v>44410</c:v>
                      </c:pt>
                      <c:pt idx="221">
                        <c:v>44411</c:v>
                      </c:pt>
                      <c:pt idx="222">
                        <c:v>44412</c:v>
                      </c:pt>
                      <c:pt idx="223">
                        <c:v>44413</c:v>
                      </c:pt>
                      <c:pt idx="224">
                        <c:v>44414</c:v>
                      </c:pt>
                      <c:pt idx="225">
                        <c:v>44417</c:v>
                      </c:pt>
                      <c:pt idx="226">
                        <c:v>44418</c:v>
                      </c:pt>
                      <c:pt idx="227">
                        <c:v>44419</c:v>
                      </c:pt>
                      <c:pt idx="228">
                        <c:v>44420</c:v>
                      </c:pt>
                      <c:pt idx="229">
                        <c:v>44421</c:v>
                      </c:pt>
                      <c:pt idx="230">
                        <c:v>44424</c:v>
                      </c:pt>
                      <c:pt idx="231">
                        <c:v>44425</c:v>
                      </c:pt>
                      <c:pt idx="232">
                        <c:v>44426</c:v>
                      </c:pt>
                      <c:pt idx="233">
                        <c:v>44427</c:v>
                      </c:pt>
                      <c:pt idx="234">
                        <c:v>44428</c:v>
                      </c:pt>
                      <c:pt idx="235">
                        <c:v>44431</c:v>
                      </c:pt>
                      <c:pt idx="236">
                        <c:v>44432</c:v>
                      </c:pt>
                      <c:pt idx="237">
                        <c:v>44433</c:v>
                      </c:pt>
                      <c:pt idx="238">
                        <c:v>44434</c:v>
                      </c:pt>
                      <c:pt idx="239">
                        <c:v>44435</c:v>
                      </c:pt>
                      <c:pt idx="240">
                        <c:v>44438</c:v>
                      </c:pt>
                      <c:pt idx="241">
                        <c:v>44439</c:v>
                      </c:pt>
                      <c:pt idx="242">
                        <c:v>44440</c:v>
                      </c:pt>
                      <c:pt idx="243">
                        <c:v>44441</c:v>
                      </c:pt>
                      <c:pt idx="244">
                        <c:v>44442</c:v>
                      </c:pt>
                      <c:pt idx="245">
                        <c:v>44445</c:v>
                      </c:pt>
                      <c:pt idx="246">
                        <c:v>44446</c:v>
                      </c:pt>
                      <c:pt idx="247">
                        <c:v>44447</c:v>
                      </c:pt>
                      <c:pt idx="248">
                        <c:v>44448</c:v>
                      </c:pt>
                      <c:pt idx="249">
                        <c:v>44449</c:v>
                      </c:pt>
                      <c:pt idx="250">
                        <c:v>44452</c:v>
                      </c:pt>
                      <c:pt idx="251">
                        <c:v>44453</c:v>
                      </c:pt>
                      <c:pt idx="252">
                        <c:v>44454</c:v>
                      </c:pt>
                      <c:pt idx="253">
                        <c:v>44455</c:v>
                      </c:pt>
                      <c:pt idx="254">
                        <c:v>44456</c:v>
                      </c:pt>
                      <c:pt idx="255">
                        <c:v>44459</c:v>
                      </c:pt>
                      <c:pt idx="256">
                        <c:v>44460</c:v>
                      </c:pt>
                      <c:pt idx="257">
                        <c:v>44461</c:v>
                      </c:pt>
                      <c:pt idx="258">
                        <c:v>44462</c:v>
                      </c:pt>
                      <c:pt idx="259">
                        <c:v>44463</c:v>
                      </c:pt>
                      <c:pt idx="260">
                        <c:v>44466</c:v>
                      </c:pt>
                      <c:pt idx="261">
                        <c:v>44467</c:v>
                      </c:pt>
                      <c:pt idx="262">
                        <c:v>44468</c:v>
                      </c:pt>
                      <c:pt idx="263">
                        <c:v>44469</c:v>
                      </c:pt>
                      <c:pt idx="264">
                        <c:v>44470</c:v>
                      </c:pt>
                      <c:pt idx="265">
                        <c:v>44473</c:v>
                      </c:pt>
                      <c:pt idx="266">
                        <c:v>44474</c:v>
                      </c:pt>
                      <c:pt idx="267">
                        <c:v>44475</c:v>
                      </c:pt>
                      <c:pt idx="268">
                        <c:v>44476</c:v>
                      </c:pt>
                      <c:pt idx="269">
                        <c:v>44477</c:v>
                      </c:pt>
                      <c:pt idx="270">
                        <c:v>44480</c:v>
                      </c:pt>
                      <c:pt idx="271">
                        <c:v>44481</c:v>
                      </c:pt>
                      <c:pt idx="272">
                        <c:v>44482</c:v>
                      </c:pt>
                      <c:pt idx="273">
                        <c:v>44483</c:v>
                      </c:pt>
                      <c:pt idx="274">
                        <c:v>44484</c:v>
                      </c:pt>
                      <c:pt idx="275">
                        <c:v>44487</c:v>
                      </c:pt>
                      <c:pt idx="276">
                        <c:v>44488</c:v>
                      </c:pt>
                      <c:pt idx="277">
                        <c:v>44489</c:v>
                      </c:pt>
                      <c:pt idx="278">
                        <c:v>44490</c:v>
                      </c:pt>
                      <c:pt idx="279">
                        <c:v>44491</c:v>
                      </c:pt>
                      <c:pt idx="280">
                        <c:v>44494</c:v>
                      </c:pt>
                      <c:pt idx="281">
                        <c:v>44495</c:v>
                      </c:pt>
                      <c:pt idx="282">
                        <c:v>44496</c:v>
                      </c:pt>
                      <c:pt idx="283">
                        <c:v>44497</c:v>
                      </c:pt>
                      <c:pt idx="284">
                        <c:v>44498</c:v>
                      </c:pt>
                      <c:pt idx="285">
                        <c:v>44501</c:v>
                      </c:pt>
                    </c:numCache>
                  </c:numRef>
                </c:cat>
                <c:val>
                  <c:numRef>
                    <c:extLst xmlns:c15="http://schemas.microsoft.com/office/drawing/2012/chart">
                      <c:ext xmlns:c15="http://schemas.microsoft.com/office/drawing/2012/chart" uri="{02D57815-91ED-43cb-92C2-25804820EDAC}">
                        <c15:formulaRef>
                          <c15:sqref>'Currency Chart'!$T$6:$T$291</c15:sqref>
                        </c15:formulaRef>
                      </c:ext>
                    </c:extLst>
                    <c:numCache>
                      <c:formatCode>0</c:formatCode>
                      <c:ptCount val="286"/>
                      <c:pt idx="0" formatCode="General">
                        <c:v>100</c:v>
                      </c:pt>
                      <c:pt idx="1">
                        <c:v>99.198035126300496</c:v>
                      </c:pt>
                      <c:pt idx="2">
                        <c:v>98.855616443267863</c:v>
                      </c:pt>
                      <c:pt idx="3">
                        <c:v>99.024136632823186</c:v>
                      </c:pt>
                      <c:pt idx="4">
                        <c:v>99.943826603481568</c:v>
                      </c:pt>
                      <c:pt idx="5">
                        <c:v>99.312772276636068</c:v>
                      </c:pt>
                      <c:pt idx="6">
                        <c:v>99.079712440016976</c:v>
                      </c:pt>
                      <c:pt idx="7">
                        <c:v>98.347067927978543</c:v>
                      </c:pt>
                      <c:pt idx="8">
                        <c:v>98.632118035843419</c:v>
                      </c:pt>
                      <c:pt idx="9">
                        <c:v>98.359617303796497</c:v>
                      </c:pt>
                      <c:pt idx="10">
                        <c:v>98.736696167659687</c:v>
                      </c:pt>
                      <c:pt idx="11">
                        <c:v>99.52133095094392</c:v>
                      </c:pt>
                      <c:pt idx="12">
                        <c:v>98.895654928020392</c:v>
                      </c:pt>
                      <c:pt idx="13">
                        <c:v>98.647057768960053</c:v>
                      </c:pt>
                      <c:pt idx="14">
                        <c:v>98.451646059794811</c:v>
                      </c:pt>
                      <c:pt idx="15">
                        <c:v>97.370009382152432</c:v>
                      </c:pt>
                      <c:pt idx="16">
                        <c:v>96.794530862500707</c:v>
                      </c:pt>
                      <c:pt idx="17">
                        <c:v>96.732381572735605</c:v>
                      </c:pt>
                      <c:pt idx="18">
                        <c:v>96.963051052056016</c:v>
                      </c:pt>
                      <c:pt idx="19">
                        <c:v>96.781981486682724</c:v>
                      </c:pt>
                      <c:pt idx="20">
                        <c:v>97.896485577181679</c:v>
                      </c:pt>
                      <c:pt idx="21">
                        <c:v>97.928755400713541</c:v>
                      </c:pt>
                      <c:pt idx="22">
                        <c:v>97.071214719820262</c:v>
                      </c:pt>
                      <c:pt idx="23">
                        <c:v>96.872815064031698</c:v>
                      </c:pt>
                      <c:pt idx="24">
                        <c:v>95.962686522567964</c:v>
                      </c:pt>
                      <c:pt idx="25">
                        <c:v>94.855353503965006</c:v>
                      </c:pt>
                      <c:pt idx="26">
                        <c:v>93.697822982090244</c:v>
                      </c:pt>
                      <c:pt idx="27">
                        <c:v>93.123539641087859</c:v>
                      </c:pt>
                      <c:pt idx="28">
                        <c:v>91.804660001553742</c:v>
                      </c:pt>
                      <c:pt idx="29">
                        <c:v>93.373331978797538</c:v>
                      </c:pt>
                      <c:pt idx="30">
                        <c:v>93.345842869862977</c:v>
                      </c:pt>
                      <c:pt idx="31">
                        <c:v>93.456994484250529</c:v>
                      </c:pt>
                      <c:pt idx="32">
                        <c:v>92.531328620345519</c:v>
                      </c:pt>
                      <c:pt idx="33">
                        <c:v>91.607455524414505</c:v>
                      </c:pt>
                      <c:pt idx="34">
                        <c:v>92.010828318562915</c:v>
                      </c:pt>
                      <c:pt idx="35">
                        <c:v>92.310220570219727</c:v>
                      </c:pt>
                      <c:pt idx="36">
                        <c:v>92.085526984145943</c:v>
                      </c:pt>
                      <c:pt idx="37">
                        <c:v>92.095088413340576</c:v>
                      </c:pt>
                      <c:pt idx="38">
                        <c:v>92.260620656272593</c:v>
                      </c:pt>
                      <c:pt idx="39">
                        <c:v>90.786965381650418</c:v>
                      </c:pt>
                      <c:pt idx="40">
                        <c:v>90.377616694255366</c:v>
                      </c:pt>
                      <c:pt idx="41">
                        <c:v>90.69792457227544</c:v>
                      </c:pt>
                      <c:pt idx="42">
                        <c:v>91.152092459020309</c:v>
                      </c:pt>
                      <c:pt idx="43">
                        <c:v>92.424360131230628</c:v>
                      </c:pt>
                      <c:pt idx="44">
                        <c:v>91.098309419800529</c:v>
                      </c:pt>
                      <c:pt idx="45">
                        <c:v>91.271610323953183</c:v>
                      </c:pt>
                      <c:pt idx="46">
                        <c:v>90.56525974219997</c:v>
                      </c:pt>
                      <c:pt idx="47">
                        <c:v>90.884372441570704</c:v>
                      </c:pt>
                      <c:pt idx="48">
                        <c:v>90.613664477497778</c:v>
                      </c:pt>
                      <c:pt idx="49">
                        <c:v>89.504538690920839</c:v>
                      </c:pt>
                      <c:pt idx="50">
                        <c:v>89.441791811831081</c:v>
                      </c:pt>
                      <c:pt idx="51">
                        <c:v>89.74536718876054</c:v>
                      </c:pt>
                      <c:pt idx="52">
                        <c:v>90.370445622359412</c:v>
                      </c:pt>
                      <c:pt idx="53">
                        <c:v>89.808711657174968</c:v>
                      </c:pt>
                      <c:pt idx="54">
                        <c:v>88.894399990438586</c:v>
                      </c:pt>
                      <c:pt idx="55">
                        <c:v>88.519711483874062</c:v>
                      </c:pt>
                      <c:pt idx="56">
                        <c:v>87.473930165711536</c:v>
                      </c:pt>
                      <c:pt idx="57">
                        <c:v>86.802837354113507</c:v>
                      </c:pt>
                      <c:pt idx="58">
                        <c:v>87.232504078547137</c:v>
                      </c:pt>
                      <c:pt idx="59">
                        <c:v>87.535481866151926</c:v>
                      </c:pt>
                      <c:pt idx="60">
                        <c:v>87.182904164599989</c:v>
                      </c:pt>
                      <c:pt idx="61">
                        <c:v>87.300629261558868</c:v>
                      </c:pt>
                      <c:pt idx="62">
                        <c:v>87.053824870472511</c:v>
                      </c:pt>
                      <c:pt idx="63">
                        <c:v>87.467954272464866</c:v>
                      </c:pt>
                      <c:pt idx="64">
                        <c:v>87.891047514327198</c:v>
                      </c:pt>
                      <c:pt idx="65">
                        <c:v>87.249834168962408</c:v>
                      </c:pt>
                      <c:pt idx="66">
                        <c:v>87.772724828043678</c:v>
                      </c:pt>
                      <c:pt idx="67">
                        <c:v>87.569544457657827</c:v>
                      </c:pt>
                      <c:pt idx="68">
                        <c:v>87.934671535027718</c:v>
                      </c:pt>
                      <c:pt idx="69">
                        <c:v>89.444779758454402</c:v>
                      </c:pt>
                      <c:pt idx="70">
                        <c:v>89.952133095094396</c:v>
                      </c:pt>
                      <c:pt idx="71">
                        <c:v>92.199068955832189</c:v>
                      </c:pt>
                      <c:pt idx="72">
                        <c:v>91.334357203042941</c:v>
                      </c:pt>
                      <c:pt idx="73">
                        <c:v>92.908407484208723</c:v>
                      </c:pt>
                      <c:pt idx="74">
                        <c:v>91.138347904553058</c:v>
                      </c:pt>
                      <c:pt idx="75">
                        <c:v>91.118029867514466</c:v>
                      </c:pt>
                      <c:pt idx="76">
                        <c:v>90.051332922988678</c:v>
                      </c:pt>
                      <c:pt idx="77">
                        <c:v>90.947716909985118</c:v>
                      </c:pt>
                      <c:pt idx="78">
                        <c:v>90.533587507992763</c:v>
                      </c:pt>
                      <c:pt idx="79">
                        <c:v>89.487208600505568</c:v>
                      </c:pt>
                      <c:pt idx="80">
                        <c:v>89.013320266046776</c:v>
                      </c:pt>
                      <c:pt idx="81">
                        <c:v>89.248172870639848</c:v>
                      </c:pt>
                      <c:pt idx="82">
                        <c:v>90.291563831503723</c:v>
                      </c:pt>
                      <c:pt idx="83">
                        <c:v>91.037355308684781</c:v>
                      </c:pt>
                      <c:pt idx="84">
                        <c:v>90.004720955664865</c:v>
                      </c:pt>
                      <c:pt idx="85">
                        <c:v>91.178983978630228</c:v>
                      </c:pt>
                      <c:pt idx="86">
                        <c:v>90.684180017808188</c:v>
                      </c:pt>
                      <c:pt idx="87">
                        <c:v>90.579601885991934</c:v>
                      </c:pt>
                      <c:pt idx="88">
                        <c:v>90.035795600547416</c:v>
                      </c:pt>
                      <c:pt idx="89">
                        <c:v>89.385020825987993</c:v>
                      </c:pt>
                      <c:pt idx="90">
                        <c:v>89.252355995912509</c:v>
                      </c:pt>
                      <c:pt idx="91">
                        <c:v>89.616287894633061</c:v>
                      </c:pt>
                      <c:pt idx="92">
                        <c:v>88.840019361894136</c:v>
                      </c:pt>
                      <c:pt idx="93">
                        <c:v>88.899180705035903</c:v>
                      </c:pt>
                      <c:pt idx="94">
                        <c:v>87.985466627624177</c:v>
                      </c:pt>
                      <c:pt idx="95">
                        <c:v>88.116936279050321</c:v>
                      </c:pt>
                      <c:pt idx="96">
                        <c:v>87.418951947842416</c:v>
                      </c:pt>
                      <c:pt idx="97">
                        <c:v>86.944466024058968</c:v>
                      </c:pt>
                      <c:pt idx="98">
                        <c:v>86.311021339914802</c:v>
                      </c:pt>
                      <c:pt idx="99">
                        <c:v>87.544445706021918</c:v>
                      </c:pt>
                      <c:pt idx="100">
                        <c:v>87.503212042620078</c:v>
                      </c:pt>
                      <c:pt idx="101">
                        <c:v>87.238479971793794</c:v>
                      </c:pt>
                      <c:pt idx="102">
                        <c:v>87.516359007762702</c:v>
                      </c:pt>
                      <c:pt idx="103">
                        <c:v>87.516359007762702</c:v>
                      </c:pt>
                      <c:pt idx="104">
                        <c:v>87.641852765942218</c:v>
                      </c:pt>
                      <c:pt idx="105">
                        <c:v>86.85542521468399</c:v>
                      </c:pt>
                      <c:pt idx="106">
                        <c:v>86.582924482637068</c:v>
                      </c:pt>
                      <c:pt idx="107">
                        <c:v>90.011892027560847</c:v>
                      </c:pt>
                      <c:pt idx="108">
                        <c:v>90.191766414284785</c:v>
                      </c:pt>
                      <c:pt idx="109">
                        <c:v>89.698157632112071</c:v>
                      </c:pt>
                      <c:pt idx="110">
                        <c:v>89.235623494821908</c:v>
                      </c:pt>
                      <c:pt idx="111">
                        <c:v>90.107506319507124</c:v>
                      </c:pt>
                      <c:pt idx="112">
                        <c:v>91.38216434901608</c:v>
                      </c:pt>
                      <c:pt idx="113">
                        <c:v>91.717411960152745</c:v>
                      </c:pt>
                      <c:pt idx="114">
                        <c:v>92.81518354956107</c:v>
                      </c:pt>
                      <c:pt idx="115">
                        <c:v>91.401287207405332</c:v>
                      </c:pt>
                      <c:pt idx="116">
                        <c:v>90.026234171352769</c:v>
                      </c:pt>
                      <c:pt idx="117">
                        <c:v>88.580068005665154</c:v>
                      </c:pt>
                      <c:pt idx="118">
                        <c:v>89.233830726847899</c:v>
                      </c:pt>
                      <c:pt idx="119">
                        <c:v>88.776674893479708</c:v>
                      </c:pt>
                      <c:pt idx="120">
                        <c:v>88.779662840103015</c:v>
                      </c:pt>
                      <c:pt idx="121">
                        <c:v>87.524725258307981</c:v>
                      </c:pt>
                      <c:pt idx="122">
                        <c:v>88.247808341151796</c:v>
                      </c:pt>
                      <c:pt idx="123">
                        <c:v>87.846825904302051</c:v>
                      </c:pt>
                      <c:pt idx="124">
                        <c:v>87.898218586223166</c:v>
                      </c:pt>
                      <c:pt idx="125">
                        <c:v>89.054553929448588</c:v>
                      </c:pt>
                      <c:pt idx="126">
                        <c:v>89.458524312921654</c:v>
                      </c:pt>
                      <c:pt idx="127">
                        <c:v>89.755526207279814</c:v>
                      </c:pt>
                      <c:pt idx="128">
                        <c:v>89.620471019905679</c:v>
                      </c:pt>
                      <c:pt idx="129">
                        <c:v>89.065908126617202</c:v>
                      </c:pt>
                      <c:pt idx="130">
                        <c:v>89.117898397863001</c:v>
                      </c:pt>
                      <c:pt idx="131">
                        <c:v>88.243027626554465</c:v>
                      </c:pt>
                      <c:pt idx="132">
                        <c:v>87.334691853064712</c:v>
                      </c:pt>
                      <c:pt idx="133">
                        <c:v>87.673525000149382</c:v>
                      </c:pt>
                      <c:pt idx="134">
                        <c:v>86.923550397695678</c:v>
                      </c:pt>
                      <c:pt idx="135">
                        <c:v>86.750847082867693</c:v>
                      </c:pt>
                      <c:pt idx="136">
                        <c:v>86.976735847590817</c:v>
                      </c:pt>
                      <c:pt idx="137">
                        <c:v>86.674953238635339</c:v>
                      </c:pt>
                      <c:pt idx="138">
                        <c:v>87.210393273534564</c:v>
                      </c:pt>
                      <c:pt idx="139">
                        <c:v>87.039482726680575</c:v>
                      </c:pt>
                      <c:pt idx="140">
                        <c:v>86.789690388970911</c:v>
                      </c:pt>
                      <c:pt idx="141">
                        <c:v>85.976371318102792</c:v>
                      </c:pt>
                      <c:pt idx="142">
                        <c:v>84.592354442180266</c:v>
                      </c:pt>
                      <c:pt idx="143">
                        <c:v>85.46065173091749</c:v>
                      </c:pt>
                      <c:pt idx="144">
                        <c:v>84.943736965082863</c:v>
                      </c:pt>
                      <c:pt idx="145">
                        <c:v>85.437943336580247</c:v>
                      </c:pt>
                      <c:pt idx="146">
                        <c:v>85.101500546794242</c:v>
                      </c:pt>
                      <c:pt idx="147">
                        <c:v>85.440333693878884</c:v>
                      </c:pt>
                      <c:pt idx="148">
                        <c:v>85.267032789726244</c:v>
                      </c:pt>
                      <c:pt idx="149">
                        <c:v>85.267032789726244</c:v>
                      </c:pt>
                      <c:pt idx="150">
                        <c:v>85.289143594738832</c:v>
                      </c:pt>
                      <c:pt idx="151">
                        <c:v>85.831157112209354</c:v>
                      </c:pt>
                      <c:pt idx="152">
                        <c:v>85.022021166613882</c:v>
                      </c:pt>
                      <c:pt idx="153">
                        <c:v>85.460054141592835</c:v>
                      </c:pt>
                      <c:pt idx="154">
                        <c:v>86.61340153819495</c:v>
                      </c:pt>
                      <c:pt idx="155">
                        <c:v>86.000872480414031</c:v>
                      </c:pt>
                      <c:pt idx="156">
                        <c:v>86.376158576303226</c:v>
                      </c:pt>
                      <c:pt idx="157">
                        <c:v>85.823986040313414</c:v>
                      </c:pt>
                      <c:pt idx="158">
                        <c:v>85.097317421521623</c:v>
                      </c:pt>
                      <c:pt idx="159">
                        <c:v>83.985801277646019</c:v>
                      </c:pt>
                      <c:pt idx="160">
                        <c:v>83.895565289621715</c:v>
                      </c:pt>
                      <c:pt idx="161">
                        <c:v>83.628442861496779</c:v>
                      </c:pt>
                      <c:pt idx="162">
                        <c:v>84.342562104470602</c:v>
                      </c:pt>
                      <c:pt idx="163">
                        <c:v>84.304913977016753</c:v>
                      </c:pt>
                      <c:pt idx="164">
                        <c:v>84.324634424730675</c:v>
                      </c:pt>
                      <c:pt idx="165">
                        <c:v>84.307304334315418</c:v>
                      </c:pt>
                      <c:pt idx="166">
                        <c:v>83.587806787419595</c:v>
                      </c:pt>
                      <c:pt idx="167">
                        <c:v>84.263082724290257</c:v>
                      </c:pt>
                      <c:pt idx="168">
                        <c:v>83.478447941006024</c:v>
                      </c:pt>
                      <c:pt idx="169">
                        <c:v>83.399566150150321</c:v>
                      </c:pt>
                      <c:pt idx="170">
                        <c:v>83.164713545557248</c:v>
                      </c:pt>
                      <c:pt idx="171">
                        <c:v>82.790622628317394</c:v>
                      </c:pt>
                      <c:pt idx="172">
                        <c:v>82.261756075989481</c:v>
                      </c:pt>
                      <c:pt idx="173">
                        <c:v>82.180483927835155</c:v>
                      </c:pt>
                      <c:pt idx="174">
                        <c:v>82.215741697990339</c:v>
                      </c:pt>
                      <c:pt idx="175">
                        <c:v>81.979096325423271</c:v>
                      </c:pt>
                      <c:pt idx="176">
                        <c:v>82.144030979030632</c:v>
                      </c:pt>
                      <c:pt idx="177">
                        <c:v>80.74447678066683</c:v>
                      </c:pt>
                      <c:pt idx="178">
                        <c:v>81.452022541069383</c:v>
                      </c:pt>
                      <c:pt idx="179">
                        <c:v>80.283735411350662</c:v>
                      </c:pt>
                      <c:pt idx="180">
                        <c:v>80.614799897214681</c:v>
                      </c:pt>
                      <c:pt idx="181">
                        <c:v>81.066577426660885</c:v>
                      </c:pt>
                      <c:pt idx="182">
                        <c:v>82.172117677289862</c:v>
                      </c:pt>
                      <c:pt idx="183">
                        <c:v>81.240475920138209</c:v>
                      </c:pt>
                      <c:pt idx="184">
                        <c:v>81.72512086244096</c:v>
                      </c:pt>
                      <c:pt idx="185">
                        <c:v>82.258170540041519</c:v>
                      </c:pt>
                      <c:pt idx="186">
                        <c:v>82.232474199080954</c:v>
                      </c:pt>
                      <c:pt idx="187">
                        <c:v>83.717483670871758</c:v>
                      </c:pt>
                      <c:pt idx="188">
                        <c:v>84.092769766760938</c:v>
                      </c:pt>
                      <c:pt idx="189">
                        <c:v>85.93693042267499</c:v>
                      </c:pt>
                      <c:pt idx="190">
                        <c:v>85.034570542431894</c:v>
                      </c:pt>
                      <c:pt idx="191">
                        <c:v>85.231177430246447</c:v>
                      </c:pt>
                      <c:pt idx="192">
                        <c:v>84.90250330168108</c:v>
                      </c:pt>
                      <c:pt idx="193">
                        <c:v>84.805693831085463</c:v>
                      </c:pt>
                      <c:pt idx="194">
                        <c:v>84.506301579428637</c:v>
                      </c:pt>
                      <c:pt idx="195">
                        <c:v>85.066840365963756</c:v>
                      </c:pt>
                      <c:pt idx="196">
                        <c:v>85.733750052289125</c:v>
                      </c:pt>
                      <c:pt idx="197">
                        <c:v>85.261654485804314</c:v>
                      </c:pt>
                      <c:pt idx="198">
                        <c:v>86.156843294151443</c:v>
                      </c:pt>
                      <c:pt idx="199">
                        <c:v>85.158271532637386</c:v>
                      </c:pt>
                      <c:pt idx="200">
                        <c:v>85.204883499961213</c:v>
                      </c:pt>
                      <c:pt idx="201">
                        <c:v>85.927966582805013</c:v>
                      </c:pt>
                      <c:pt idx="202">
                        <c:v>85.482762535930121</c:v>
                      </c:pt>
                      <c:pt idx="203">
                        <c:v>85.644709242914132</c:v>
                      </c:pt>
                      <c:pt idx="204">
                        <c:v>84.705896413866512</c:v>
                      </c:pt>
                      <c:pt idx="205">
                        <c:v>86.087522932490373</c:v>
                      </c:pt>
                      <c:pt idx="206">
                        <c:v>88.01235814723411</c:v>
                      </c:pt>
                      <c:pt idx="207">
                        <c:v>86.692880918375323</c:v>
                      </c:pt>
                      <c:pt idx="208">
                        <c:v>86.991077991382824</c:v>
                      </c:pt>
                      <c:pt idx="209">
                        <c:v>85.968005067557527</c:v>
                      </c:pt>
                      <c:pt idx="210">
                        <c:v>87.037689958706636</c:v>
                      </c:pt>
                      <c:pt idx="211">
                        <c:v>87.250431758287121</c:v>
                      </c:pt>
                      <c:pt idx="212">
                        <c:v>87.222942649352561</c:v>
                      </c:pt>
                      <c:pt idx="213">
                        <c:v>87.744040540459835</c:v>
                      </c:pt>
                      <c:pt idx="214">
                        <c:v>88.697195513299405</c:v>
                      </c:pt>
                      <c:pt idx="215">
                        <c:v>88.484453713718921</c:v>
                      </c:pt>
                      <c:pt idx="216">
                        <c:v>88.318323881462234</c:v>
                      </c:pt>
                      <c:pt idx="217">
                        <c:v>88.290834772527674</c:v>
                      </c:pt>
                      <c:pt idx="218">
                        <c:v>86.945661202708322</c:v>
                      </c:pt>
                      <c:pt idx="219">
                        <c:v>87.022152636265346</c:v>
                      </c:pt>
                      <c:pt idx="220">
                        <c:v>86.379146522926547</c:v>
                      </c:pt>
                      <c:pt idx="221">
                        <c:v>85.507861287565987</c:v>
                      </c:pt>
                      <c:pt idx="222">
                        <c:v>85.844901666676648</c:v>
                      </c:pt>
                      <c:pt idx="223">
                        <c:v>86.6677821667394</c:v>
                      </c:pt>
                      <c:pt idx="224">
                        <c:v>87.20441738028795</c:v>
                      </c:pt>
                      <c:pt idx="225">
                        <c:v>88.313543166864889</c:v>
                      </c:pt>
                      <c:pt idx="226">
                        <c:v>88.393022547045248</c:v>
                      </c:pt>
                      <c:pt idx="227">
                        <c:v>87.553409545891896</c:v>
                      </c:pt>
                      <c:pt idx="228">
                        <c:v>88.311750398890908</c:v>
                      </c:pt>
                      <c:pt idx="229">
                        <c:v>87.96933171585826</c:v>
                      </c:pt>
                      <c:pt idx="230">
                        <c:v>88.633253455560293</c:v>
                      </c:pt>
                      <c:pt idx="231">
                        <c:v>89.000770890228836</c:v>
                      </c:pt>
                      <c:pt idx="232">
                        <c:v>89.270881264977106</c:v>
                      </c:pt>
                      <c:pt idx="233">
                        <c:v>90.841346010194897</c:v>
                      </c:pt>
                      <c:pt idx="234">
                        <c:v>91.397104082132699</c:v>
                      </c:pt>
                      <c:pt idx="235">
                        <c:v>90.335785441528898</c:v>
                      </c:pt>
                      <c:pt idx="236">
                        <c:v>89.647960128840282</c:v>
                      </c:pt>
                      <c:pt idx="237">
                        <c:v>89.336018501365515</c:v>
                      </c:pt>
                      <c:pt idx="238">
                        <c:v>89.168693490459518</c:v>
                      </c:pt>
                      <c:pt idx="239">
                        <c:v>87.94303778557304</c:v>
                      </c:pt>
                      <c:pt idx="240">
                        <c:v>87.619741960929659</c:v>
                      </c:pt>
                      <c:pt idx="241">
                        <c:v>86.717382080686562</c:v>
                      </c:pt>
                      <c:pt idx="242">
                        <c:v>86.102462665606993</c:v>
                      </c:pt>
                      <c:pt idx="243">
                        <c:v>86.361218843186634</c:v>
                      </c:pt>
                      <c:pt idx="244">
                        <c:v>85.513837180812644</c:v>
                      </c:pt>
                      <c:pt idx="245">
                        <c:v>85.004093486873998</c:v>
                      </c:pt>
                      <c:pt idx="246">
                        <c:v>85.468420392138142</c:v>
                      </c:pt>
                      <c:pt idx="247">
                        <c:v>84.741751773346351</c:v>
                      </c:pt>
                      <c:pt idx="248">
                        <c:v>84.856488923681908</c:v>
                      </c:pt>
                      <c:pt idx="249">
                        <c:v>84.847525083811945</c:v>
                      </c:pt>
                      <c:pt idx="250">
                        <c:v>84.556499082700427</c:v>
                      </c:pt>
                      <c:pt idx="251">
                        <c:v>85.57001057733109</c:v>
                      </c:pt>
                      <c:pt idx="252">
                        <c:v>86.092901236412359</c:v>
                      </c:pt>
                      <c:pt idx="253">
                        <c:v>87.197246308391996</c:v>
                      </c:pt>
                      <c:pt idx="254">
                        <c:v>87.7410525938365</c:v>
                      </c:pt>
                      <c:pt idx="255">
                        <c:v>88.353581651617418</c:v>
                      </c:pt>
                      <c:pt idx="256">
                        <c:v>88.590227024184486</c:v>
                      </c:pt>
                      <c:pt idx="257">
                        <c:v>88.384656296499969</c:v>
                      </c:pt>
                      <c:pt idx="258">
                        <c:v>88.077495383622505</c:v>
                      </c:pt>
                      <c:pt idx="259">
                        <c:v>89.290004123366387</c:v>
                      </c:pt>
                      <c:pt idx="260">
                        <c:v>89.37725216476737</c:v>
                      </c:pt>
                      <c:pt idx="261">
                        <c:v>90.191168824960144</c:v>
                      </c:pt>
                      <c:pt idx="262">
                        <c:v>90.687765553756194</c:v>
                      </c:pt>
                      <c:pt idx="263">
                        <c:v>90.166667662648919</c:v>
                      </c:pt>
                      <c:pt idx="264">
                        <c:v>88.850775969738123</c:v>
                      </c:pt>
                      <c:pt idx="265">
                        <c:v>89.780624958915766</c:v>
                      </c:pt>
                      <c:pt idx="266">
                        <c:v>89.569078337984607</c:v>
                      </c:pt>
                      <c:pt idx="267">
                        <c:v>89.422071364117187</c:v>
                      </c:pt>
                      <c:pt idx="268">
                        <c:v>89.220086172380647</c:v>
                      </c:pt>
                      <c:pt idx="269">
                        <c:v>89.358726895702773</c:v>
                      </c:pt>
                      <c:pt idx="270">
                        <c:v>89.962889702938369</c:v>
                      </c:pt>
                      <c:pt idx="271">
                        <c:v>89.491989315102899</c:v>
                      </c:pt>
                      <c:pt idx="272">
                        <c:v>88.466526033978951</c:v>
                      </c:pt>
                      <c:pt idx="273">
                        <c:v>88.351191294318738</c:v>
                      </c:pt>
                      <c:pt idx="274">
                        <c:v>87.213978809482569</c:v>
                      </c:pt>
                      <c:pt idx="275">
                        <c:v>87.735674289914513</c:v>
                      </c:pt>
                      <c:pt idx="276">
                        <c:v>86.784312085048938</c:v>
                      </c:pt>
                      <c:pt idx="277">
                        <c:v>86.008043552310014</c:v>
                      </c:pt>
                      <c:pt idx="278">
                        <c:v>87.651414195136866</c:v>
                      </c:pt>
                      <c:pt idx="279">
                        <c:v>88.54779818213332</c:v>
                      </c:pt>
                      <c:pt idx="280">
                        <c:v>87.873119834587314</c:v>
                      </c:pt>
                      <c:pt idx="281">
                        <c:v>88.449793532888364</c:v>
                      </c:pt>
                      <c:pt idx="282">
                        <c:v>90.10153042626051</c:v>
                      </c:pt>
                      <c:pt idx="283">
                        <c:v>90.424228661579249</c:v>
                      </c:pt>
                      <c:pt idx="284">
                        <c:v>90.856285743311531</c:v>
                      </c:pt>
                    </c:numCache>
                  </c:numRef>
                </c:val>
                <c:smooth val="0"/>
                <c:extLst xmlns:c15="http://schemas.microsoft.com/office/drawing/2012/chart">
                  <c:ext xmlns:c16="http://schemas.microsoft.com/office/drawing/2014/chart" uri="{C3380CC4-5D6E-409C-BE32-E72D297353CC}">
                    <c16:uniqueId val="{00000006-61DB-4070-8C60-273A3892C606}"/>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'Currency Chart'!$U$5</c15:sqref>
                        </c15:formulaRef>
                      </c:ext>
                    </c:extLst>
                    <c:strCache>
                      <c:ptCount val="1"/>
                      <c:pt idx="0">
                        <c:v>Won</c:v>
                      </c:pt>
                    </c:strCache>
                  </c:strRef>
                </c:tx>
                <c:spPr>
                  <a:ln w="28575" cap="rnd">
                    <a:solidFill>
                      <a:schemeClr val="accent6"/>
                    </a:solidFill>
                    <a:round/>
                  </a:ln>
                  <a:effectLst/>
                </c:spPr>
                <c:marker>
                  <c:symbol val="none"/>
                </c:marker>
                <c:cat>
                  <c:numRef>
                    <c:extLst xmlns:c15="http://schemas.microsoft.com/office/drawing/2012/chart">
                      <c:ext xmlns:c15="http://schemas.microsoft.com/office/drawing/2012/chart" uri="{02D57815-91ED-43cb-92C2-25804820EDAC}">
                        <c15:formulaRef>
                          <c15:sqref>'Currency Chart'!$O$6:$O$291</c15:sqref>
                        </c15:formulaRef>
                      </c:ext>
                    </c:extLst>
                    <c:numCache>
                      <c:formatCode>m/d/yyyy</c:formatCode>
                      <c:ptCount val="286"/>
                      <c:pt idx="0">
                        <c:v>44104</c:v>
                      </c:pt>
                      <c:pt idx="1">
                        <c:v>44105</c:v>
                      </c:pt>
                      <c:pt idx="2">
                        <c:v>44106</c:v>
                      </c:pt>
                      <c:pt idx="3">
                        <c:v>44109</c:v>
                      </c:pt>
                      <c:pt idx="4">
                        <c:v>44110</c:v>
                      </c:pt>
                      <c:pt idx="5">
                        <c:v>44111</c:v>
                      </c:pt>
                      <c:pt idx="6">
                        <c:v>44112</c:v>
                      </c:pt>
                      <c:pt idx="7">
                        <c:v>44113</c:v>
                      </c:pt>
                      <c:pt idx="8">
                        <c:v>44116</c:v>
                      </c:pt>
                      <c:pt idx="9">
                        <c:v>44117</c:v>
                      </c:pt>
                      <c:pt idx="10">
                        <c:v>44118</c:v>
                      </c:pt>
                      <c:pt idx="11">
                        <c:v>44119</c:v>
                      </c:pt>
                      <c:pt idx="12">
                        <c:v>44120</c:v>
                      </c:pt>
                      <c:pt idx="13">
                        <c:v>44123</c:v>
                      </c:pt>
                      <c:pt idx="14">
                        <c:v>44124</c:v>
                      </c:pt>
                      <c:pt idx="15">
                        <c:v>44125</c:v>
                      </c:pt>
                      <c:pt idx="16">
                        <c:v>44126</c:v>
                      </c:pt>
                      <c:pt idx="17">
                        <c:v>44127</c:v>
                      </c:pt>
                      <c:pt idx="18">
                        <c:v>44130</c:v>
                      </c:pt>
                      <c:pt idx="19">
                        <c:v>44131</c:v>
                      </c:pt>
                      <c:pt idx="20">
                        <c:v>44132</c:v>
                      </c:pt>
                      <c:pt idx="21">
                        <c:v>44133</c:v>
                      </c:pt>
                      <c:pt idx="22">
                        <c:v>44134</c:v>
                      </c:pt>
                      <c:pt idx="23">
                        <c:v>44137</c:v>
                      </c:pt>
                      <c:pt idx="24">
                        <c:v>44138</c:v>
                      </c:pt>
                      <c:pt idx="25">
                        <c:v>44139</c:v>
                      </c:pt>
                      <c:pt idx="26">
                        <c:v>44140</c:v>
                      </c:pt>
                      <c:pt idx="27">
                        <c:v>44141</c:v>
                      </c:pt>
                      <c:pt idx="28">
                        <c:v>44144</c:v>
                      </c:pt>
                      <c:pt idx="29">
                        <c:v>44145</c:v>
                      </c:pt>
                      <c:pt idx="30">
                        <c:v>44146</c:v>
                      </c:pt>
                      <c:pt idx="31">
                        <c:v>44147</c:v>
                      </c:pt>
                      <c:pt idx="32">
                        <c:v>44148</c:v>
                      </c:pt>
                      <c:pt idx="33">
                        <c:v>44151</c:v>
                      </c:pt>
                      <c:pt idx="34">
                        <c:v>44152</c:v>
                      </c:pt>
                      <c:pt idx="35">
                        <c:v>44153</c:v>
                      </c:pt>
                      <c:pt idx="36">
                        <c:v>44154</c:v>
                      </c:pt>
                      <c:pt idx="37">
                        <c:v>44155</c:v>
                      </c:pt>
                      <c:pt idx="38">
                        <c:v>44158</c:v>
                      </c:pt>
                      <c:pt idx="39">
                        <c:v>44159</c:v>
                      </c:pt>
                      <c:pt idx="40">
                        <c:v>44160</c:v>
                      </c:pt>
                      <c:pt idx="41">
                        <c:v>44161</c:v>
                      </c:pt>
                      <c:pt idx="42">
                        <c:v>44162</c:v>
                      </c:pt>
                      <c:pt idx="43">
                        <c:v>44165</c:v>
                      </c:pt>
                      <c:pt idx="44">
                        <c:v>44166</c:v>
                      </c:pt>
                      <c:pt idx="45">
                        <c:v>44167</c:v>
                      </c:pt>
                      <c:pt idx="46">
                        <c:v>44168</c:v>
                      </c:pt>
                      <c:pt idx="47">
                        <c:v>44169</c:v>
                      </c:pt>
                      <c:pt idx="48">
                        <c:v>44172</c:v>
                      </c:pt>
                      <c:pt idx="49">
                        <c:v>44173</c:v>
                      </c:pt>
                      <c:pt idx="50">
                        <c:v>44174</c:v>
                      </c:pt>
                      <c:pt idx="51">
                        <c:v>44175</c:v>
                      </c:pt>
                      <c:pt idx="52">
                        <c:v>44176</c:v>
                      </c:pt>
                      <c:pt idx="53">
                        <c:v>44179</c:v>
                      </c:pt>
                      <c:pt idx="54">
                        <c:v>44180</c:v>
                      </c:pt>
                      <c:pt idx="55">
                        <c:v>44181</c:v>
                      </c:pt>
                      <c:pt idx="56">
                        <c:v>44182</c:v>
                      </c:pt>
                      <c:pt idx="57">
                        <c:v>44183</c:v>
                      </c:pt>
                      <c:pt idx="58">
                        <c:v>44186</c:v>
                      </c:pt>
                      <c:pt idx="59">
                        <c:v>44187</c:v>
                      </c:pt>
                      <c:pt idx="60">
                        <c:v>44188</c:v>
                      </c:pt>
                      <c:pt idx="61">
                        <c:v>44189</c:v>
                      </c:pt>
                      <c:pt idx="62">
                        <c:v>44190</c:v>
                      </c:pt>
                      <c:pt idx="63">
                        <c:v>44193</c:v>
                      </c:pt>
                      <c:pt idx="64">
                        <c:v>44194</c:v>
                      </c:pt>
                      <c:pt idx="65">
                        <c:v>44195</c:v>
                      </c:pt>
                      <c:pt idx="66">
                        <c:v>44196</c:v>
                      </c:pt>
                      <c:pt idx="67">
                        <c:v>44197</c:v>
                      </c:pt>
                      <c:pt idx="68">
                        <c:v>44200</c:v>
                      </c:pt>
                      <c:pt idx="69">
                        <c:v>44201</c:v>
                      </c:pt>
                      <c:pt idx="70">
                        <c:v>44202</c:v>
                      </c:pt>
                      <c:pt idx="71">
                        <c:v>44203</c:v>
                      </c:pt>
                      <c:pt idx="72">
                        <c:v>44204</c:v>
                      </c:pt>
                      <c:pt idx="73">
                        <c:v>44207</c:v>
                      </c:pt>
                      <c:pt idx="74">
                        <c:v>44208</c:v>
                      </c:pt>
                      <c:pt idx="75">
                        <c:v>44209</c:v>
                      </c:pt>
                      <c:pt idx="76">
                        <c:v>44210</c:v>
                      </c:pt>
                      <c:pt idx="77">
                        <c:v>44211</c:v>
                      </c:pt>
                      <c:pt idx="78">
                        <c:v>44214</c:v>
                      </c:pt>
                      <c:pt idx="79">
                        <c:v>44215</c:v>
                      </c:pt>
                      <c:pt idx="80">
                        <c:v>44216</c:v>
                      </c:pt>
                      <c:pt idx="81">
                        <c:v>44217</c:v>
                      </c:pt>
                      <c:pt idx="82">
                        <c:v>44218</c:v>
                      </c:pt>
                      <c:pt idx="83">
                        <c:v>44221</c:v>
                      </c:pt>
                      <c:pt idx="84">
                        <c:v>44222</c:v>
                      </c:pt>
                      <c:pt idx="85">
                        <c:v>44223</c:v>
                      </c:pt>
                      <c:pt idx="86">
                        <c:v>44224</c:v>
                      </c:pt>
                      <c:pt idx="87">
                        <c:v>44225</c:v>
                      </c:pt>
                      <c:pt idx="88">
                        <c:v>44228</c:v>
                      </c:pt>
                      <c:pt idx="89">
                        <c:v>44229</c:v>
                      </c:pt>
                      <c:pt idx="90">
                        <c:v>44230</c:v>
                      </c:pt>
                      <c:pt idx="91">
                        <c:v>44231</c:v>
                      </c:pt>
                      <c:pt idx="92">
                        <c:v>44232</c:v>
                      </c:pt>
                      <c:pt idx="93">
                        <c:v>44235</c:v>
                      </c:pt>
                      <c:pt idx="94">
                        <c:v>44236</c:v>
                      </c:pt>
                      <c:pt idx="95">
                        <c:v>44237</c:v>
                      </c:pt>
                      <c:pt idx="96">
                        <c:v>44238</c:v>
                      </c:pt>
                      <c:pt idx="97">
                        <c:v>44239</c:v>
                      </c:pt>
                      <c:pt idx="98">
                        <c:v>44242</c:v>
                      </c:pt>
                      <c:pt idx="99">
                        <c:v>44243</c:v>
                      </c:pt>
                      <c:pt idx="100">
                        <c:v>44244</c:v>
                      </c:pt>
                      <c:pt idx="101">
                        <c:v>44245</c:v>
                      </c:pt>
                      <c:pt idx="102">
                        <c:v>44246</c:v>
                      </c:pt>
                      <c:pt idx="103">
                        <c:v>44247</c:v>
                      </c:pt>
                      <c:pt idx="104">
                        <c:v>44249</c:v>
                      </c:pt>
                      <c:pt idx="105">
                        <c:v>44250</c:v>
                      </c:pt>
                      <c:pt idx="106">
                        <c:v>44251</c:v>
                      </c:pt>
                      <c:pt idx="107">
                        <c:v>44252</c:v>
                      </c:pt>
                      <c:pt idx="108">
                        <c:v>44253</c:v>
                      </c:pt>
                      <c:pt idx="109">
                        <c:v>44256</c:v>
                      </c:pt>
                      <c:pt idx="110">
                        <c:v>44257</c:v>
                      </c:pt>
                      <c:pt idx="111">
                        <c:v>44258</c:v>
                      </c:pt>
                      <c:pt idx="112">
                        <c:v>44259</c:v>
                      </c:pt>
                      <c:pt idx="113">
                        <c:v>44260</c:v>
                      </c:pt>
                      <c:pt idx="114">
                        <c:v>44263</c:v>
                      </c:pt>
                      <c:pt idx="115">
                        <c:v>44264</c:v>
                      </c:pt>
                      <c:pt idx="116">
                        <c:v>44265</c:v>
                      </c:pt>
                      <c:pt idx="117">
                        <c:v>44266</c:v>
                      </c:pt>
                      <c:pt idx="118">
                        <c:v>44267</c:v>
                      </c:pt>
                      <c:pt idx="119">
                        <c:v>44270</c:v>
                      </c:pt>
                      <c:pt idx="120">
                        <c:v>44271</c:v>
                      </c:pt>
                      <c:pt idx="121">
                        <c:v>44272</c:v>
                      </c:pt>
                      <c:pt idx="122">
                        <c:v>44273</c:v>
                      </c:pt>
                      <c:pt idx="123">
                        <c:v>44274</c:v>
                      </c:pt>
                      <c:pt idx="124">
                        <c:v>44277</c:v>
                      </c:pt>
                      <c:pt idx="125">
                        <c:v>44278</c:v>
                      </c:pt>
                      <c:pt idx="126">
                        <c:v>44279</c:v>
                      </c:pt>
                      <c:pt idx="127">
                        <c:v>44280</c:v>
                      </c:pt>
                      <c:pt idx="128">
                        <c:v>44281</c:v>
                      </c:pt>
                      <c:pt idx="129">
                        <c:v>44284</c:v>
                      </c:pt>
                      <c:pt idx="130">
                        <c:v>44285</c:v>
                      </c:pt>
                      <c:pt idx="131">
                        <c:v>44286</c:v>
                      </c:pt>
                      <c:pt idx="132">
                        <c:v>44287</c:v>
                      </c:pt>
                      <c:pt idx="133">
                        <c:v>44288</c:v>
                      </c:pt>
                      <c:pt idx="134">
                        <c:v>44291</c:v>
                      </c:pt>
                      <c:pt idx="135">
                        <c:v>44292</c:v>
                      </c:pt>
                      <c:pt idx="136">
                        <c:v>44293</c:v>
                      </c:pt>
                      <c:pt idx="137">
                        <c:v>44294</c:v>
                      </c:pt>
                      <c:pt idx="138">
                        <c:v>44295</c:v>
                      </c:pt>
                      <c:pt idx="139">
                        <c:v>44298</c:v>
                      </c:pt>
                      <c:pt idx="140">
                        <c:v>44299</c:v>
                      </c:pt>
                      <c:pt idx="141">
                        <c:v>44300</c:v>
                      </c:pt>
                      <c:pt idx="142">
                        <c:v>44301</c:v>
                      </c:pt>
                      <c:pt idx="143">
                        <c:v>44302</c:v>
                      </c:pt>
                      <c:pt idx="144">
                        <c:v>44305</c:v>
                      </c:pt>
                      <c:pt idx="145">
                        <c:v>44306</c:v>
                      </c:pt>
                      <c:pt idx="146">
                        <c:v>44307</c:v>
                      </c:pt>
                      <c:pt idx="147">
                        <c:v>44308</c:v>
                      </c:pt>
                      <c:pt idx="148">
                        <c:v>44309</c:v>
                      </c:pt>
                      <c:pt idx="149">
                        <c:v>44311</c:v>
                      </c:pt>
                      <c:pt idx="150">
                        <c:v>44312</c:v>
                      </c:pt>
                      <c:pt idx="151">
                        <c:v>44313</c:v>
                      </c:pt>
                      <c:pt idx="152">
                        <c:v>44314</c:v>
                      </c:pt>
                      <c:pt idx="153">
                        <c:v>44315</c:v>
                      </c:pt>
                      <c:pt idx="154">
                        <c:v>44316</c:v>
                      </c:pt>
                      <c:pt idx="155">
                        <c:v>44319</c:v>
                      </c:pt>
                      <c:pt idx="156">
                        <c:v>44320</c:v>
                      </c:pt>
                      <c:pt idx="157">
                        <c:v>44321</c:v>
                      </c:pt>
                      <c:pt idx="158">
                        <c:v>44322</c:v>
                      </c:pt>
                      <c:pt idx="159">
                        <c:v>44323</c:v>
                      </c:pt>
                      <c:pt idx="160">
                        <c:v>44326</c:v>
                      </c:pt>
                      <c:pt idx="161">
                        <c:v>44327</c:v>
                      </c:pt>
                      <c:pt idx="162">
                        <c:v>44328</c:v>
                      </c:pt>
                      <c:pt idx="163">
                        <c:v>44329</c:v>
                      </c:pt>
                      <c:pt idx="164">
                        <c:v>44330</c:v>
                      </c:pt>
                      <c:pt idx="165">
                        <c:v>44333</c:v>
                      </c:pt>
                      <c:pt idx="166">
                        <c:v>44334</c:v>
                      </c:pt>
                      <c:pt idx="167">
                        <c:v>44335</c:v>
                      </c:pt>
                      <c:pt idx="168">
                        <c:v>44336</c:v>
                      </c:pt>
                      <c:pt idx="169">
                        <c:v>44337</c:v>
                      </c:pt>
                      <c:pt idx="170">
                        <c:v>44340</c:v>
                      </c:pt>
                      <c:pt idx="171">
                        <c:v>44341</c:v>
                      </c:pt>
                      <c:pt idx="172">
                        <c:v>44342</c:v>
                      </c:pt>
                      <c:pt idx="173">
                        <c:v>44343</c:v>
                      </c:pt>
                      <c:pt idx="174">
                        <c:v>44344</c:v>
                      </c:pt>
                      <c:pt idx="175">
                        <c:v>44347</c:v>
                      </c:pt>
                      <c:pt idx="176">
                        <c:v>44348</c:v>
                      </c:pt>
                      <c:pt idx="177">
                        <c:v>44349</c:v>
                      </c:pt>
                      <c:pt idx="178">
                        <c:v>44350</c:v>
                      </c:pt>
                      <c:pt idx="179">
                        <c:v>44351</c:v>
                      </c:pt>
                      <c:pt idx="180">
                        <c:v>44354</c:v>
                      </c:pt>
                      <c:pt idx="181">
                        <c:v>44355</c:v>
                      </c:pt>
                      <c:pt idx="182">
                        <c:v>44356</c:v>
                      </c:pt>
                      <c:pt idx="183">
                        <c:v>44357</c:v>
                      </c:pt>
                      <c:pt idx="184">
                        <c:v>44358</c:v>
                      </c:pt>
                      <c:pt idx="185">
                        <c:v>44361</c:v>
                      </c:pt>
                      <c:pt idx="186">
                        <c:v>44362</c:v>
                      </c:pt>
                      <c:pt idx="187">
                        <c:v>44363</c:v>
                      </c:pt>
                      <c:pt idx="188">
                        <c:v>44364</c:v>
                      </c:pt>
                      <c:pt idx="189">
                        <c:v>44365</c:v>
                      </c:pt>
                      <c:pt idx="190">
                        <c:v>44368</c:v>
                      </c:pt>
                      <c:pt idx="191">
                        <c:v>44369</c:v>
                      </c:pt>
                      <c:pt idx="192">
                        <c:v>44370</c:v>
                      </c:pt>
                      <c:pt idx="193">
                        <c:v>44371</c:v>
                      </c:pt>
                      <c:pt idx="194">
                        <c:v>44372</c:v>
                      </c:pt>
                      <c:pt idx="195">
                        <c:v>44375</c:v>
                      </c:pt>
                      <c:pt idx="196">
                        <c:v>44376</c:v>
                      </c:pt>
                      <c:pt idx="197">
                        <c:v>44377</c:v>
                      </c:pt>
                      <c:pt idx="198">
                        <c:v>44378</c:v>
                      </c:pt>
                      <c:pt idx="199">
                        <c:v>44379</c:v>
                      </c:pt>
                      <c:pt idx="200">
                        <c:v>44382</c:v>
                      </c:pt>
                      <c:pt idx="201">
                        <c:v>44383</c:v>
                      </c:pt>
                      <c:pt idx="202">
                        <c:v>44384</c:v>
                      </c:pt>
                      <c:pt idx="203">
                        <c:v>44385</c:v>
                      </c:pt>
                      <c:pt idx="204">
                        <c:v>44386</c:v>
                      </c:pt>
                      <c:pt idx="205">
                        <c:v>44389</c:v>
                      </c:pt>
                      <c:pt idx="206">
                        <c:v>44390</c:v>
                      </c:pt>
                      <c:pt idx="207">
                        <c:v>44391</c:v>
                      </c:pt>
                      <c:pt idx="208">
                        <c:v>44392</c:v>
                      </c:pt>
                      <c:pt idx="209">
                        <c:v>44393</c:v>
                      </c:pt>
                      <c:pt idx="210">
                        <c:v>44396</c:v>
                      </c:pt>
                      <c:pt idx="211">
                        <c:v>44397</c:v>
                      </c:pt>
                      <c:pt idx="212">
                        <c:v>44398</c:v>
                      </c:pt>
                      <c:pt idx="213">
                        <c:v>44399</c:v>
                      </c:pt>
                      <c:pt idx="214">
                        <c:v>44400</c:v>
                      </c:pt>
                      <c:pt idx="215">
                        <c:v>44403</c:v>
                      </c:pt>
                      <c:pt idx="216">
                        <c:v>44404</c:v>
                      </c:pt>
                      <c:pt idx="217">
                        <c:v>44405</c:v>
                      </c:pt>
                      <c:pt idx="218">
                        <c:v>44406</c:v>
                      </c:pt>
                      <c:pt idx="219">
                        <c:v>44407</c:v>
                      </c:pt>
                      <c:pt idx="220">
                        <c:v>44410</c:v>
                      </c:pt>
                      <c:pt idx="221">
                        <c:v>44411</c:v>
                      </c:pt>
                      <c:pt idx="222">
                        <c:v>44412</c:v>
                      </c:pt>
                      <c:pt idx="223">
                        <c:v>44413</c:v>
                      </c:pt>
                      <c:pt idx="224">
                        <c:v>44414</c:v>
                      </c:pt>
                      <c:pt idx="225">
                        <c:v>44417</c:v>
                      </c:pt>
                      <c:pt idx="226">
                        <c:v>44418</c:v>
                      </c:pt>
                      <c:pt idx="227">
                        <c:v>44419</c:v>
                      </c:pt>
                      <c:pt idx="228">
                        <c:v>44420</c:v>
                      </c:pt>
                      <c:pt idx="229">
                        <c:v>44421</c:v>
                      </c:pt>
                      <c:pt idx="230">
                        <c:v>44424</c:v>
                      </c:pt>
                      <c:pt idx="231">
                        <c:v>44425</c:v>
                      </c:pt>
                      <c:pt idx="232">
                        <c:v>44426</c:v>
                      </c:pt>
                      <c:pt idx="233">
                        <c:v>44427</c:v>
                      </c:pt>
                      <c:pt idx="234">
                        <c:v>44428</c:v>
                      </c:pt>
                      <c:pt idx="235">
                        <c:v>44431</c:v>
                      </c:pt>
                      <c:pt idx="236">
                        <c:v>44432</c:v>
                      </c:pt>
                      <c:pt idx="237">
                        <c:v>44433</c:v>
                      </c:pt>
                      <c:pt idx="238">
                        <c:v>44434</c:v>
                      </c:pt>
                      <c:pt idx="239">
                        <c:v>44435</c:v>
                      </c:pt>
                      <c:pt idx="240">
                        <c:v>44438</c:v>
                      </c:pt>
                      <c:pt idx="241">
                        <c:v>44439</c:v>
                      </c:pt>
                      <c:pt idx="242">
                        <c:v>44440</c:v>
                      </c:pt>
                      <c:pt idx="243">
                        <c:v>44441</c:v>
                      </c:pt>
                      <c:pt idx="244">
                        <c:v>44442</c:v>
                      </c:pt>
                      <c:pt idx="245">
                        <c:v>44445</c:v>
                      </c:pt>
                      <c:pt idx="246">
                        <c:v>44446</c:v>
                      </c:pt>
                      <c:pt idx="247">
                        <c:v>44447</c:v>
                      </c:pt>
                      <c:pt idx="248">
                        <c:v>44448</c:v>
                      </c:pt>
                      <c:pt idx="249">
                        <c:v>44449</c:v>
                      </c:pt>
                      <c:pt idx="250">
                        <c:v>44452</c:v>
                      </c:pt>
                      <c:pt idx="251">
                        <c:v>44453</c:v>
                      </c:pt>
                      <c:pt idx="252">
                        <c:v>44454</c:v>
                      </c:pt>
                      <c:pt idx="253">
                        <c:v>44455</c:v>
                      </c:pt>
                      <c:pt idx="254">
                        <c:v>44456</c:v>
                      </c:pt>
                      <c:pt idx="255">
                        <c:v>44459</c:v>
                      </c:pt>
                      <c:pt idx="256">
                        <c:v>44460</c:v>
                      </c:pt>
                      <c:pt idx="257">
                        <c:v>44461</c:v>
                      </c:pt>
                      <c:pt idx="258">
                        <c:v>44462</c:v>
                      </c:pt>
                      <c:pt idx="259">
                        <c:v>44463</c:v>
                      </c:pt>
                      <c:pt idx="260">
                        <c:v>44466</c:v>
                      </c:pt>
                      <c:pt idx="261">
                        <c:v>44467</c:v>
                      </c:pt>
                      <c:pt idx="262">
                        <c:v>44468</c:v>
                      </c:pt>
                      <c:pt idx="263">
                        <c:v>44469</c:v>
                      </c:pt>
                      <c:pt idx="264">
                        <c:v>44470</c:v>
                      </c:pt>
                      <c:pt idx="265">
                        <c:v>44473</c:v>
                      </c:pt>
                      <c:pt idx="266">
                        <c:v>44474</c:v>
                      </c:pt>
                      <c:pt idx="267">
                        <c:v>44475</c:v>
                      </c:pt>
                      <c:pt idx="268">
                        <c:v>44476</c:v>
                      </c:pt>
                      <c:pt idx="269">
                        <c:v>44477</c:v>
                      </c:pt>
                      <c:pt idx="270">
                        <c:v>44480</c:v>
                      </c:pt>
                      <c:pt idx="271">
                        <c:v>44481</c:v>
                      </c:pt>
                      <c:pt idx="272">
                        <c:v>44482</c:v>
                      </c:pt>
                      <c:pt idx="273">
                        <c:v>44483</c:v>
                      </c:pt>
                      <c:pt idx="274">
                        <c:v>44484</c:v>
                      </c:pt>
                      <c:pt idx="275">
                        <c:v>44487</c:v>
                      </c:pt>
                      <c:pt idx="276">
                        <c:v>44488</c:v>
                      </c:pt>
                      <c:pt idx="277">
                        <c:v>44489</c:v>
                      </c:pt>
                      <c:pt idx="278">
                        <c:v>44490</c:v>
                      </c:pt>
                      <c:pt idx="279">
                        <c:v>44491</c:v>
                      </c:pt>
                      <c:pt idx="280">
                        <c:v>44494</c:v>
                      </c:pt>
                      <c:pt idx="281">
                        <c:v>44495</c:v>
                      </c:pt>
                      <c:pt idx="282">
                        <c:v>44496</c:v>
                      </c:pt>
                      <c:pt idx="283">
                        <c:v>44497</c:v>
                      </c:pt>
                      <c:pt idx="284">
                        <c:v>44498</c:v>
                      </c:pt>
                      <c:pt idx="285">
                        <c:v>44501</c:v>
                      </c:pt>
                    </c:numCache>
                  </c:numRef>
                </c:cat>
                <c:val>
                  <c:numRef>
                    <c:extLst xmlns:c15="http://schemas.microsoft.com/office/drawing/2012/chart">
                      <c:ext xmlns:c15="http://schemas.microsoft.com/office/drawing/2012/chart" uri="{02D57815-91ED-43cb-92C2-25804820EDAC}">
                        <c15:formulaRef>
                          <c15:sqref>'Currency Chart'!$U$6:$U$291</c15:sqref>
                        </c15:formulaRef>
                      </c:ext>
                    </c:extLst>
                    <c:numCache>
                      <c:formatCode>0</c:formatCode>
                      <c:ptCount val="286"/>
                      <c:pt idx="0" formatCode="General">
                        <c:v>100</c:v>
                      </c:pt>
                      <c:pt idx="1">
                        <c:v>99.843729875928375</c:v>
                      </c:pt>
                      <c:pt idx="2">
                        <c:v>100.1382389559095</c:v>
                      </c:pt>
                      <c:pt idx="3">
                        <c:v>99.353453827330085</c:v>
                      </c:pt>
                      <c:pt idx="4">
                        <c:v>99.975958442450519</c:v>
                      </c:pt>
                      <c:pt idx="5">
                        <c:v>99.36547460610484</c:v>
                      </c:pt>
                      <c:pt idx="6">
                        <c:v>98.837418967071642</c:v>
                      </c:pt>
                      <c:pt idx="7">
                        <c:v>98.185721032069708</c:v>
                      </c:pt>
                      <c:pt idx="8">
                        <c:v>98.552354784699261</c:v>
                      </c:pt>
                      <c:pt idx="9">
                        <c:v>98.596144764521512</c:v>
                      </c:pt>
                      <c:pt idx="10">
                        <c:v>98.496544026102256</c:v>
                      </c:pt>
                      <c:pt idx="11">
                        <c:v>98.324818615034559</c:v>
                      </c:pt>
                      <c:pt idx="12">
                        <c:v>98.066371871377669</c:v>
                      </c:pt>
                      <c:pt idx="13">
                        <c:v>97.888636070922587</c:v>
                      </c:pt>
                      <c:pt idx="14">
                        <c:v>97.745245352681067</c:v>
                      </c:pt>
                      <c:pt idx="15">
                        <c:v>97.242948525308023</c:v>
                      </c:pt>
                      <c:pt idx="16">
                        <c:v>97.431846477482495</c:v>
                      </c:pt>
                      <c:pt idx="17">
                        <c:v>96.848838706907642</c:v>
                      </c:pt>
                      <c:pt idx="18">
                        <c:v>97.234362254754629</c:v>
                      </c:pt>
                      <c:pt idx="19">
                        <c:v>96.957025715880278</c:v>
                      </c:pt>
                      <c:pt idx="20">
                        <c:v>97.448160391533918</c:v>
                      </c:pt>
                      <c:pt idx="21">
                        <c:v>97.030009015584056</c:v>
                      </c:pt>
                      <c:pt idx="22">
                        <c:v>97.582106212166721</c:v>
                      </c:pt>
                      <c:pt idx="23">
                        <c:v>97.278152234576893</c:v>
                      </c:pt>
                      <c:pt idx="24">
                        <c:v>97.138196024556706</c:v>
                      </c:pt>
                      <c:pt idx="25">
                        <c:v>96.823079895247488</c:v>
                      </c:pt>
                      <c:pt idx="26">
                        <c:v>96.413514789851021</c:v>
                      </c:pt>
                      <c:pt idx="27">
                        <c:v>96.28643798566091</c:v>
                      </c:pt>
                      <c:pt idx="28">
                        <c:v>96.085519254711684</c:v>
                      </c:pt>
                      <c:pt idx="29">
                        <c:v>95.914652470699323</c:v>
                      </c:pt>
                      <c:pt idx="30">
                        <c:v>95.512815008800914</c:v>
                      </c:pt>
                      <c:pt idx="31">
                        <c:v>95.724895891469515</c:v>
                      </c:pt>
                      <c:pt idx="32">
                        <c:v>95.103249903404432</c:v>
                      </c:pt>
                      <c:pt idx="33">
                        <c:v>95.053449534194812</c:v>
                      </c:pt>
                      <c:pt idx="34">
                        <c:v>94.910917443008628</c:v>
                      </c:pt>
                      <c:pt idx="35">
                        <c:v>94.978748980380374</c:v>
                      </c:pt>
                      <c:pt idx="36">
                        <c:v>95.615850255441543</c:v>
                      </c:pt>
                      <c:pt idx="37">
                        <c:v>95.732623534967587</c:v>
                      </c:pt>
                      <c:pt idx="38">
                        <c:v>95.608981238998837</c:v>
                      </c:pt>
                      <c:pt idx="39">
                        <c:v>95.328210191903139</c:v>
                      </c:pt>
                      <c:pt idx="40">
                        <c:v>94.98218348860172</c:v>
                      </c:pt>
                      <c:pt idx="41">
                        <c:v>94.927231357060052</c:v>
                      </c:pt>
                      <c:pt idx="42">
                        <c:v>94.82934787275147</c:v>
                      </c:pt>
                      <c:pt idx="43">
                        <c:v>95.249216502812004</c:v>
                      </c:pt>
                      <c:pt idx="44">
                        <c:v>94.940969389945494</c:v>
                      </c:pt>
                      <c:pt idx="45">
                        <c:v>94.450693341347204</c:v>
                      </c:pt>
                      <c:pt idx="46">
                        <c:v>93.768943459408419</c:v>
                      </c:pt>
                      <c:pt idx="47">
                        <c:v>93.05542437642211</c:v>
                      </c:pt>
                      <c:pt idx="48">
                        <c:v>93.034817327093975</c:v>
                      </c:pt>
                      <c:pt idx="49">
                        <c:v>93.149014725453995</c:v>
                      </c:pt>
                      <c:pt idx="50">
                        <c:v>93.288112308418846</c:v>
                      </c:pt>
                      <c:pt idx="51">
                        <c:v>93.20825999227236</c:v>
                      </c:pt>
                      <c:pt idx="52">
                        <c:v>93.733739750139534</c:v>
                      </c:pt>
                      <c:pt idx="53">
                        <c:v>93.85394753788691</c:v>
                      </c:pt>
                      <c:pt idx="54">
                        <c:v>93.541407289743702</c:v>
                      </c:pt>
                      <c:pt idx="55">
                        <c:v>93.792985016957871</c:v>
                      </c:pt>
                      <c:pt idx="56">
                        <c:v>93.84879577555489</c:v>
                      </c:pt>
                      <c:pt idx="57">
                        <c:v>94.396599836860872</c:v>
                      </c:pt>
                      <c:pt idx="58">
                        <c:v>94.667925986347825</c:v>
                      </c:pt>
                      <c:pt idx="59">
                        <c:v>95.283561585025552</c:v>
                      </c:pt>
                      <c:pt idx="60">
                        <c:v>95.019963079036629</c:v>
                      </c:pt>
                      <c:pt idx="61">
                        <c:v>94.58549778903533</c:v>
                      </c:pt>
                      <c:pt idx="62">
                        <c:v>94.369123771090031</c:v>
                      </c:pt>
                      <c:pt idx="63">
                        <c:v>94.071180182887559</c:v>
                      </c:pt>
                      <c:pt idx="64">
                        <c:v>93.673635856265832</c:v>
                      </c:pt>
                      <c:pt idx="65">
                        <c:v>93.385995792727414</c:v>
                      </c:pt>
                      <c:pt idx="66">
                        <c:v>93.115528270295798</c:v>
                      </c:pt>
                      <c:pt idx="67">
                        <c:v>93.137852573734591</c:v>
                      </c:pt>
                      <c:pt idx="68">
                        <c:v>93.288112308418832</c:v>
                      </c:pt>
                      <c:pt idx="69">
                        <c:v>93.282960546086812</c:v>
                      </c:pt>
                      <c:pt idx="70">
                        <c:v>93.412613231442933</c:v>
                      </c:pt>
                      <c:pt idx="71">
                        <c:v>93.957841411582876</c:v>
                      </c:pt>
                      <c:pt idx="72">
                        <c:v>93.841926759112184</c:v>
                      </c:pt>
                      <c:pt idx="73">
                        <c:v>94.211136392907747</c:v>
                      </c:pt>
                      <c:pt idx="74">
                        <c:v>93.97501395268965</c:v>
                      </c:pt>
                      <c:pt idx="75">
                        <c:v>94.201691495299002</c:v>
                      </c:pt>
                      <c:pt idx="76">
                        <c:v>94.09522174043704</c:v>
                      </c:pt>
                      <c:pt idx="77">
                        <c:v>94.7297471343322</c:v>
                      </c:pt>
                      <c:pt idx="78">
                        <c:v>94.665350105181815</c:v>
                      </c:pt>
                      <c:pt idx="79">
                        <c:v>94.572618383205253</c:v>
                      </c:pt>
                      <c:pt idx="80">
                        <c:v>94.135577212037944</c:v>
                      </c:pt>
                      <c:pt idx="81">
                        <c:v>94.438672562572449</c:v>
                      </c:pt>
                      <c:pt idx="82">
                        <c:v>94.913493324174638</c:v>
                      </c:pt>
                      <c:pt idx="83">
                        <c:v>94.670501867513821</c:v>
                      </c:pt>
                      <c:pt idx="84">
                        <c:v>94.536556046881017</c:v>
                      </c:pt>
                      <c:pt idx="85">
                        <c:v>95.168505559610182</c:v>
                      </c:pt>
                      <c:pt idx="86">
                        <c:v>95.523977160520317</c:v>
                      </c:pt>
                      <c:pt idx="87">
                        <c:v>95.96359421285365</c:v>
                      </c:pt>
                      <c:pt idx="88">
                        <c:v>95.86656935560039</c:v>
                      </c:pt>
                      <c:pt idx="89">
                        <c:v>95.768685871291794</c:v>
                      </c:pt>
                      <c:pt idx="90">
                        <c:v>95.604688103722154</c:v>
                      </c:pt>
                      <c:pt idx="91">
                        <c:v>96.166230197913549</c:v>
                      </c:pt>
                      <c:pt idx="92">
                        <c:v>95.888893659039212</c:v>
                      </c:pt>
                      <c:pt idx="93">
                        <c:v>95.789292920619943</c:v>
                      </c:pt>
                      <c:pt idx="94">
                        <c:v>95.383162323444836</c:v>
                      </c:pt>
                      <c:pt idx="95">
                        <c:v>94.919503713562023</c:v>
                      </c:pt>
                      <c:pt idx="96">
                        <c:v>94.631005022968267</c:v>
                      </c:pt>
                      <c:pt idx="97">
                        <c:v>94.671360494569186</c:v>
                      </c:pt>
                      <c:pt idx="98">
                        <c:v>94.561456231485863</c:v>
                      </c:pt>
                      <c:pt idx="99">
                        <c:v>95.013952689649244</c:v>
                      </c:pt>
                      <c:pt idx="100">
                        <c:v>94.930665865281398</c:v>
                      </c:pt>
                      <c:pt idx="101">
                        <c:v>95.046580517752105</c:v>
                      </c:pt>
                      <c:pt idx="102">
                        <c:v>94.815609839866042</c:v>
                      </c:pt>
                      <c:pt idx="103">
                        <c:v>94.815609839866042</c:v>
                      </c:pt>
                      <c:pt idx="104">
                        <c:v>95.444124844373832</c:v>
                      </c:pt>
                      <c:pt idx="105">
                        <c:v>95.318765294294423</c:v>
                      </c:pt>
                      <c:pt idx="106">
                        <c:v>95.073197956467595</c:v>
                      </c:pt>
                      <c:pt idx="107">
                        <c:v>96.060619070106895</c:v>
                      </c:pt>
                      <c:pt idx="108">
                        <c:v>96.500236122440228</c:v>
                      </c:pt>
                      <c:pt idx="109">
                        <c:v>95.593525952002736</c:v>
                      </c:pt>
                      <c:pt idx="110">
                        <c:v>96.596402352638137</c:v>
                      </c:pt>
                      <c:pt idx="111">
                        <c:v>96.685699566393353</c:v>
                      </c:pt>
                      <c:pt idx="112">
                        <c:v>97.099557807066518</c:v>
                      </c:pt>
                      <c:pt idx="113">
                        <c:v>96.853131842184368</c:v>
                      </c:pt>
                      <c:pt idx="114">
                        <c:v>97.954750354183673</c:v>
                      </c:pt>
                      <c:pt idx="115">
                        <c:v>97.446443137423287</c:v>
                      </c:pt>
                      <c:pt idx="116">
                        <c:v>97.532305842957129</c:v>
                      </c:pt>
                      <c:pt idx="117">
                        <c:v>97.054909200188902</c:v>
                      </c:pt>
                      <c:pt idx="118">
                        <c:v>97.540033486455172</c:v>
                      </c:pt>
                      <c:pt idx="119">
                        <c:v>97.226634611256614</c:v>
                      </c:pt>
                      <c:pt idx="120">
                        <c:v>96.93899454771821</c:v>
                      </c:pt>
                      <c:pt idx="121">
                        <c:v>96.270124071609501</c:v>
                      </c:pt>
                      <c:pt idx="122">
                        <c:v>96.831666165800897</c:v>
                      </c:pt>
                      <c:pt idx="123">
                        <c:v>96.949298072382263</c:v>
                      </c:pt>
                      <c:pt idx="124">
                        <c:v>96.681406431116656</c:v>
                      </c:pt>
                      <c:pt idx="125">
                        <c:v>97.273859099300239</c:v>
                      </c:pt>
                      <c:pt idx="126">
                        <c:v>97.445584510367937</c:v>
                      </c:pt>
                      <c:pt idx="127">
                        <c:v>97.464474305585355</c:v>
                      </c:pt>
                      <c:pt idx="128">
                        <c:v>96.897780449061941</c:v>
                      </c:pt>
                      <c:pt idx="129">
                        <c:v>97.158803073884854</c:v>
                      </c:pt>
                      <c:pt idx="130">
                        <c:v>97.24724166058472</c:v>
                      </c:pt>
                      <c:pt idx="131">
                        <c:v>96.781865796591262</c:v>
                      </c:pt>
                      <c:pt idx="132">
                        <c:v>96.914952990168729</c:v>
                      </c:pt>
                      <c:pt idx="133">
                        <c:v>96.908083973726022</c:v>
                      </c:pt>
                      <c:pt idx="134">
                        <c:v>96.525136307045045</c:v>
                      </c:pt>
                      <c:pt idx="135">
                        <c:v>96.094964152320458</c:v>
                      </c:pt>
                      <c:pt idx="136">
                        <c:v>96.082943373545703</c:v>
                      </c:pt>
                      <c:pt idx="137">
                        <c:v>95.808182715837376</c:v>
                      </c:pt>
                      <c:pt idx="138">
                        <c:v>96.250375649336718</c:v>
                      </c:pt>
                      <c:pt idx="139">
                        <c:v>96.537157085819771</c:v>
                      </c:pt>
                      <c:pt idx="140">
                        <c:v>96.283862104494915</c:v>
                      </c:pt>
                      <c:pt idx="141">
                        <c:v>95.829648392220847</c:v>
                      </c:pt>
                      <c:pt idx="142">
                        <c:v>95.881166015541169</c:v>
                      </c:pt>
                      <c:pt idx="143">
                        <c:v>95.865710728545068</c:v>
                      </c:pt>
                      <c:pt idx="144">
                        <c:v>95.765251363070448</c:v>
                      </c:pt>
                      <c:pt idx="145">
                        <c:v>95.932683638861462</c:v>
                      </c:pt>
                      <c:pt idx="146">
                        <c:v>95.852831322714977</c:v>
                      </c:pt>
                      <c:pt idx="147">
                        <c:v>96.062336324217569</c:v>
                      </c:pt>
                      <c:pt idx="148">
                        <c:v>95.712875112694803</c:v>
                      </c:pt>
                      <c:pt idx="149">
                        <c:v>95.712875112694803</c:v>
                      </c:pt>
                      <c:pt idx="150">
                        <c:v>95.330786073069163</c:v>
                      </c:pt>
                      <c:pt idx="151">
                        <c:v>95.59352595200275</c:v>
                      </c:pt>
                      <c:pt idx="152">
                        <c:v>95.29729961791098</c:v>
                      </c:pt>
                      <c:pt idx="153">
                        <c:v>95.104108530459811</c:v>
                      </c:pt>
                      <c:pt idx="154">
                        <c:v>95.922380114197409</c:v>
                      </c:pt>
                      <c:pt idx="155">
                        <c:v>96.195423517795035</c:v>
                      </c:pt>
                      <c:pt idx="156">
                        <c:v>96.661658008843844</c:v>
                      </c:pt>
                      <c:pt idx="157">
                        <c:v>96.571502168033305</c:v>
                      </c:pt>
                      <c:pt idx="158">
                        <c:v>96.190271755463002</c:v>
                      </c:pt>
                      <c:pt idx="159">
                        <c:v>95.413214270381644</c:v>
                      </c:pt>
                      <c:pt idx="160">
                        <c:v>95.88116601554114</c:v>
                      </c:pt>
                      <c:pt idx="161">
                        <c:v>96.1301678615893</c:v>
                      </c:pt>
                      <c:pt idx="162">
                        <c:v>97.259262439359446</c:v>
                      </c:pt>
                      <c:pt idx="163">
                        <c:v>96.744086206156339</c:v>
                      </c:pt>
                      <c:pt idx="164">
                        <c:v>96.663375262954517</c:v>
                      </c:pt>
                      <c:pt idx="165">
                        <c:v>97.602713261494856</c:v>
                      </c:pt>
                      <c:pt idx="166">
                        <c:v>96.761258747263113</c:v>
                      </c:pt>
                      <c:pt idx="167">
                        <c:v>97.12617524578198</c:v>
                      </c:pt>
                      <c:pt idx="168">
                        <c:v>96.823938522302825</c:v>
                      </c:pt>
                      <c:pt idx="169">
                        <c:v>96.821362641136815</c:v>
                      </c:pt>
                      <c:pt idx="170">
                        <c:v>96.465032413171329</c:v>
                      </c:pt>
                      <c:pt idx="171">
                        <c:v>96.368866182973406</c:v>
                      </c:pt>
                      <c:pt idx="172">
                        <c:v>95.87515562615377</c:v>
                      </c:pt>
                      <c:pt idx="173">
                        <c:v>96.041729274889448</c:v>
                      </c:pt>
                      <c:pt idx="174">
                        <c:v>95.572060275619279</c:v>
                      </c:pt>
                      <c:pt idx="175">
                        <c:v>95.013952689649244</c:v>
                      </c:pt>
                      <c:pt idx="176">
                        <c:v>95.168505559610196</c:v>
                      </c:pt>
                      <c:pt idx="177">
                        <c:v>95.386596831666182</c:v>
                      </c:pt>
                      <c:pt idx="178">
                        <c:v>95.862276220323707</c:v>
                      </c:pt>
                      <c:pt idx="179">
                        <c:v>95.352251749452634</c:v>
                      </c:pt>
                      <c:pt idx="180">
                        <c:v>95.360838020006014</c:v>
                      </c:pt>
                      <c:pt idx="181">
                        <c:v>95.970463229296371</c:v>
                      </c:pt>
                      <c:pt idx="182">
                        <c:v>95.789292920619928</c:v>
                      </c:pt>
                      <c:pt idx="183">
                        <c:v>95.506804619413558</c:v>
                      </c:pt>
                      <c:pt idx="184">
                        <c:v>95.857124457991674</c:v>
                      </c:pt>
                      <c:pt idx="185">
                        <c:v>95.851114068604289</c:v>
                      </c:pt>
                      <c:pt idx="186">
                        <c:v>95.916369724810025</c:v>
                      </c:pt>
                      <c:pt idx="187">
                        <c:v>97.254969304082763</c:v>
                      </c:pt>
                      <c:pt idx="188">
                        <c:v>97.394066887047586</c:v>
                      </c:pt>
                      <c:pt idx="189">
                        <c:v>97.449019018589269</c:v>
                      </c:pt>
                      <c:pt idx="190">
                        <c:v>97.145065040999441</c:v>
                      </c:pt>
                      <c:pt idx="191">
                        <c:v>97.331387112007889</c:v>
                      </c:pt>
                      <c:pt idx="192">
                        <c:v>97.527154080625067</c:v>
                      </c:pt>
                      <c:pt idx="193">
                        <c:v>97.091830163568446</c:v>
                      </c:pt>
                      <c:pt idx="194">
                        <c:v>96.777572661314551</c:v>
                      </c:pt>
                      <c:pt idx="195">
                        <c:v>97.028291761473398</c:v>
                      </c:pt>
                      <c:pt idx="196">
                        <c:v>97.163954836216874</c:v>
                      </c:pt>
                      <c:pt idx="197">
                        <c:v>97.066071351908292</c:v>
                      </c:pt>
                      <c:pt idx="198">
                        <c:v>97.396642768213596</c:v>
                      </c:pt>
                      <c:pt idx="199">
                        <c:v>97.070364487184975</c:v>
                      </c:pt>
                      <c:pt idx="200">
                        <c:v>97.060919589576258</c:v>
                      </c:pt>
                      <c:pt idx="201">
                        <c:v>97.604430515605529</c:v>
                      </c:pt>
                      <c:pt idx="202">
                        <c:v>98.012278366891323</c:v>
                      </c:pt>
                      <c:pt idx="203">
                        <c:v>98.449319538058617</c:v>
                      </c:pt>
                      <c:pt idx="204">
                        <c:v>98.203752200231818</c:v>
                      </c:pt>
                      <c:pt idx="205">
                        <c:v>98.471643841497425</c:v>
                      </c:pt>
                      <c:pt idx="206">
                        <c:v>98.736959601597036</c:v>
                      </c:pt>
                      <c:pt idx="207">
                        <c:v>98.245824925943396</c:v>
                      </c:pt>
                      <c:pt idx="208">
                        <c:v>98.020006010389352</c:v>
                      </c:pt>
                      <c:pt idx="209">
                        <c:v>98.013136993946645</c:v>
                      </c:pt>
                      <c:pt idx="210">
                        <c:v>98.813377409522118</c:v>
                      </c:pt>
                      <c:pt idx="211">
                        <c:v>98.524878718928377</c:v>
                      </c:pt>
                      <c:pt idx="212">
                        <c:v>98.682866097110647</c:v>
                      </c:pt>
                      <c:pt idx="213">
                        <c:v>98.789335851972623</c:v>
                      </c:pt>
                      <c:pt idx="214">
                        <c:v>98.87262267634047</c:v>
                      </c:pt>
                      <c:pt idx="215">
                        <c:v>98.960202635984999</c:v>
                      </c:pt>
                      <c:pt idx="216">
                        <c:v>99.107027862447893</c:v>
                      </c:pt>
                      <c:pt idx="217">
                        <c:v>98.765294294423157</c:v>
                      </c:pt>
                      <c:pt idx="218">
                        <c:v>98.151375949856117</c:v>
                      </c:pt>
                      <c:pt idx="219">
                        <c:v>98.863177778731753</c:v>
                      </c:pt>
                      <c:pt idx="220">
                        <c:v>98.757566650925114</c:v>
                      </c:pt>
                      <c:pt idx="221">
                        <c:v>98.608165543296209</c:v>
                      </c:pt>
                      <c:pt idx="222">
                        <c:v>98.292190786931641</c:v>
                      </c:pt>
                      <c:pt idx="223">
                        <c:v>98.105868715923179</c:v>
                      </c:pt>
                      <c:pt idx="224">
                        <c:v>98.306787446872406</c:v>
                      </c:pt>
                      <c:pt idx="225">
                        <c:v>98.475078349718757</c:v>
                      </c:pt>
                      <c:pt idx="226">
                        <c:v>98.973940668870412</c:v>
                      </c:pt>
                      <c:pt idx="227">
                        <c:v>99.083844931953749</c:v>
                      </c:pt>
                      <c:pt idx="228">
                        <c:v>99.856609281758423</c:v>
                      </c:pt>
                      <c:pt idx="229">
                        <c:v>99.718370325848909</c:v>
                      </c:pt>
                      <c:pt idx="230">
                        <c:v>100.05409350448626</c:v>
                      </c:pt>
                      <c:pt idx="231">
                        <c:v>101.08616322500315</c:v>
                      </c:pt>
                      <c:pt idx="232">
                        <c:v>100.46194135577205</c:v>
                      </c:pt>
                      <c:pt idx="233">
                        <c:v>100.99858326535862</c:v>
                      </c:pt>
                      <c:pt idx="234">
                        <c:v>100.90155840810537</c:v>
                      </c:pt>
                      <c:pt idx="235">
                        <c:v>100.40441334306436</c:v>
                      </c:pt>
                      <c:pt idx="236">
                        <c:v>99.914137294466087</c:v>
                      </c:pt>
                      <c:pt idx="237">
                        <c:v>99.93302708968352</c:v>
                      </c:pt>
                      <c:pt idx="238">
                        <c:v>100.50487270853898</c:v>
                      </c:pt>
                      <c:pt idx="239">
                        <c:v>99.706349547074169</c:v>
                      </c:pt>
                      <c:pt idx="240">
                        <c:v>99.973382561284424</c:v>
                      </c:pt>
                      <c:pt idx="241">
                        <c:v>99.491692783239529</c:v>
                      </c:pt>
                      <c:pt idx="242">
                        <c:v>99.211780363199182</c:v>
                      </c:pt>
                      <c:pt idx="243">
                        <c:v>99.433306143476514</c:v>
                      </c:pt>
                      <c:pt idx="244">
                        <c:v>99.109603743613903</c:v>
                      </c:pt>
                      <c:pt idx="245">
                        <c:v>99.346584810887322</c:v>
                      </c:pt>
                      <c:pt idx="246">
                        <c:v>99.770746576224553</c:v>
                      </c:pt>
                      <c:pt idx="247">
                        <c:v>100.16228051345891</c:v>
                      </c:pt>
                      <c:pt idx="248">
                        <c:v>100.42845490061387</c:v>
                      </c:pt>
                      <c:pt idx="249">
                        <c:v>100.47911389687883</c:v>
                      </c:pt>
                      <c:pt idx="250">
                        <c:v>100.70235693126683</c:v>
                      </c:pt>
                      <c:pt idx="251">
                        <c:v>100.65083930794653</c:v>
                      </c:pt>
                      <c:pt idx="252">
                        <c:v>100.13566307474342</c:v>
                      </c:pt>
                      <c:pt idx="253">
                        <c:v>100.90499291632673</c:v>
                      </c:pt>
                      <c:pt idx="254">
                        <c:v>101.37723779676291</c:v>
                      </c:pt>
                      <c:pt idx="255">
                        <c:v>101.8048340703215</c:v>
                      </c:pt>
                      <c:pt idx="256">
                        <c:v>101.65800884385861</c:v>
                      </c:pt>
                      <c:pt idx="257">
                        <c:v>101.4682522646288</c:v>
                      </c:pt>
                      <c:pt idx="258">
                        <c:v>100.85690980122779</c:v>
                      </c:pt>
                      <c:pt idx="259">
                        <c:v>101.29051646417373</c:v>
                      </c:pt>
                      <c:pt idx="260">
                        <c:v>101.14111535654483</c:v>
                      </c:pt>
                      <c:pt idx="261">
                        <c:v>101.93276950156695</c:v>
                      </c:pt>
                      <c:pt idx="262">
                        <c:v>101.92847636629024</c:v>
                      </c:pt>
                      <c:pt idx="263">
                        <c:v>101.68119177435277</c:v>
                      </c:pt>
                      <c:pt idx="264">
                        <c:v>101.34804447688141</c:v>
                      </c:pt>
                      <c:pt idx="265">
                        <c:v>101.67174687674404</c:v>
                      </c:pt>
                      <c:pt idx="266">
                        <c:v>101.87438286180394</c:v>
                      </c:pt>
                      <c:pt idx="267">
                        <c:v>102.19465075344522</c:v>
                      </c:pt>
                      <c:pt idx="268">
                        <c:v>102.25217876615291</c:v>
                      </c:pt>
                      <c:pt idx="269">
                        <c:v>102.75962735585796</c:v>
                      </c:pt>
                      <c:pt idx="270">
                        <c:v>102.63169192461251</c:v>
                      </c:pt>
                      <c:pt idx="271">
                        <c:v>102.80255870862487</c:v>
                      </c:pt>
                      <c:pt idx="272">
                        <c:v>101.8486240501438</c:v>
                      </c:pt>
                      <c:pt idx="273">
                        <c:v>101.4631005022968</c:v>
                      </c:pt>
                      <c:pt idx="274">
                        <c:v>101.49572833039966</c:v>
                      </c:pt>
                      <c:pt idx="275">
                        <c:v>101.78766152921476</c:v>
                      </c:pt>
                      <c:pt idx="276">
                        <c:v>100.89984115399474</c:v>
                      </c:pt>
                      <c:pt idx="277">
                        <c:v>100.94277250676167</c:v>
                      </c:pt>
                      <c:pt idx="278">
                        <c:v>101.12737732365943</c:v>
                      </c:pt>
                      <c:pt idx="279">
                        <c:v>101.10161851199928</c:v>
                      </c:pt>
                      <c:pt idx="280">
                        <c:v>100.28935731764905</c:v>
                      </c:pt>
                      <c:pt idx="281">
                        <c:v>100.28334692826169</c:v>
                      </c:pt>
                      <c:pt idx="282">
                        <c:v>100.63538402095047</c:v>
                      </c:pt>
                      <c:pt idx="283">
                        <c:v>100.32541965397327</c:v>
                      </c:pt>
                      <c:pt idx="284">
                        <c:v>100.84317176834239</c:v>
                      </c:pt>
                    </c:numCache>
                  </c:numRef>
                </c:val>
                <c:smooth val="0"/>
                <c:extLst xmlns:c15="http://schemas.microsoft.com/office/drawing/2012/chart">
                  <c:ext xmlns:c16="http://schemas.microsoft.com/office/drawing/2014/chart" uri="{C3380CC4-5D6E-409C-BE32-E72D297353CC}">
                    <c16:uniqueId val="{00000007-61DB-4070-8C60-273A3892C606}"/>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'Currency Chart'!$V$5</c15:sqref>
                        </c15:formulaRef>
                      </c:ext>
                    </c:extLst>
                    <c:strCache>
                      <c:ptCount val="1"/>
                      <c:pt idx="0">
                        <c:v>Pound</c:v>
                      </c:pt>
                    </c:strCache>
                  </c:strRef>
                </c:tx>
                <c:spPr>
                  <a:ln w="28575" cap="rnd">
                    <a:solidFill>
                      <a:schemeClr val="accent1">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'Currency Chart'!$O$6:$O$291</c15:sqref>
                        </c15:formulaRef>
                      </c:ext>
                    </c:extLst>
                    <c:numCache>
                      <c:formatCode>m/d/yyyy</c:formatCode>
                      <c:ptCount val="286"/>
                      <c:pt idx="0">
                        <c:v>44104</c:v>
                      </c:pt>
                      <c:pt idx="1">
                        <c:v>44105</c:v>
                      </c:pt>
                      <c:pt idx="2">
                        <c:v>44106</c:v>
                      </c:pt>
                      <c:pt idx="3">
                        <c:v>44109</c:v>
                      </c:pt>
                      <c:pt idx="4">
                        <c:v>44110</c:v>
                      </c:pt>
                      <c:pt idx="5">
                        <c:v>44111</c:v>
                      </c:pt>
                      <c:pt idx="6">
                        <c:v>44112</c:v>
                      </c:pt>
                      <c:pt idx="7">
                        <c:v>44113</c:v>
                      </c:pt>
                      <c:pt idx="8">
                        <c:v>44116</c:v>
                      </c:pt>
                      <c:pt idx="9">
                        <c:v>44117</c:v>
                      </c:pt>
                      <c:pt idx="10">
                        <c:v>44118</c:v>
                      </c:pt>
                      <c:pt idx="11">
                        <c:v>44119</c:v>
                      </c:pt>
                      <c:pt idx="12">
                        <c:v>44120</c:v>
                      </c:pt>
                      <c:pt idx="13">
                        <c:v>44123</c:v>
                      </c:pt>
                      <c:pt idx="14">
                        <c:v>44124</c:v>
                      </c:pt>
                      <c:pt idx="15">
                        <c:v>44125</c:v>
                      </c:pt>
                      <c:pt idx="16">
                        <c:v>44126</c:v>
                      </c:pt>
                      <c:pt idx="17">
                        <c:v>44127</c:v>
                      </c:pt>
                      <c:pt idx="18">
                        <c:v>44130</c:v>
                      </c:pt>
                      <c:pt idx="19">
                        <c:v>44131</c:v>
                      </c:pt>
                      <c:pt idx="20">
                        <c:v>44132</c:v>
                      </c:pt>
                      <c:pt idx="21">
                        <c:v>44133</c:v>
                      </c:pt>
                      <c:pt idx="22">
                        <c:v>44134</c:v>
                      </c:pt>
                      <c:pt idx="23">
                        <c:v>44137</c:v>
                      </c:pt>
                      <c:pt idx="24">
                        <c:v>44138</c:v>
                      </c:pt>
                      <c:pt idx="25">
                        <c:v>44139</c:v>
                      </c:pt>
                      <c:pt idx="26">
                        <c:v>44140</c:v>
                      </c:pt>
                      <c:pt idx="27">
                        <c:v>44141</c:v>
                      </c:pt>
                      <c:pt idx="28">
                        <c:v>44144</c:v>
                      </c:pt>
                      <c:pt idx="29">
                        <c:v>44145</c:v>
                      </c:pt>
                      <c:pt idx="30">
                        <c:v>44146</c:v>
                      </c:pt>
                      <c:pt idx="31">
                        <c:v>44147</c:v>
                      </c:pt>
                      <c:pt idx="32">
                        <c:v>44148</c:v>
                      </c:pt>
                      <c:pt idx="33">
                        <c:v>44151</c:v>
                      </c:pt>
                      <c:pt idx="34">
                        <c:v>44152</c:v>
                      </c:pt>
                      <c:pt idx="35">
                        <c:v>44153</c:v>
                      </c:pt>
                      <c:pt idx="36">
                        <c:v>44154</c:v>
                      </c:pt>
                      <c:pt idx="37">
                        <c:v>44155</c:v>
                      </c:pt>
                      <c:pt idx="38">
                        <c:v>44158</c:v>
                      </c:pt>
                      <c:pt idx="39">
                        <c:v>44159</c:v>
                      </c:pt>
                      <c:pt idx="40">
                        <c:v>44160</c:v>
                      </c:pt>
                      <c:pt idx="41">
                        <c:v>44161</c:v>
                      </c:pt>
                      <c:pt idx="42">
                        <c:v>44162</c:v>
                      </c:pt>
                      <c:pt idx="43">
                        <c:v>44165</c:v>
                      </c:pt>
                      <c:pt idx="44">
                        <c:v>44166</c:v>
                      </c:pt>
                      <c:pt idx="45">
                        <c:v>44167</c:v>
                      </c:pt>
                      <c:pt idx="46">
                        <c:v>44168</c:v>
                      </c:pt>
                      <c:pt idx="47">
                        <c:v>44169</c:v>
                      </c:pt>
                      <c:pt idx="48">
                        <c:v>44172</c:v>
                      </c:pt>
                      <c:pt idx="49">
                        <c:v>44173</c:v>
                      </c:pt>
                      <c:pt idx="50">
                        <c:v>44174</c:v>
                      </c:pt>
                      <c:pt idx="51">
                        <c:v>44175</c:v>
                      </c:pt>
                      <c:pt idx="52">
                        <c:v>44176</c:v>
                      </c:pt>
                      <c:pt idx="53">
                        <c:v>44179</c:v>
                      </c:pt>
                      <c:pt idx="54">
                        <c:v>44180</c:v>
                      </c:pt>
                      <c:pt idx="55">
                        <c:v>44181</c:v>
                      </c:pt>
                      <c:pt idx="56">
                        <c:v>44182</c:v>
                      </c:pt>
                      <c:pt idx="57">
                        <c:v>44183</c:v>
                      </c:pt>
                      <c:pt idx="58">
                        <c:v>44186</c:v>
                      </c:pt>
                      <c:pt idx="59">
                        <c:v>44187</c:v>
                      </c:pt>
                      <c:pt idx="60">
                        <c:v>44188</c:v>
                      </c:pt>
                      <c:pt idx="61">
                        <c:v>44189</c:v>
                      </c:pt>
                      <c:pt idx="62">
                        <c:v>44190</c:v>
                      </c:pt>
                      <c:pt idx="63">
                        <c:v>44193</c:v>
                      </c:pt>
                      <c:pt idx="64">
                        <c:v>44194</c:v>
                      </c:pt>
                      <c:pt idx="65">
                        <c:v>44195</c:v>
                      </c:pt>
                      <c:pt idx="66">
                        <c:v>44196</c:v>
                      </c:pt>
                      <c:pt idx="67">
                        <c:v>44197</c:v>
                      </c:pt>
                      <c:pt idx="68">
                        <c:v>44200</c:v>
                      </c:pt>
                      <c:pt idx="69">
                        <c:v>44201</c:v>
                      </c:pt>
                      <c:pt idx="70">
                        <c:v>44202</c:v>
                      </c:pt>
                      <c:pt idx="71">
                        <c:v>44203</c:v>
                      </c:pt>
                      <c:pt idx="72">
                        <c:v>44204</c:v>
                      </c:pt>
                      <c:pt idx="73">
                        <c:v>44207</c:v>
                      </c:pt>
                      <c:pt idx="74">
                        <c:v>44208</c:v>
                      </c:pt>
                      <c:pt idx="75">
                        <c:v>44209</c:v>
                      </c:pt>
                      <c:pt idx="76">
                        <c:v>44210</c:v>
                      </c:pt>
                      <c:pt idx="77">
                        <c:v>44211</c:v>
                      </c:pt>
                      <c:pt idx="78">
                        <c:v>44214</c:v>
                      </c:pt>
                      <c:pt idx="79">
                        <c:v>44215</c:v>
                      </c:pt>
                      <c:pt idx="80">
                        <c:v>44216</c:v>
                      </c:pt>
                      <c:pt idx="81">
                        <c:v>44217</c:v>
                      </c:pt>
                      <c:pt idx="82">
                        <c:v>44218</c:v>
                      </c:pt>
                      <c:pt idx="83">
                        <c:v>44221</c:v>
                      </c:pt>
                      <c:pt idx="84">
                        <c:v>44222</c:v>
                      </c:pt>
                      <c:pt idx="85">
                        <c:v>44223</c:v>
                      </c:pt>
                      <c:pt idx="86">
                        <c:v>44224</c:v>
                      </c:pt>
                      <c:pt idx="87">
                        <c:v>44225</c:v>
                      </c:pt>
                      <c:pt idx="88">
                        <c:v>44228</c:v>
                      </c:pt>
                      <c:pt idx="89">
                        <c:v>44229</c:v>
                      </c:pt>
                      <c:pt idx="90">
                        <c:v>44230</c:v>
                      </c:pt>
                      <c:pt idx="91">
                        <c:v>44231</c:v>
                      </c:pt>
                      <c:pt idx="92">
                        <c:v>44232</c:v>
                      </c:pt>
                      <c:pt idx="93">
                        <c:v>44235</c:v>
                      </c:pt>
                      <c:pt idx="94">
                        <c:v>44236</c:v>
                      </c:pt>
                      <c:pt idx="95">
                        <c:v>44237</c:v>
                      </c:pt>
                      <c:pt idx="96">
                        <c:v>44238</c:v>
                      </c:pt>
                      <c:pt idx="97">
                        <c:v>44239</c:v>
                      </c:pt>
                      <c:pt idx="98">
                        <c:v>44242</c:v>
                      </c:pt>
                      <c:pt idx="99">
                        <c:v>44243</c:v>
                      </c:pt>
                      <c:pt idx="100">
                        <c:v>44244</c:v>
                      </c:pt>
                      <c:pt idx="101">
                        <c:v>44245</c:v>
                      </c:pt>
                      <c:pt idx="102">
                        <c:v>44246</c:v>
                      </c:pt>
                      <c:pt idx="103">
                        <c:v>44247</c:v>
                      </c:pt>
                      <c:pt idx="104">
                        <c:v>44249</c:v>
                      </c:pt>
                      <c:pt idx="105">
                        <c:v>44250</c:v>
                      </c:pt>
                      <c:pt idx="106">
                        <c:v>44251</c:v>
                      </c:pt>
                      <c:pt idx="107">
                        <c:v>44252</c:v>
                      </c:pt>
                      <c:pt idx="108">
                        <c:v>44253</c:v>
                      </c:pt>
                      <c:pt idx="109">
                        <c:v>44256</c:v>
                      </c:pt>
                      <c:pt idx="110">
                        <c:v>44257</c:v>
                      </c:pt>
                      <c:pt idx="111">
                        <c:v>44258</c:v>
                      </c:pt>
                      <c:pt idx="112">
                        <c:v>44259</c:v>
                      </c:pt>
                      <c:pt idx="113">
                        <c:v>44260</c:v>
                      </c:pt>
                      <c:pt idx="114">
                        <c:v>44263</c:v>
                      </c:pt>
                      <c:pt idx="115">
                        <c:v>44264</c:v>
                      </c:pt>
                      <c:pt idx="116">
                        <c:v>44265</c:v>
                      </c:pt>
                      <c:pt idx="117">
                        <c:v>44266</c:v>
                      </c:pt>
                      <c:pt idx="118">
                        <c:v>44267</c:v>
                      </c:pt>
                      <c:pt idx="119">
                        <c:v>44270</c:v>
                      </c:pt>
                      <c:pt idx="120">
                        <c:v>44271</c:v>
                      </c:pt>
                      <c:pt idx="121">
                        <c:v>44272</c:v>
                      </c:pt>
                      <c:pt idx="122">
                        <c:v>44273</c:v>
                      </c:pt>
                      <c:pt idx="123">
                        <c:v>44274</c:v>
                      </c:pt>
                      <c:pt idx="124">
                        <c:v>44277</c:v>
                      </c:pt>
                      <c:pt idx="125">
                        <c:v>44278</c:v>
                      </c:pt>
                      <c:pt idx="126">
                        <c:v>44279</c:v>
                      </c:pt>
                      <c:pt idx="127">
                        <c:v>44280</c:v>
                      </c:pt>
                      <c:pt idx="128">
                        <c:v>44281</c:v>
                      </c:pt>
                      <c:pt idx="129">
                        <c:v>44284</c:v>
                      </c:pt>
                      <c:pt idx="130">
                        <c:v>44285</c:v>
                      </c:pt>
                      <c:pt idx="131">
                        <c:v>44286</c:v>
                      </c:pt>
                      <c:pt idx="132">
                        <c:v>44287</c:v>
                      </c:pt>
                      <c:pt idx="133">
                        <c:v>44288</c:v>
                      </c:pt>
                      <c:pt idx="134">
                        <c:v>44291</c:v>
                      </c:pt>
                      <c:pt idx="135">
                        <c:v>44292</c:v>
                      </c:pt>
                      <c:pt idx="136">
                        <c:v>44293</c:v>
                      </c:pt>
                      <c:pt idx="137">
                        <c:v>44294</c:v>
                      </c:pt>
                      <c:pt idx="138">
                        <c:v>44295</c:v>
                      </c:pt>
                      <c:pt idx="139">
                        <c:v>44298</c:v>
                      </c:pt>
                      <c:pt idx="140">
                        <c:v>44299</c:v>
                      </c:pt>
                      <c:pt idx="141">
                        <c:v>44300</c:v>
                      </c:pt>
                      <c:pt idx="142">
                        <c:v>44301</c:v>
                      </c:pt>
                      <c:pt idx="143">
                        <c:v>44302</c:v>
                      </c:pt>
                      <c:pt idx="144">
                        <c:v>44305</c:v>
                      </c:pt>
                      <c:pt idx="145">
                        <c:v>44306</c:v>
                      </c:pt>
                      <c:pt idx="146">
                        <c:v>44307</c:v>
                      </c:pt>
                      <c:pt idx="147">
                        <c:v>44308</c:v>
                      </c:pt>
                      <c:pt idx="148">
                        <c:v>44309</c:v>
                      </c:pt>
                      <c:pt idx="149">
                        <c:v>44311</c:v>
                      </c:pt>
                      <c:pt idx="150">
                        <c:v>44312</c:v>
                      </c:pt>
                      <c:pt idx="151">
                        <c:v>44313</c:v>
                      </c:pt>
                      <c:pt idx="152">
                        <c:v>44314</c:v>
                      </c:pt>
                      <c:pt idx="153">
                        <c:v>44315</c:v>
                      </c:pt>
                      <c:pt idx="154">
                        <c:v>44316</c:v>
                      </c:pt>
                      <c:pt idx="155">
                        <c:v>44319</c:v>
                      </c:pt>
                      <c:pt idx="156">
                        <c:v>44320</c:v>
                      </c:pt>
                      <c:pt idx="157">
                        <c:v>44321</c:v>
                      </c:pt>
                      <c:pt idx="158">
                        <c:v>44322</c:v>
                      </c:pt>
                      <c:pt idx="159">
                        <c:v>44323</c:v>
                      </c:pt>
                      <c:pt idx="160">
                        <c:v>44326</c:v>
                      </c:pt>
                      <c:pt idx="161">
                        <c:v>44327</c:v>
                      </c:pt>
                      <c:pt idx="162">
                        <c:v>44328</c:v>
                      </c:pt>
                      <c:pt idx="163">
                        <c:v>44329</c:v>
                      </c:pt>
                      <c:pt idx="164">
                        <c:v>44330</c:v>
                      </c:pt>
                      <c:pt idx="165">
                        <c:v>44333</c:v>
                      </c:pt>
                      <c:pt idx="166">
                        <c:v>44334</c:v>
                      </c:pt>
                      <c:pt idx="167">
                        <c:v>44335</c:v>
                      </c:pt>
                      <c:pt idx="168">
                        <c:v>44336</c:v>
                      </c:pt>
                      <c:pt idx="169">
                        <c:v>44337</c:v>
                      </c:pt>
                      <c:pt idx="170">
                        <c:v>44340</c:v>
                      </c:pt>
                      <c:pt idx="171">
                        <c:v>44341</c:v>
                      </c:pt>
                      <c:pt idx="172">
                        <c:v>44342</c:v>
                      </c:pt>
                      <c:pt idx="173">
                        <c:v>44343</c:v>
                      </c:pt>
                      <c:pt idx="174">
                        <c:v>44344</c:v>
                      </c:pt>
                      <c:pt idx="175">
                        <c:v>44347</c:v>
                      </c:pt>
                      <c:pt idx="176">
                        <c:v>44348</c:v>
                      </c:pt>
                      <c:pt idx="177">
                        <c:v>44349</c:v>
                      </c:pt>
                      <c:pt idx="178">
                        <c:v>44350</c:v>
                      </c:pt>
                      <c:pt idx="179">
                        <c:v>44351</c:v>
                      </c:pt>
                      <c:pt idx="180">
                        <c:v>44354</c:v>
                      </c:pt>
                      <c:pt idx="181">
                        <c:v>44355</c:v>
                      </c:pt>
                      <c:pt idx="182">
                        <c:v>44356</c:v>
                      </c:pt>
                      <c:pt idx="183">
                        <c:v>44357</c:v>
                      </c:pt>
                      <c:pt idx="184">
                        <c:v>44358</c:v>
                      </c:pt>
                      <c:pt idx="185">
                        <c:v>44361</c:v>
                      </c:pt>
                      <c:pt idx="186">
                        <c:v>44362</c:v>
                      </c:pt>
                      <c:pt idx="187">
                        <c:v>44363</c:v>
                      </c:pt>
                      <c:pt idx="188">
                        <c:v>44364</c:v>
                      </c:pt>
                      <c:pt idx="189">
                        <c:v>44365</c:v>
                      </c:pt>
                      <c:pt idx="190">
                        <c:v>44368</c:v>
                      </c:pt>
                      <c:pt idx="191">
                        <c:v>44369</c:v>
                      </c:pt>
                      <c:pt idx="192">
                        <c:v>44370</c:v>
                      </c:pt>
                      <c:pt idx="193">
                        <c:v>44371</c:v>
                      </c:pt>
                      <c:pt idx="194">
                        <c:v>44372</c:v>
                      </c:pt>
                      <c:pt idx="195">
                        <c:v>44375</c:v>
                      </c:pt>
                      <c:pt idx="196">
                        <c:v>44376</c:v>
                      </c:pt>
                      <c:pt idx="197">
                        <c:v>44377</c:v>
                      </c:pt>
                      <c:pt idx="198">
                        <c:v>44378</c:v>
                      </c:pt>
                      <c:pt idx="199">
                        <c:v>44379</c:v>
                      </c:pt>
                      <c:pt idx="200">
                        <c:v>44382</c:v>
                      </c:pt>
                      <c:pt idx="201">
                        <c:v>44383</c:v>
                      </c:pt>
                      <c:pt idx="202">
                        <c:v>44384</c:v>
                      </c:pt>
                      <c:pt idx="203">
                        <c:v>44385</c:v>
                      </c:pt>
                      <c:pt idx="204">
                        <c:v>44386</c:v>
                      </c:pt>
                      <c:pt idx="205">
                        <c:v>44389</c:v>
                      </c:pt>
                      <c:pt idx="206">
                        <c:v>44390</c:v>
                      </c:pt>
                      <c:pt idx="207">
                        <c:v>44391</c:v>
                      </c:pt>
                      <c:pt idx="208">
                        <c:v>44392</c:v>
                      </c:pt>
                      <c:pt idx="209">
                        <c:v>44393</c:v>
                      </c:pt>
                      <c:pt idx="210">
                        <c:v>44396</c:v>
                      </c:pt>
                      <c:pt idx="211">
                        <c:v>44397</c:v>
                      </c:pt>
                      <c:pt idx="212">
                        <c:v>44398</c:v>
                      </c:pt>
                      <c:pt idx="213">
                        <c:v>44399</c:v>
                      </c:pt>
                      <c:pt idx="214">
                        <c:v>44400</c:v>
                      </c:pt>
                      <c:pt idx="215">
                        <c:v>44403</c:v>
                      </c:pt>
                      <c:pt idx="216">
                        <c:v>44404</c:v>
                      </c:pt>
                      <c:pt idx="217">
                        <c:v>44405</c:v>
                      </c:pt>
                      <c:pt idx="218">
                        <c:v>44406</c:v>
                      </c:pt>
                      <c:pt idx="219">
                        <c:v>44407</c:v>
                      </c:pt>
                      <c:pt idx="220">
                        <c:v>44410</c:v>
                      </c:pt>
                      <c:pt idx="221">
                        <c:v>44411</c:v>
                      </c:pt>
                      <c:pt idx="222">
                        <c:v>44412</c:v>
                      </c:pt>
                      <c:pt idx="223">
                        <c:v>44413</c:v>
                      </c:pt>
                      <c:pt idx="224">
                        <c:v>44414</c:v>
                      </c:pt>
                      <c:pt idx="225">
                        <c:v>44417</c:v>
                      </c:pt>
                      <c:pt idx="226">
                        <c:v>44418</c:v>
                      </c:pt>
                      <c:pt idx="227">
                        <c:v>44419</c:v>
                      </c:pt>
                      <c:pt idx="228">
                        <c:v>44420</c:v>
                      </c:pt>
                      <c:pt idx="229">
                        <c:v>44421</c:v>
                      </c:pt>
                      <c:pt idx="230">
                        <c:v>44424</c:v>
                      </c:pt>
                      <c:pt idx="231">
                        <c:v>44425</c:v>
                      </c:pt>
                      <c:pt idx="232">
                        <c:v>44426</c:v>
                      </c:pt>
                      <c:pt idx="233">
                        <c:v>44427</c:v>
                      </c:pt>
                      <c:pt idx="234">
                        <c:v>44428</c:v>
                      </c:pt>
                      <c:pt idx="235">
                        <c:v>44431</c:v>
                      </c:pt>
                      <c:pt idx="236">
                        <c:v>44432</c:v>
                      </c:pt>
                      <c:pt idx="237">
                        <c:v>44433</c:v>
                      </c:pt>
                      <c:pt idx="238">
                        <c:v>44434</c:v>
                      </c:pt>
                      <c:pt idx="239">
                        <c:v>44435</c:v>
                      </c:pt>
                      <c:pt idx="240">
                        <c:v>44438</c:v>
                      </c:pt>
                      <c:pt idx="241">
                        <c:v>44439</c:v>
                      </c:pt>
                      <c:pt idx="242">
                        <c:v>44440</c:v>
                      </c:pt>
                      <c:pt idx="243">
                        <c:v>44441</c:v>
                      </c:pt>
                      <c:pt idx="244">
                        <c:v>44442</c:v>
                      </c:pt>
                      <c:pt idx="245">
                        <c:v>44445</c:v>
                      </c:pt>
                      <c:pt idx="246">
                        <c:v>44446</c:v>
                      </c:pt>
                      <c:pt idx="247">
                        <c:v>44447</c:v>
                      </c:pt>
                      <c:pt idx="248">
                        <c:v>44448</c:v>
                      </c:pt>
                      <c:pt idx="249">
                        <c:v>44449</c:v>
                      </c:pt>
                      <c:pt idx="250">
                        <c:v>44452</c:v>
                      </c:pt>
                      <c:pt idx="251">
                        <c:v>44453</c:v>
                      </c:pt>
                      <c:pt idx="252">
                        <c:v>44454</c:v>
                      </c:pt>
                      <c:pt idx="253">
                        <c:v>44455</c:v>
                      </c:pt>
                      <c:pt idx="254">
                        <c:v>44456</c:v>
                      </c:pt>
                      <c:pt idx="255">
                        <c:v>44459</c:v>
                      </c:pt>
                      <c:pt idx="256">
                        <c:v>44460</c:v>
                      </c:pt>
                      <c:pt idx="257">
                        <c:v>44461</c:v>
                      </c:pt>
                      <c:pt idx="258">
                        <c:v>44462</c:v>
                      </c:pt>
                      <c:pt idx="259">
                        <c:v>44463</c:v>
                      </c:pt>
                      <c:pt idx="260">
                        <c:v>44466</c:v>
                      </c:pt>
                      <c:pt idx="261">
                        <c:v>44467</c:v>
                      </c:pt>
                      <c:pt idx="262">
                        <c:v>44468</c:v>
                      </c:pt>
                      <c:pt idx="263">
                        <c:v>44469</c:v>
                      </c:pt>
                      <c:pt idx="264">
                        <c:v>44470</c:v>
                      </c:pt>
                      <c:pt idx="265">
                        <c:v>44473</c:v>
                      </c:pt>
                      <c:pt idx="266">
                        <c:v>44474</c:v>
                      </c:pt>
                      <c:pt idx="267">
                        <c:v>44475</c:v>
                      </c:pt>
                      <c:pt idx="268">
                        <c:v>44476</c:v>
                      </c:pt>
                      <c:pt idx="269">
                        <c:v>44477</c:v>
                      </c:pt>
                      <c:pt idx="270">
                        <c:v>44480</c:v>
                      </c:pt>
                      <c:pt idx="271">
                        <c:v>44481</c:v>
                      </c:pt>
                      <c:pt idx="272">
                        <c:v>44482</c:v>
                      </c:pt>
                      <c:pt idx="273">
                        <c:v>44483</c:v>
                      </c:pt>
                      <c:pt idx="274">
                        <c:v>44484</c:v>
                      </c:pt>
                      <c:pt idx="275">
                        <c:v>44487</c:v>
                      </c:pt>
                      <c:pt idx="276">
                        <c:v>44488</c:v>
                      </c:pt>
                      <c:pt idx="277">
                        <c:v>44489</c:v>
                      </c:pt>
                      <c:pt idx="278">
                        <c:v>44490</c:v>
                      </c:pt>
                      <c:pt idx="279">
                        <c:v>44491</c:v>
                      </c:pt>
                      <c:pt idx="280">
                        <c:v>44494</c:v>
                      </c:pt>
                      <c:pt idx="281">
                        <c:v>44495</c:v>
                      </c:pt>
                      <c:pt idx="282">
                        <c:v>44496</c:v>
                      </c:pt>
                      <c:pt idx="283">
                        <c:v>44497</c:v>
                      </c:pt>
                      <c:pt idx="284">
                        <c:v>44498</c:v>
                      </c:pt>
                      <c:pt idx="285">
                        <c:v>44501</c:v>
                      </c:pt>
                    </c:numCache>
                  </c:numRef>
                </c:cat>
                <c:val>
                  <c:numRef>
                    <c:extLst xmlns:c15="http://schemas.microsoft.com/office/drawing/2012/chart">
                      <c:ext xmlns:c15="http://schemas.microsoft.com/office/drawing/2012/chart" uri="{02D57815-91ED-43cb-92C2-25804820EDAC}">
                        <c15:formulaRef>
                          <c15:sqref>'Currency Chart'!$V$6:$V$291</c15:sqref>
                        </c15:formulaRef>
                      </c:ext>
                    </c:extLst>
                    <c:numCache>
                      <c:formatCode>0</c:formatCode>
                      <c:ptCount val="286"/>
                      <c:pt idx="0" formatCode="General">
                        <c:v>100</c:v>
                      </c:pt>
                      <c:pt idx="1">
                        <c:v>100.23261824760918</c:v>
                      </c:pt>
                      <c:pt idx="2">
                        <c:v>99.857844404238818</c:v>
                      </c:pt>
                      <c:pt idx="3">
                        <c:v>99.547686740759886</c:v>
                      </c:pt>
                      <c:pt idx="4">
                        <c:v>100.32308089945722</c:v>
                      </c:pt>
                      <c:pt idx="5">
                        <c:v>100.01292323597829</c:v>
                      </c:pt>
                      <c:pt idx="6">
                        <c:v>99.896614112173694</c:v>
                      </c:pt>
                      <c:pt idx="7">
                        <c:v>99.030757301628327</c:v>
                      </c:pt>
                      <c:pt idx="8">
                        <c:v>98.914448177823715</c:v>
                      </c:pt>
                      <c:pt idx="9">
                        <c:v>99.89661411217368</c:v>
                      </c:pt>
                      <c:pt idx="10">
                        <c:v>99.289222021194092</c:v>
                      </c:pt>
                      <c:pt idx="11">
                        <c:v>100.05169294391314</c:v>
                      </c:pt>
                      <c:pt idx="12">
                        <c:v>100.03876970793485</c:v>
                      </c:pt>
                      <c:pt idx="13">
                        <c:v>99.780304988369068</c:v>
                      </c:pt>
                      <c:pt idx="14">
                        <c:v>99.819074696303915</c:v>
                      </c:pt>
                      <c:pt idx="15">
                        <c:v>98.255363142930946</c:v>
                      </c:pt>
                      <c:pt idx="16">
                        <c:v>98.759369346084227</c:v>
                      </c:pt>
                      <c:pt idx="17">
                        <c:v>99.06952700956316</c:v>
                      </c:pt>
                      <c:pt idx="18">
                        <c:v>99.224605841302647</c:v>
                      </c:pt>
                      <c:pt idx="19">
                        <c:v>99.056603773584882</c:v>
                      </c:pt>
                      <c:pt idx="20">
                        <c:v>99.521840268803288</c:v>
                      </c:pt>
                      <c:pt idx="21">
                        <c:v>99.96123029206511</c:v>
                      </c:pt>
                      <c:pt idx="22">
                        <c:v>99.831997932282221</c:v>
                      </c:pt>
                      <c:pt idx="23">
                        <c:v>100.01292323597828</c:v>
                      </c:pt>
                      <c:pt idx="24">
                        <c:v>98.940294649780284</c:v>
                      </c:pt>
                      <c:pt idx="25">
                        <c:v>99.483070560868427</c:v>
                      </c:pt>
                      <c:pt idx="26">
                        <c:v>98.29413285086585</c:v>
                      </c:pt>
                      <c:pt idx="27">
                        <c:v>98.203670199017822</c:v>
                      </c:pt>
                      <c:pt idx="28">
                        <c:v>98.16490049108296</c:v>
                      </c:pt>
                      <c:pt idx="29">
                        <c:v>97.337813388472455</c:v>
                      </c:pt>
                      <c:pt idx="30">
                        <c:v>97.712587231842832</c:v>
                      </c:pt>
                      <c:pt idx="31">
                        <c:v>98.51382786249674</c:v>
                      </c:pt>
                      <c:pt idx="32">
                        <c:v>97.983975187386889</c:v>
                      </c:pt>
                      <c:pt idx="33">
                        <c:v>97.906435771517167</c:v>
                      </c:pt>
                      <c:pt idx="34">
                        <c:v>97.544585164125081</c:v>
                      </c:pt>
                      <c:pt idx="35">
                        <c:v>97.350736624450747</c:v>
                      </c:pt>
                      <c:pt idx="36">
                        <c:v>97.428276040320483</c:v>
                      </c:pt>
                      <c:pt idx="37">
                        <c:v>97.273197208581024</c:v>
                      </c:pt>
                      <c:pt idx="38">
                        <c:v>96.988886017058661</c:v>
                      </c:pt>
                      <c:pt idx="39">
                        <c:v>96.704574825536298</c:v>
                      </c:pt>
                      <c:pt idx="40">
                        <c:v>96.536572757818547</c:v>
                      </c:pt>
                      <c:pt idx="41">
                        <c:v>96.71749806151459</c:v>
                      </c:pt>
                      <c:pt idx="42">
                        <c:v>97.040578960971814</c:v>
                      </c:pt>
                      <c:pt idx="43">
                        <c:v>96.988886017058647</c:v>
                      </c:pt>
                      <c:pt idx="44">
                        <c:v>96.316877746187615</c:v>
                      </c:pt>
                      <c:pt idx="45">
                        <c:v>96.6787283535797</c:v>
                      </c:pt>
                      <c:pt idx="46">
                        <c:v>96.110105970534988</c:v>
                      </c:pt>
                      <c:pt idx="47">
                        <c:v>96.135952442491572</c:v>
                      </c:pt>
                      <c:pt idx="48">
                        <c:v>96.575342465753394</c:v>
                      </c:pt>
                      <c:pt idx="49">
                        <c:v>96.756267769449437</c:v>
                      </c:pt>
                      <c:pt idx="50">
                        <c:v>96.44611010597049</c:v>
                      </c:pt>
                      <c:pt idx="51">
                        <c:v>97.195657792711259</c:v>
                      </c:pt>
                      <c:pt idx="52">
                        <c:v>97.699663995864526</c:v>
                      </c:pt>
                      <c:pt idx="53">
                        <c:v>96.975962781080341</c:v>
                      </c:pt>
                      <c:pt idx="54">
                        <c:v>95.980873610752099</c:v>
                      </c:pt>
                      <c:pt idx="55">
                        <c:v>95.644869475316582</c:v>
                      </c:pt>
                      <c:pt idx="56">
                        <c:v>95.127940036185024</c:v>
                      </c:pt>
                      <c:pt idx="57">
                        <c:v>95.554406823468554</c:v>
                      </c:pt>
                      <c:pt idx="58">
                        <c:v>95.929180666838946</c:v>
                      </c:pt>
                      <c:pt idx="59">
                        <c:v>96.704574825536298</c:v>
                      </c:pt>
                      <c:pt idx="60">
                        <c:v>95.761178599121209</c:v>
                      </c:pt>
                      <c:pt idx="61">
                        <c:v>95.347635047815956</c:v>
                      </c:pt>
                      <c:pt idx="62">
                        <c:v>95.360558283794248</c:v>
                      </c:pt>
                      <c:pt idx="63">
                        <c:v>96.058413026621849</c:v>
                      </c:pt>
                      <c:pt idx="64">
                        <c:v>95.709485655208056</c:v>
                      </c:pt>
                      <c:pt idx="65">
                        <c:v>94.830705608684397</c:v>
                      </c:pt>
                      <c:pt idx="66">
                        <c:v>94.481778237270589</c:v>
                      </c:pt>
                      <c:pt idx="67">
                        <c:v>94.507624709227173</c:v>
                      </c:pt>
                      <c:pt idx="68">
                        <c:v>95.205479452054774</c:v>
                      </c:pt>
                      <c:pt idx="69">
                        <c:v>94.830705608684397</c:v>
                      </c:pt>
                      <c:pt idx="70">
                        <c:v>94.947014732488995</c:v>
                      </c:pt>
                      <c:pt idx="71">
                        <c:v>95.244249159989636</c:v>
                      </c:pt>
                      <c:pt idx="72">
                        <c:v>95.257172395967928</c:v>
                      </c:pt>
                      <c:pt idx="73">
                        <c:v>95.593176531403458</c:v>
                      </c:pt>
                      <c:pt idx="74">
                        <c:v>94.546394417162048</c:v>
                      </c:pt>
                      <c:pt idx="75">
                        <c:v>94.740242956836369</c:v>
                      </c:pt>
                      <c:pt idx="76">
                        <c:v>94.391315585422575</c:v>
                      </c:pt>
                      <c:pt idx="77">
                        <c:v>95.089170328250177</c:v>
                      </c:pt>
                      <c:pt idx="78">
                        <c:v>95.102093564228454</c:v>
                      </c:pt>
                      <c:pt idx="79">
                        <c:v>94.804859136727814</c:v>
                      </c:pt>
                      <c:pt idx="80">
                        <c:v>94.623933833031757</c:v>
                      </c:pt>
                      <c:pt idx="81">
                        <c:v>94.094081157921906</c:v>
                      </c:pt>
                      <c:pt idx="82">
                        <c:v>94.41716205737913</c:v>
                      </c:pt>
                      <c:pt idx="83">
                        <c:v>94.494701473248853</c:v>
                      </c:pt>
                      <c:pt idx="84">
                        <c:v>94.042388214008739</c:v>
                      </c:pt>
                      <c:pt idx="85">
                        <c:v>94.41716205737913</c:v>
                      </c:pt>
                      <c:pt idx="86">
                        <c:v>94.171620573791643</c:v>
                      </c:pt>
                      <c:pt idx="87">
                        <c:v>94.31377616955281</c:v>
                      </c:pt>
                      <c:pt idx="88">
                        <c:v>94.572240889118589</c:v>
                      </c:pt>
                      <c:pt idx="89">
                        <c:v>94.54639441716202</c:v>
                      </c:pt>
                      <c:pt idx="90">
                        <c:v>94.688550012923201</c:v>
                      </c:pt>
                      <c:pt idx="91">
                        <c:v>94.507624709227144</c:v>
                      </c:pt>
                      <c:pt idx="92">
                        <c:v>94.081157921943614</c:v>
                      </c:pt>
                      <c:pt idx="93">
                        <c:v>94.042388214008753</c:v>
                      </c:pt>
                      <c:pt idx="94">
                        <c:v>93.525458774877194</c:v>
                      </c:pt>
                      <c:pt idx="95">
                        <c:v>93.396226415094304</c:v>
                      </c:pt>
                      <c:pt idx="96">
                        <c:v>93.525458774877194</c:v>
                      </c:pt>
                      <c:pt idx="97">
                        <c:v>93.344533471181151</c:v>
                      </c:pt>
                      <c:pt idx="98">
                        <c:v>92.930989919875884</c:v>
                      </c:pt>
                      <c:pt idx="99">
                        <c:v>92.943913155854176</c:v>
                      </c:pt>
                      <c:pt idx="100">
                        <c:v>93.292840527267984</c:v>
                      </c:pt>
                      <c:pt idx="101">
                        <c:v>92.439906952700923</c:v>
                      </c:pt>
                      <c:pt idx="102">
                        <c:v>92.194365469113421</c:v>
                      </c:pt>
                      <c:pt idx="103">
                        <c:v>92.194365469113421</c:v>
                      </c:pt>
                      <c:pt idx="104">
                        <c:v>91.871284569656183</c:v>
                      </c:pt>
                      <c:pt idx="105">
                        <c:v>91.56112690617725</c:v>
                      </c:pt>
                      <c:pt idx="106">
                        <c:v>91.380201602481193</c:v>
                      </c:pt>
                      <c:pt idx="107">
                        <c:v>92.194365469113407</c:v>
                      </c:pt>
                      <c:pt idx="108">
                        <c:v>92.737141380201535</c:v>
                      </c:pt>
                      <c:pt idx="109">
                        <c:v>92.788834324114688</c:v>
                      </c:pt>
                      <c:pt idx="110">
                        <c:v>92.594985784440354</c:v>
                      </c:pt>
                      <c:pt idx="111">
                        <c:v>92.594985784440354</c:v>
                      </c:pt>
                      <c:pt idx="112">
                        <c:v>92.982682863789023</c:v>
                      </c:pt>
                      <c:pt idx="113">
                        <c:v>93.344533471181109</c:v>
                      </c:pt>
                      <c:pt idx="114">
                        <c:v>93.460842594985692</c:v>
                      </c:pt>
                      <c:pt idx="115">
                        <c:v>92.995606099767301</c:v>
                      </c:pt>
                      <c:pt idx="116">
                        <c:v>92.750064616179813</c:v>
                      </c:pt>
                      <c:pt idx="117">
                        <c:v>92.349444300852852</c:v>
                      </c:pt>
                      <c:pt idx="118">
                        <c:v>92.788834324114674</c:v>
                      </c:pt>
                      <c:pt idx="119">
                        <c:v>92.995606099767301</c:v>
                      </c:pt>
                      <c:pt idx="120">
                        <c:v>93.008529335745592</c:v>
                      </c:pt>
                      <c:pt idx="121">
                        <c:v>92.530369604548895</c:v>
                      </c:pt>
                      <c:pt idx="122">
                        <c:v>92.801757560092952</c:v>
                      </c:pt>
                      <c:pt idx="123">
                        <c:v>93.15068493150676</c:v>
                      </c:pt>
                      <c:pt idx="124">
                        <c:v>93.202377875419913</c:v>
                      </c:pt>
                      <c:pt idx="125">
                        <c:v>93.964848798138959</c:v>
                      </c:pt>
                      <c:pt idx="126">
                        <c:v>94.391315585422504</c:v>
                      </c:pt>
                      <c:pt idx="127">
                        <c:v>94.081157921943557</c:v>
                      </c:pt>
                      <c:pt idx="128">
                        <c:v>93.719307314551472</c:v>
                      </c:pt>
                      <c:pt idx="129">
                        <c:v>93.874386146290945</c:v>
                      </c:pt>
                      <c:pt idx="130">
                        <c:v>94.029464978030404</c:v>
                      </c:pt>
                      <c:pt idx="131">
                        <c:v>93.745153786508055</c:v>
                      </c:pt>
                      <c:pt idx="132">
                        <c:v>93.409149651072539</c:v>
                      </c:pt>
                      <c:pt idx="133">
                        <c:v>93.409149651072539</c:v>
                      </c:pt>
                      <c:pt idx="134">
                        <c:v>92.969759627810717</c:v>
                      </c:pt>
                      <c:pt idx="135">
                        <c:v>93.460842594985678</c:v>
                      </c:pt>
                      <c:pt idx="136">
                        <c:v>94.068234685965265</c:v>
                      </c:pt>
                      <c:pt idx="137">
                        <c:v>94.081157921943543</c:v>
                      </c:pt>
                      <c:pt idx="138">
                        <c:v>94.249159989661294</c:v>
                      </c:pt>
                      <c:pt idx="139">
                        <c:v>94.02946497803039</c:v>
                      </c:pt>
                      <c:pt idx="140">
                        <c:v>93.977772034117237</c:v>
                      </c:pt>
                      <c:pt idx="141">
                        <c:v>93.771000258464625</c:v>
                      </c:pt>
                      <c:pt idx="142">
                        <c:v>93.719307314551457</c:v>
                      </c:pt>
                      <c:pt idx="143">
                        <c:v>93.422072887050817</c:v>
                      </c:pt>
                      <c:pt idx="144">
                        <c:v>92.375290772809407</c:v>
                      </c:pt>
                      <c:pt idx="145">
                        <c:v>92.711294908244938</c:v>
                      </c:pt>
                      <c:pt idx="146">
                        <c:v>92.762987852158076</c:v>
                      </c:pt>
                      <c:pt idx="147">
                        <c:v>93.370379943137664</c:v>
                      </c:pt>
                      <c:pt idx="148">
                        <c:v>93.124838459550176</c:v>
                      </c:pt>
                      <c:pt idx="149">
                        <c:v>93.124838459550176</c:v>
                      </c:pt>
                      <c:pt idx="150">
                        <c:v>92.956836391832425</c:v>
                      </c:pt>
                      <c:pt idx="151">
                        <c:v>92.866373739984397</c:v>
                      </c:pt>
                      <c:pt idx="152">
                        <c:v>92.737141380201507</c:v>
                      </c:pt>
                      <c:pt idx="153">
                        <c:v>92.68544843628834</c:v>
                      </c:pt>
                      <c:pt idx="154">
                        <c:v>93.525458774877123</c:v>
                      </c:pt>
                      <c:pt idx="155">
                        <c:v>92.892220211940966</c:v>
                      </c:pt>
                      <c:pt idx="156">
                        <c:v>93.047299043680439</c:v>
                      </c:pt>
                      <c:pt idx="157">
                        <c:v>92.930989919875842</c:v>
                      </c:pt>
                      <c:pt idx="158">
                        <c:v>93.034375807702162</c:v>
                      </c:pt>
                      <c:pt idx="159">
                        <c:v>92.46575342465745</c:v>
                      </c:pt>
                      <c:pt idx="160">
                        <c:v>91.470664254329193</c:v>
                      </c:pt>
                      <c:pt idx="161">
                        <c:v>91.367278366502873</c:v>
                      </c:pt>
                      <c:pt idx="162">
                        <c:v>91.935900749547585</c:v>
                      </c:pt>
                      <c:pt idx="163">
                        <c:v>91.948823985525877</c:v>
                      </c:pt>
                      <c:pt idx="164">
                        <c:v>91.651589558025236</c:v>
                      </c:pt>
                      <c:pt idx="165">
                        <c:v>91.406048074437749</c:v>
                      </c:pt>
                      <c:pt idx="166">
                        <c:v>91.070043939002232</c:v>
                      </c:pt>
                      <c:pt idx="167">
                        <c:v>91.54820367019893</c:v>
                      </c:pt>
                      <c:pt idx="168">
                        <c:v>91.057120703023955</c:v>
                      </c:pt>
                      <c:pt idx="169">
                        <c:v>91.328508658568026</c:v>
                      </c:pt>
                      <c:pt idx="170">
                        <c:v>91.276815714654873</c:v>
                      </c:pt>
                      <c:pt idx="171">
                        <c:v>91.289738950633165</c:v>
                      </c:pt>
                      <c:pt idx="172">
                        <c:v>91.509433962264069</c:v>
                      </c:pt>
                      <c:pt idx="173">
                        <c:v>90.953734815197649</c:v>
                      </c:pt>
                      <c:pt idx="174">
                        <c:v>91.070043939002247</c:v>
                      </c:pt>
                      <c:pt idx="175">
                        <c:v>90.914965107262788</c:v>
                      </c:pt>
                      <c:pt idx="176">
                        <c:v>91.315585422589734</c:v>
                      </c:pt>
                      <c:pt idx="177">
                        <c:v>91.186353062806845</c:v>
                      </c:pt>
                      <c:pt idx="178">
                        <c:v>91.599896614112097</c:v>
                      </c:pt>
                      <c:pt idx="179">
                        <c:v>91.276815714654873</c:v>
                      </c:pt>
                      <c:pt idx="180">
                        <c:v>91.121736882915386</c:v>
                      </c:pt>
                      <c:pt idx="181">
                        <c:v>91.276815714654873</c:v>
                      </c:pt>
                      <c:pt idx="182">
                        <c:v>91.509433962264055</c:v>
                      </c:pt>
                      <c:pt idx="183">
                        <c:v>91.134660118893692</c:v>
                      </c:pt>
                      <c:pt idx="184">
                        <c:v>91.599896614112083</c:v>
                      </c:pt>
                      <c:pt idx="185">
                        <c:v>91.5740501421555</c:v>
                      </c:pt>
                      <c:pt idx="186">
                        <c:v>91.742052209873265</c:v>
                      </c:pt>
                      <c:pt idx="187">
                        <c:v>92.375290772809421</c:v>
                      </c:pt>
                      <c:pt idx="188">
                        <c:v>92.814680796071244</c:v>
                      </c:pt>
                      <c:pt idx="189">
                        <c:v>93.564228482811998</c:v>
                      </c:pt>
                      <c:pt idx="190">
                        <c:v>92.724218144223215</c:v>
                      </c:pt>
                      <c:pt idx="191">
                        <c:v>92.633755492375187</c:v>
                      </c:pt>
                      <c:pt idx="192">
                        <c:v>92.530369604548866</c:v>
                      </c:pt>
                      <c:pt idx="193">
                        <c:v>92.801757560092923</c:v>
                      </c:pt>
                      <c:pt idx="194">
                        <c:v>93.111915223571856</c:v>
                      </c:pt>
                      <c:pt idx="195">
                        <c:v>93.060222279658689</c:v>
                      </c:pt>
                      <c:pt idx="196">
                        <c:v>93.383303179115913</c:v>
                      </c:pt>
                      <c:pt idx="197">
                        <c:v>93.434996123029052</c:v>
                      </c:pt>
                      <c:pt idx="198">
                        <c:v>93.84853967433429</c:v>
                      </c:pt>
                      <c:pt idx="199">
                        <c:v>93.42207288705076</c:v>
                      </c:pt>
                      <c:pt idx="200">
                        <c:v>93.318686999224454</c:v>
                      </c:pt>
                      <c:pt idx="201">
                        <c:v>93.615921426725123</c:v>
                      </c:pt>
                      <c:pt idx="202">
                        <c:v>93.615921426725123</c:v>
                      </c:pt>
                      <c:pt idx="203">
                        <c:v>93.732230550529721</c:v>
                      </c:pt>
                      <c:pt idx="204">
                        <c:v>92.956836391832397</c:v>
                      </c:pt>
                      <c:pt idx="205">
                        <c:v>93.086068751615272</c:v>
                      </c:pt>
                      <c:pt idx="206">
                        <c:v>93.538382010855386</c:v>
                      </c:pt>
                      <c:pt idx="207">
                        <c:v>93.228224347376468</c:v>
                      </c:pt>
                      <c:pt idx="208">
                        <c:v>93.43499612302908</c:v>
                      </c:pt>
                      <c:pt idx="209">
                        <c:v>93.848539674334319</c:v>
                      </c:pt>
                      <c:pt idx="210">
                        <c:v>94.494701473248767</c:v>
                      </c:pt>
                      <c:pt idx="211">
                        <c:v>94.817782372705992</c:v>
                      </c:pt>
                      <c:pt idx="212">
                        <c:v>94.236236753682974</c:v>
                      </c:pt>
                      <c:pt idx="213">
                        <c:v>93.835616438356013</c:v>
                      </c:pt>
                      <c:pt idx="214">
                        <c:v>94.01654174205207</c:v>
                      </c:pt>
                      <c:pt idx="215">
                        <c:v>93.499612302920511</c:v>
                      </c:pt>
                      <c:pt idx="216">
                        <c:v>93.098991987593564</c:v>
                      </c:pt>
                      <c:pt idx="217">
                        <c:v>92.956836391832383</c:v>
                      </c:pt>
                      <c:pt idx="218">
                        <c:v>92.54329284052713</c:v>
                      </c:pt>
                      <c:pt idx="219">
                        <c:v>92.943913155854091</c:v>
                      </c:pt>
                      <c:pt idx="220">
                        <c:v>93.073145515636966</c:v>
                      </c:pt>
                      <c:pt idx="221">
                        <c:v>92.853450504006062</c:v>
                      </c:pt>
                      <c:pt idx="222">
                        <c:v>93.021452571723813</c:v>
                      </c:pt>
                      <c:pt idx="223">
                        <c:v>92.762987852158034</c:v>
                      </c:pt>
                      <c:pt idx="224">
                        <c:v>93.137761695528411</c:v>
                      </c:pt>
                      <c:pt idx="225">
                        <c:v>93.318686999224454</c:v>
                      </c:pt>
                      <c:pt idx="226">
                        <c:v>93.331610235202731</c:v>
                      </c:pt>
                      <c:pt idx="227">
                        <c:v>93.137761695528397</c:v>
                      </c:pt>
                      <c:pt idx="228">
                        <c:v>93.590074954768497</c:v>
                      </c:pt>
                      <c:pt idx="229">
                        <c:v>93.189454639441536</c:v>
                      </c:pt>
                      <c:pt idx="230">
                        <c:v>93.279917291289564</c:v>
                      </c:pt>
                      <c:pt idx="231">
                        <c:v>94.042388214008611</c:v>
                      </c:pt>
                      <c:pt idx="232">
                        <c:v>93.926079090204013</c:v>
                      </c:pt>
                      <c:pt idx="233">
                        <c:v>94.727319720857935</c:v>
                      </c:pt>
                      <c:pt idx="234">
                        <c:v>94.856552080640824</c:v>
                      </c:pt>
                      <c:pt idx="235">
                        <c:v>94.184543809769806</c:v>
                      </c:pt>
                      <c:pt idx="236">
                        <c:v>94.119927629878362</c:v>
                      </c:pt>
                      <c:pt idx="237">
                        <c:v>93.900232618247458</c:v>
                      </c:pt>
                      <c:pt idx="238">
                        <c:v>94.313776169552696</c:v>
                      </c:pt>
                      <c:pt idx="239">
                        <c:v>93.913155854225735</c:v>
                      </c:pt>
                      <c:pt idx="240">
                        <c:v>93.900232618247443</c:v>
                      </c:pt>
                      <c:pt idx="241">
                        <c:v>93.926079090204013</c:v>
                      </c:pt>
                      <c:pt idx="242">
                        <c:v>93.835616438355984</c:v>
                      </c:pt>
                      <c:pt idx="243">
                        <c:v>93.396226415094162</c:v>
                      </c:pt>
                      <c:pt idx="244">
                        <c:v>93.189454639441536</c:v>
                      </c:pt>
                      <c:pt idx="245">
                        <c:v>93.383303179115885</c:v>
                      </c:pt>
                      <c:pt idx="246">
                        <c:v>93.719307314551386</c:v>
                      </c:pt>
                      <c:pt idx="247">
                        <c:v>93.822693202377707</c:v>
                      </c:pt>
                      <c:pt idx="248">
                        <c:v>93.383303179115885</c:v>
                      </c:pt>
                      <c:pt idx="249">
                        <c:v>93.357456707159315</c:v>
                      </c:pt>
                      <c:pt idx="250">
                        <c:v>93.370379943137607</c:v>
                      </c:pt>
                      <c:pt idx="251">
                        <c:v>93.564228482811941</c:v>
                      </c:pt>
                      <c:pt idx="252">
                        <c:v>93.383303179115899</c:v>
                      </c:pt>
                      <c:pt idx="253">
                        <c:v>93.706384078573109</c:v>
                      </c:pt>
                      <c:pt idx="254">
                        <c:v>94.016541742052055</c:v>
                      </c:pt>
                      <c:pt idx="255">
                        <c:v>94.598087361075059</c:v>
                      </c:pt>
                      <c:pt idx="256">
                        <c:v>94.585164125096767</c:v>
                      </c:pt>
                      <c:pt idx="257">
                        <c:v>94.817782372705977</c:v>
                      </c:pt>
                      <c:pt idx="258">
                        <c:v>94.197467045748112</c:v>
                      </c:pt>
                      <c:pt idx="259">
                        <c:v>94.494701473248753</c:v>
                      </c:pt>
                      <c:pt idx="260">
                        <c:v>94.326699405531002</c:v>
                      </c:pt>
                      <c:pt idx="261">
                        <c:v>95.463944171620426</c:v>
                      </c:pt>
                      <c:pt idx="262">
                        <c:v>96.213491858361195</c:v>
                      </c:pt>
                      <c:pt idx="263">
                        <c:v>95.903334194882262</c:v>
                      </c:pt>
                      <c:pt idx="264">
                        <c:v>95.386404755750704</c:v>
                      </c:pt>
                      <c:pt idx="265">
                        <c:v>94.934091496510604</c:v>
                      </c:pt>
                      <c:pt idx="266">
                        <c:v>94.791935900749422</c:v>
                      </c:pt>
                      <c:pt idx="267">
                        <c:v>95.140863272163216</c:v>
                      </c:pt>
                      <c:pt idx="268">
                        <c:v>94.882398552597436</c:v>
                      </c:pt>
                      <c:pt idx="269">
                        <c:v>94.921168260532312</c:v>
                      </c:pt>
                      <c:pt idx="270">
                        <c:v>95.037477384336924</c:v>
                      </c:pt>
                      <c:pt idx="271">
                        <c:v>95.089170328250077</c:v>
                      </c:pt>
                      <c:pt idx="272">
                        <c:v>94.598087361075102</c:v>
                      </c:pt>
                      <c:pt idx="273">
                        <c:v>94.494701473248782</c:v>
                      </c:pt>
                      <c:pt idx="274">
                        <c:v>93.964848798138931</c:v>
                      </c:pt>
                      <c:pt idx="275">
                        <c:v>94.132850865856696</c:v>
                      </c:pt>
                      <c:pt idx="276">
                        <c:v>93.654691134659998</c:v>
                      </c:pt>
                      <c:pt idx="277">
                        <c:v>93.473765830963956</c:v>
                      </c:pt>
                      <c:pt idx="278">
                        <c:v>93.680537606616582</c:v>
                      </c:pt>
                      <c:pt idx="279">
                        <c:v>93.951925562160653</c:v>
                      </c:pt>
                      <c:pt idx="280">
                        <c:v>93.848539674334333</c:v>
                      </c:pt>
                      <c:pt idx="281">
                        <c:v>93.848539674334333</c:v>
                      </c:pt>
                      <c:pt idx="282">
                        <c:v>93.977772034117223</c:v>
                      </c:pt>
                      <c:pt idx="283">
                        <c:v>93.706384078573151</c:v>
                      </c:pt>
                      <c:pt idx="284">
                        <c:v>94.365469113465892</c:v>
                      </c:pt>
                    </c:numCache>
                  </c:numRef>
                </c:val>
                <c:smooth val="0"/>
                <c:extLst xmlns:c15="http://schemas.microsoft.com/office/drawing/2012/chart">
                  <c:ext xmlns:c16="http://schemas.microsoft.com/office/drawing/2014/chart" uri="{C3380CC4-5D6E-409C-BE32-E72D297353CC}">
                    <c16:uniqueId val="{00000008-61DB-4070-8C60-273A3892C606}"/>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'Currency Chart'!$W$5</c15:sqref>
                        </c15:formulaRef>
                      </c:ext>
                    </c:extLst>
                    <c:strCache>
                      <c:ptCount val="1"/>
                      <c:pt idx="0">
                        <c:v>Euro</c:v>
                      </c:pt>
                    </c:strCache>
                  </c:strRef>
                </c:tx>
                <c:spPr>
                  <a:ln w="28575" cap="rnd">
                    <a:solidFill>
                      <a:schemeClr val="accent2">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'Currency Chart'!$O$6:$O$291</c15:sqref>
                        </c15:formulaRef>
                      </c:ext>
                    </c:extLst>
                    <c:numCache>
                      <c:formatCode>m/d/yyyy</c:formatCode>
                      <c:ptCount val="286"/>
                      <c:pt idx="0">
                        <c:v>44104</c:v>
                      </c:pt>
                      <c:pt idx="1">
                        <c:v>44105</c:v>
                      </c:pt>
                      <c:pt idx="2">
                        <c:v>44106</c:v>
                      </c:pt>
                      <c:pt idx="3">
                        <c:v>44109</c:v>
                      </c:pt>
                      <c:pt idx="4">
                        <c:v>44110</c:v>
                      </c:pt>
                      <c:pt idx="5">
                        <c:v>44111</c:v>
                      </c:pt>
                      <c:pt idx="6">
                        <c:v>44112</c:v>
                      </c:pt>
                      <c:pt idx="7">
                        <c:v>44113</c:v>
                      </c:pt>
                      <c:pt idx="8">
                        <c:v>44116</c:v>
                      </c:pt>
                      <c:pt idx="9">
                        <c:v>44117</c:v>
                      </c:pt>
                      <c:pt idx="10">
                        <c:v>44118</c:v>
                      </c:pt>
                      <c:pt idx="11">
                        <c:v>44119</c:v>
                      </c:pt>
                      <c:pt idx="12">
                        <c:v>44120</c:v>
                      </c:pt>
                      <c:pt idx="13">
                        <c:v>44123</c:v>
                      </c:pt>
                      <c:pt idx="14">
                        <c:v>44124</c:v>
                      </c:pt>
                      <c:pt idx="15">
                        <c:v>44125</c:v>
                      </c:pt>
                      <c:pt idx="16">
                        <c:v>44126</c:v>
                      </c:pt>
                      <c:pt idx="17">
                        <c:v>44127</c:v>
                      </c:pt>
                      <c:pt idx="18">
                        <c:v>44130</c:v>
                      </c:pt>
                      <c:pt idx="19">
                        <c:v>44131</c:v>
                      </c:pt>
                      <c:pt idx="20">
                        <c:v>44132</c:v>
                      </c:pt>
                      <c:pt idx="21">
                        <c:v>44133</c:v>
                      </c:pt>
                      <c:pt idx="22">
                        <c:v>44134</c:v>
                      </c:pt>
                      <c:pt idx="23">
                        <c:v>44137</c:v>
                      </c:pt>
                      <c:pt idx="24">
                        <c:v>44138</c:v>
                      </c:pt>
                      <c:pt idx="25">
                        <c:v>44139</c:v>
                      </c:pt>
                      <c:pt idx="26">
                        <c:v>44140</c:v>
                      </c:pt>
                      <c:pt idx="27">
                        <c:v>44141</c:v>
                      </c:pt>
                      <c:pt idx="28">
                        <c:v>44144</c:v>
                      </c:pt>
                      <c:pt idx="29">
                        <c:v>44145</c:v>
                      </c:pt>
                      <c:pt idx="30">
                        <c:v>44146</c:v>
                      </c:pt>
                      <c:pt idx="31">
                        <c:v>44147</c:v>
                      </c:pt>
                      <c:pt idx="32">
                        <c:v>44148</c:v>
                      </c:pt>
                      <c:pt idx="33">
                        <c:v>44151</c:v>
                      </c:pt>
                      <c:pt idx="34">
                        <c:v>44152</c:v>
                      </c:pt>
                      <c:pt idx="35">
                        <c:v>44153</c:v>
                      </c:pt>
                      <c:pt idx="36">
                        <c:v>44154</c:v>
                      </c:pt>
                      <c:pt idx="37">
                        <c:v>44155</c:v>
                      </c:pt>
                      <c:pt idx="38">
                        <c:v>44158</c:v>
                      </c:pt>
                      <c:pt idx="39">
                        <c:v>44159</c:v>
                      </c:pt>
                      <c:pt idx="40">
                        <c:v>44160</c:v>
                      </c:pt>
                      <c:pt idx="41">
                        <c:v>44161</c:v>
                      </c:pt>
                      <c:pt idx="42">
                        <c:v>44162</c:v>
                      </c:pt>
                      <c:pt idx="43">
                        <c:v>44165</c:v>
                      </c:pt>
                      <c:pt idx="44">
                        <c:v>44166</c:v>
                      </c:pt>
                      <c:pt idx="45">
                        <c:v>44167</c:v>
                      </c:pt>
                      <c:pt idx="46">
                        <c:v>44168</c:v>
                      </c:pt>
                      <c:pt idx="47">
                        <c:v>44169</c:v>
                      </c:pt>
                      <c:pt idx="48">
                        <c:v>44172</c:v>
                      </c:pt>
                      <c:pt idx="49">
                        <c:v>44173</c:v>
                      </c:pt>
                      <c:pt idx="50">
                        <c:v>44174</c:v>
                      </c:pt>
                      <c:pt idx="51">
                        <c:v>44175</c:v>
                      </c:pt>
                      <c:pt idx="52">
                        <c:v>44176</c:v>
                      </c:pt>
                      <c:pt idx="53">
                        <c:v>44179</c:v>
                      </c:pt>
                      <c:pt idx="54">
                        <c:v>44180</c:v>
                      </c:pt>
                      <c:pt idx="55">
                        <c:v>44181</c:v>
                      </c:pt>
                      <c:pt idx="56">
                        <c:v>44182</c:v>
                      </c:pt>
                      <c:pt idx="57">
                        <c:v>44183</c:v>
                      </c:pt>
                      <c:pt idx="58">
                        <c:v>44186</c:v>
                      </c:pt>
                      <c:pt idx="59">
                        <c:v>44187</c:v>
                      </c:pt>
                      <c:pt idx="60">
                        <c:v>44188</c:v>
                      </c:pt>
                      <c:pt idx="61">
                        <c:v>44189</c:v>
                      </c:pt>
                      <c:pt idx="62">
                        <c:v>44190</c:v>
                      </c:pt>
                      <c:pt idx="63">
                        <c:v>44193</c:v>
                      </c:pt>
                      <c:pt idx="64">
                        <c:v>44194</c:v>
                      </c:pt>
                      <c:pt idx="65">
                        <c:v>44195</c:v>
                      </c:pt>
                      <c:pt idx="66">
                        <c:v>44196</c:v>
                      </c:pt>
                      <c:pt idx="67">
                        <c:v>44197</c:v>
                      </c:pt>
                      <c:pt idx="68">
                        <c:v>44200</c:v>
                      </c:pt>
                      <c:pt idx="69">
                        <c:v>44201</c:v>
                      </c:pt>
                      <c:pt idx="70">
                        <c:v>44202</c:v>
                      </c:pt>
                      <c:pt idx="71">
                        <c:v>44203</c:v>
                      </c:pt>
                      <c:pt idx="72">
                        <c:v>44204</c:v>
                      </c:pt>
                      <c:pt idx="73">
                        <c:v>44207</c:v>
                      </c:pt>
                      <c:pt idx="74">
                        <c:v>44208</c:v>
                      </c:pt>
                      <c:pt idx="75">
                        <c:v>44209</c:v>
                      </c:pt>
                      <c:pt idx="76">
                        <c:v>44210</c:v>
                      </c:pt>
                      <c:pt idx="77">
                        <c:v>44211</c:v>
                      </c:pt>
                      <c:pt idx="78">
                        <c:v>44214</c:v>
                      </c:pt>
                      <c:pt idx="79">
                        <c:v>44215</c:v>
                      </c:pt>
                      <c:pt idx="80">
                        <c:v>44216</c:v>
                      </c:pt>
                      <c:pt idx="81">
                        <c:v>44217</c:v>
                      </c:pt>
                      <c:pt idx="82">
                        <c:v>44218</c:v>
                      </c:pt>
                      <c:pt idx="83">
                        <c:v>44221</c:v>
                      </c:pt>
                      <c:pt idx="84">
                        <c:v>44222</c:v>
                      </c:pt>
                      <c:pt idx="85">
                        <c:v>44223</c:v>
                      </c:pt>
                      <c:pt idx="86">
                        <c:v>44224</c:v>
                      </c:pt>
                      <c:pt idx="87">
                        <c:v>44225</c:v>
                      </c:pt>
                      <c:pt idx="88">
                        <c:v>44228</c:v>
                      </c:pt>
                      <c:pt idx="89">
                        <c:v>44229</c:v>
                      </c:pt>
                      <c:pt idx="90">
                        <c:v>44230</c:v>
                      </c:pt>
                      <c:pt idx="91">
                        <c:v>44231</c:v>
                      </c:pt>
                      <c:pt idx="92">
                        <c:v>44232</c:v>
                      </c:pt>
                      <c:pt idx="93">
                        <c:v>44235</c:v>
                      </c:pt>
                      <c:pt idx="94">
                        <c:v>44236</c:v>
                      </c:pt>
                      <c:pt idx="95">
                        <c:v>44237</c:v>
                      </c:pt>
                      <c:pt idx="96">
                        <c:v>44238</c:v>
                      </c:pt>
                      <c:pt idx="97">
                        <c:v>44239</c:v>
                      </c:pt>
                      <c:pt idx="98">
                        <c:v>44242</c:v>
                      </c:pt>
                      <c:pt idx="99">
                        <c:v>44243</c:v>
                      </c:pt>
                      <c:pt idx="100">
                        <c:v>44244</c:v>
                      </c:pt>
                      <c:pt idx="101">
                        <c:v>44245</c:v>
                      </c:pt>
                      <c:pt idx="102">
                        <c:v>44246</c:v>
                      </c:pt>
                      <c:pt idx="103">
                        <c:v>44247</c:v>
                      </c:pt>
                      <c:pt idx="104">
                        <c:v>44249</c:v>
                      </c:pt>
                      <c:pt idx="105">
                        <c:v>44250</c:v>
                      </c:pt>
                      <c:pt idx="106">
                        <c:v>44251</c:v>
                      </c:pt>
                      <c:pt idx="107">
                        <c:v>44252</c:v>
                      </c:pt>
                      <c:pt idx="108">
                        <c:v>44253</c:v>
                      </c:pt>
                      <c:pt idx="109">
                        <c:v>44256</c:v>
                      </c:pt>
                      <c:pt idx="110">
                        <c:v>44257</c:v>
                      </c:pt>
                      <c:pt idx="111">
                        <c:v>44258</c:v>
                      </c:pt>
                      <c:pt idx="112">
                        <c:v>44259</c:v>
                      </c:pt>
                      <c:pt idx="113">
                        <c:v>44260</c:v>
                      </c:pt>
                      <c:pt idx="114">
                        <c:v>44263</c:v>
                      </c:pt>
                      <c:pt idx="115">
                        <c:v>44264</c:v>
                      </c:pt>
                      <c:pt idx="116">
                        <c:v>44265</c:v>
                      </c:pt>
                      <c:pt idx="117">
                        <c:v>44266</c:v>
                      </c:pt>
                      <c:pt idx="118">
                        <c:v>44267</c:v>
                      </c:pt>
                      <c:pt idx="119">
                        <c:v>44270</c:v>
                      </c:pt>
                      <c:pt idx="120">
                        <c:v>44271</c:v>
                      </c:pt>
                      <c:pt idx="121">
                        <c:v>44272</c:v>
                      </c:pt>
                      <c:pt idx="122">
                        <c:v>44273</c:v>
                      </c:pt>
                      <c:pt idx="123">
                        <c:v>44274</c:v>
                      </c:pt>
                      <c:pt idx="124">
                        <c:v>44277</c:v>
                      </c:pt>
                      <c:pt idx="125">
                        <c:v>44278</c:v>
                      </c:pt>
                      <c:pt idx="126">
                        <c:v>44279</c:v>
                      </c:pt>
                      <c:pt idx="127">
                        <c:v>44280</c:v>
                      </c:pt>
                      <c:pt idx="128">
                        <c:v>44281</c:v>
                      </c:pt>
                      <c:pt idx="129">
                        <c:v>44284</c:v>
                      </c:pt>
                      <c:pt idx="130">
                        <c:v>44285</c:v>
                      </c:pt>
                      <c:pt idx="131">
                        <c:v>44286</c:v>
                      </c:pt>
                      <c:pt idx="132">
                        <c:v>44287</c:v>
                      </c:pt>
                      <c:pt idx="133">
                        <c:v>44288</c:v>
                      </c:pt>
                      <c:pt idx="134">
                        <c:v>44291</c:v>
                      </c:pt>
                      <c:pt idx="135">
                        <c:v>44292</c:v>
                      </c:pt>
                      <c:pt idx="136">
                        <c:v>44293</c:v>
                      </c:pt>
                      <c:pt idx="137">
                        <c:v>44294</c:v>
                      </c:pt>
                      <c:pt idx="138">
                        <c:v>44295</c:v>
                      </c:pt>
                      <c:pt idx="139">
                        <c:v>44298</c:v>
                      </c:pt>
                      <c:pt idx="140">
                        <c:v>44299</c:v>
                      </c:pt>
                      <c:pt idx="141">
                        <c:v>44300</c:v>
                      </c:pt>
                      <c:pt idx="142">
                        <c:v>44301</c:v>
                      </c:pt>
                      <c:pt idx="143">
                        <c:v>44302</c:v>
                      </c:pt>
                      <c:pt idx="144">
                        <c:v>44305</c:v>
                      </c:pt>
                      <c:pt idx="145">
                        <c:v>44306</c:v>
                      </c:pt>
                      <c:pt idx="146">
                        <c:v>44307</c:v>
                      </c:pt>
                      <c:pt idx="147">
                        <c:v>44308</c:v>
                      </c:pt>
                      <c:pt idx="148">
                        <c:v>44309</c:v>
                      </c:pt>
                      <c:pt idx="149">
                        <c:v>44311</c:v>
                      </c:pt>
                      <c:pt idx="150">
                        <c:v>44312</c:v>
                      </c:pt>
                      <c:pt idx="151">
                        <c:v>44313</c:v>
                      </c:pt>
                      <c:pt idx="152">
                        <c:v>44314</c:v>
                      </c:pt>
                      <c:pt idx="153">
                        <c:v>44315</c:v>
                      </c:pt>
                      <c:pt idx="154">
                        <c:v>44316</c:v>
                      </c:pt>
                      <c:pt idx="155">
                        <c:v>44319</c:v>
                      </c:pt>
                      <c:pt idx="156">
                        <c:v>44320</c:v>
                      </c:pt>
                      <c:pt idx="157">
                        <c:v>44321</c:v>
                      </c:pt>
                      <c:pt idx="158">
                        <c:v>44322</c:v>
                      </c:pt>
                      <c:pt idx="159">
                        <c:v>44323</c:v>
                      </c:pt>
                      <c:pt idx="160">
                        <c:v>44326</c:v>
                      </c:pt>
                      <c:pt idx="161">
                        <c:v>44327</c:v>
                      </c:pt>
                      <c:pt idx="162">
                        <c:v>44328</c:v>
                      </c:pt>
                      <c:pt idx="163">
                        <c:v>44329</c:v>
                      </c:pt>
                      <c:pt idx="164">
                        <c:v>44330</c:v>
                      </c:pt>
                      <c:pt idx="165">
                        <c:v>44333</c:v>
                      </c:pt>
                      <c:pt idx="166">
                        <c:v>44334</c:v>
                      </c:pt>
                      <c:pt idx="167">
                        <c:v>44335</c:v>
                      </c:pt>
                      <c:pt idx="168">
                        <c:v>44336</c:v>
                      </c:pt>
                      <c:pt idx="169">
                        <c:v>44337</c:v>
                      </c:pt>
                      <c:pt idx="170">
                        <c:v>44340</c:v>
                      </c:pt>
                      <c:pt idx="171">
                        <c:v>44341</c:v>
                      </c:pt>
                      <c:pt idx="172">
                        <c:v>44342</c:v>
                      </c:pt>
                      <c:pt idx="173">
                        <c:v>44343</c:v>
                      </c:pt>
                      <c:pt idx="174">
                        <c:v>44344</c:v>
                      </c:pt>
                      <c:pt idx="175">
                        <c:v>44347</c:v>
                      </c:pt>
                      <c:pt idx="176">
                        <c:v>44348</c:v>
                      </c:pt>
                      <c:pt idx="177">
                        <c:v>44349</c:v>
                      </c:pt>
                      <c:pt idx="178">
                        <c:v>44350</c:v>
                      </c:pt>
                      <c:pt idx="179">
                        <c:v>44351</c:v>
                      </c:pt>
                      <c:pt idx="180">
                        <c:v>44354</c:v>
                      </c:pt>
                      <c:pt idx="181">
                        <c:v>44355</c:v>
                      </c:pt>
                      <c:pt idx="182">
                        <c:v>44356</c:v>
                      </c:pt>
                      <c:pt idx="183">
                        <c:v>44357</c:v>
                      </c:pt>
                      <c:pt idx="184">
                        <c:v>44358</c:v>
                      </c:pt>
                      <c:pt idx="185">
                        <c:v>44361</c:v>
                      </c:pt>
                      <c:pt idx="186">
                        <c:v>44362</c:v>
                      </c:pt>
                      <c:pt idx="187">
                        <c:v>44363</c:v>
                      </c:pt>
                      <c:pt idx="188">
                        <c:v>44364</c:v>
                      </c:pt>
                      <c:pt idx="189">
                        <c:v>44365</c:v>
                      </c:pt>
                      <c:pt idx="190">
                        <c:v>44368</c:v>
                      </c:pt>
                      <c:pt idx="191">
                        <c:v>44369</c:v>
                      </c:pt>
                      <c:pt idx="192">
                        <c:v>44370</c:v>
                      </c:pt>
                      <c:pt idx="193">
                        <c:v>44371</c:v>
                      </c:pt>
                      <c:pt idx="194">
                        <c:v>44372</c:v>
                      </c:pt>
                      <c:pt idx="195">
                        <c:v>44375</c:v>
                      </c:pt>
                      <c:pt idx="196">
                        <c:v>44376</c:v>
                      </c:pt>
                      <c:pt idx="197">
                        <c:v>44377</c:v>
                      </c:pt>
                      <c:pt idx="198">
                        <c:v>44378</c:v>
                      </c:pt>
                      <c:pt idx="199">
                        <c:v>44379</c:v>
                      </c:pt>
                      <c:pt idx="200">
                        <c:v>44382</c:v>
                      </c:pt>
                      <c:pt idx="201">
                        <c:v>44383</c:v>
                      </c:pt>
                      <c:pt idx="202">
                        <c:v>44384</c:v>
                      </c:pt>
                      <c:pt idx="203">
                        <c:v>44385</c:v>
                      </c:pt>
                      <c:pt idx="204">
                        <c:v>44386</c:v>
                      </c:pt>
                      <c:pt idx="205">
                        <c:v>44389</c:v>
                      </c:pt>
                      <c:pt idx="206">
                        <c:v>44390</c:v>
                      </c:pt>
                      <c:pt idx="207">
                        <c:v>44391</c:v>
                      </c:pt>
                      <c:pt idx="208">
                        <c:v>44392</c:v>
                      </c:pt>
                      <c:pt idx="209">
                        <c:v>44393</c:v>
                      </c:pt>
                      <c:pt idx="210">
                        <c:v>44396</c:v>
                      </c:pt>
                      <c:pt idx="211">
                        <c:v>44397</c:v>
                      </c:pt>
                      <c:pt idx="212">
                        <c:v>44398</c:v>
                      </c:pt>
                      <c:pt idx="213">
                        <c:v>44399</c:v>
                      </c:pt>
                      <c:pt idx="214">
                        <c:v>44400</c:v>
                      </c:pt>
                      <c:pt idx="215">
                        <c:v>44403</c:v>
                      </c:pt>
                      <c:pt idx="216">
                        <c:v>44404</c:v>
                      </c:pt>
                      <c:pt idx="217">
                        <c:v>44405</c:v>
                      </c:pt>
                      <c:pt idx="218">
                        <c:v>44406</c:v>
                      </c:pt>
                      <c:pt idx="219">
                        <c:v>44407</c:v>
                      </c:pt>
                      <c:pt idx="220">
                        <c:v>44410</c:v>
                      </c:pt>
                      <c:pt idx="221">
                        <c:v>44411</c:v>
                      </c:pt>
                      <c:pt idx="222">
                        <c:v>44412</c:v>
                      </c:pt>
                      <c:pt idx="223">
                        <c:v>44413</c:v>
                      </c:pt>
                      <c:pt idx="224">
                        <c:v>44414</c:v>
                      </c:pt>
                      <c:pt idx="225">
                        <c:v>44417</c:v>
                      </c:pt>
                      <c:pt idx="226">
                        <c:v>44418</c:v>
                      </c:pt>
                      <c:pt idx="227">
                        <c:v>44419</c:v>
                      </c:pt>
                      <c:pt idx="228">
                        <c:v>44420</c:v>
                      </c:pt>
                      <c:pt idx="229">
                        <c:v>44421</c:v>
                      </c:pt>
                      <c:pt idx="230">
                        <c:v>44424</c:v>
                      </c:pt>
                      <c:pt idx="231">
                        <c:v>44425</c:v>
                      </c:pt>
                      <c:pt idx="232">
                        <c:v>44426</c:v>
                      </c:pt>
                      <c:pt idx="233">
                        <c:v>44427</c:v>
                      </c:pt>
                      <c:pt idx="234">
                        <c:v>44428</c:v>
                      </c:pt>
                      <c:pt idx="235">
                        <c:v>44431</c:v>
                      </c:pt>
                      <c:pt idx="236">
                        <c:v>44432</c:v>
                      </c:pt>
                      <c:pt idx="237">
                        <c:v>44433</c:v>
                      </c:pt>
                      <c:pt idx="238">
                        <c:v>44434</c:v>
                      </c:pt>
                      <c:pt idx="239">
                        <c:v>44435</c:v>
                      </c:pt>
                      <c:pt idx="240">
                        <c:v>44438</c:v>
                      </c:pt>
                      <c:pt idx="241">
                        <c:v>44439</c:v>
                      </c:pt>
                      <c:pt idx="242">
                        <c:v>44440</c:v>
                      </c:pt>
                      <c:pt idx="243">
                        <c:v>44441</c:v>
                      </c:pt>
                      <c:pt idx="244">
                        <c:v>44442</c:v>
                      </c:pt>
                      <c:pt idx="245">
                        <c:v>44445</c:v>
                      </c:pt>
                      <c:pt idx="246">
                        <c:v>44446</c:v>
                      </c:pt>
                      <c:pt idx="247">
                        <c:v>44447</c:v>
                      </c:pt>
                      <c:pt idx="248">
                        <c:v>44448</c:v>
                      </c:pt>
                      <c:pt idx="249">
                        <c:v>44449</c:v>
                      </c:pt>
                      <c:pt idx="250">
                        <c:v>44452</c:v>
                      </c:pt>
                      <c:pt idx="251">
                        <c:v>44453</c:v>
                      </c:pt>
                      <c:pt idx="252">
                        <c:v>44454</c:v>
                      </c:pt>
                      <c:pt idx="253">
                        <c:v>44455</c:v>
                      </c:pt>
                      <c:pt idx="254">
                        <c:v>44456</c:v>
                      </c:pt>
                      <c:pt idx="255">
                        <c:v>44459</c:v>
                      </c:pt>
                      <c:pt idx="256">
                        <c:v>44460</c:v>
                      </c:pt>
                      <c:pt idx="257">
                        <c:v>44461</c:v>
                      </c:pt>
                      <c:pt idx="258">
                        <c:v>44462</c:v>
                      </c:pt>
                      <c:pt idx="259">
                        <c:v>44463</c:v>
                      </c:pt>
                      <c:pt idx="260">
                        <c:v>44466</c:v>
                      </c:pt>
                      <c:pt idx="261">
                        <c:v>44467</c:v>
                      </c:pt>
                      <c:pt idx="262">
                        <c:v>44468</c:v>
                      </c:pt>
                      <c:pt idx="263">
                        <c:v>44469</c:v>
                      </c:pt>
                      <c:pt idx="264">
                        <c:v>44470</c:v>
                      </c:pt>
                      <c:pt idx="265">
                        <c:v>44473</c:v>
                      </c:pt>
                      <c:pt idx="266">
                        <c:v>44474</c:v>
                      </c:pt>
                      <c:pt idx="267">
                        <c:v>44475</c:v>
                      </c:pt>
                      <c:pt idx="268">
                        <c:v>44476</c:v>
                      </c:pt>
                      <c:pt idx="269">
                        <c:v>44477</c:v>
                      </c:pt>
                      <c:pt idx="270">
                        <c:v>44480</c:v>
                      </c:pt>
                      <c:pt idx="271">
                        <c:v>44481</c:v>
                      </c:pt>
                      <c:pt idx="272">
                        <c:v>44482</c:v>
                      </c:pt>
                      <c:pt idx="273">
                        <c:v>44483</c:v>
                      </c:pt>
                      <c:pt idx="274">
                        <c:v>44484</c:v>
                      </c:pt>
                      <c:pt idx="275">
                        <c:v>44487</c:v>
                      </c:pt>
                      <c:pt idx="276">
                        <c:v>44488</c:v>
                      </c:pt>
                      <c:pt idx="277">
                        <c:v>44489</c:v>
                      </c:pt>
                      <c:pt idx="278">
                        <c:v>44490</c:v>
                      </c:pt>
                      <c:pt idx="279">
                        <c:v>44491</c:v>
                      </c:pt>
                      <c:pt idx="280">
                        <c:v>44494</c:v>
                      </c:pt>
                      <c:pt idx="281">
                        <c:v>44495</c:v>
                      </c:pt>
                      <c:pt idx="282">
                        <c:v>44496</c:v>
                      </c:pt>
                      <c:pt idx="283">
                        <c:v>44497</c:v>
                      </c:pt>
                      <c:pt idx="284">
                        <c:v>44498</c:v>
                      </c:pt>
                      <c:pt idx="285">
                        <c:v>44501</c:v>
                      </c:pt>
                    </c:numCache>
                  </c:numRef>
                </c:cat>
                <c:val>
                  <c:numRef>
                    <c:extLst xmlns:c15="http://schemas.microsoft.com/office/drawing/2012/chart">
                      <c:ext xmlns:c15="http://schemas.microsoft.com/office/drawing/2012/chart" uri="{02D57815-91ED-43cb-92C2-25804820EDAC}">
                        <c15:formulaRef>
                          <c15:sqref>'Currency Chart'!$W$6:$W$291</c15:sqref>
                        </c15:formulaRef>
                      </c:ext>
                    </c:extLst>
                    <c:numCache>
                      <c:formatCode>0</c:formatCode>
                      <c:ptCount val="286"/>
                      <c:pt idx="0" formatCode="General">
                        <c:v>100</c:v>
                      </c:pt>
                      <c:pt idx="1">
                        <c:v>99.753838940335243</c:v>
                      </c:pt>
                      <c:pt idx="2">
                        <c:v>100.0351658656664</c:v>
                      </c:pt>
                      <c:pt idx="3">
                        <c:v>99.460790059781971</c:v>
                      </c:pt>
                      <c:pt idx="4">
                        <c:v>99.882780447778686</c:v>
                      </c:pt>
                      <c:pt idx="5">
                        <c:v>99.648341343336071</c:v>
                      </c:pt>
                      <c:pt idx="6">
                        <c:v>99.671785253780328</c:v>
                      </c:pt>
                      <c:pt idx="7">
                        <c:v>99.109131403118042</c:v>
                      </c:pt>
                      <c:pt idx="8">
                        <c:v>99.214629000117228</c:v>
                      </c:pt>
                      <c:pt idx="9">
                        <c:v>99.7772828507795</c:v>
                      </c:pt>
                      <c:pt idx="10">
                        <c:v>99.7772828507795</c:v>
                      </c:pt>
                      <c:pt idx="11">
                        <c:v>100.10549759699917</c:v>
                      </c:pt>
                      <c:pt idx="12">
                        <c:v>100.01172195522211</c:v>
                      </c:pt>
                      <c:pt idx="13">
                        <c:v>99.613175477669671</c:v>
                      </c:pt>
                      <c:pt idx="14">
                        <c:v>99.132575313562299</c:v>
                      </c:pt>
                      <c:pt idx="15">
                        <c:v>98.816082522564756</c:v>
                      </c:pt>
                      <c:pt idx="16">
                        <c:v>99.167741179228699</c:v>
                      </c:pt>
                      <c:pt idx="17">
                        <c:v>98.81608252256477</c:v>
                      </c:pt>
                      <c:pt idx="18">
                        <c:v>99.249794865783628</c:v>
                      </c:pt>
                      <c:pt idx="19">
                        <c:v>99.367014418004942</c:v>
                      </c:pt>
                      <c:pt idx="20">
                        <c:v>99.800726761223785</c:v>
                      </c:pt>
                      <c:pt idx="21">
                        <c:v>100.39854647755247</c:v>
                      </c:pt>
                      <c:pt idx="22">
                        <c:v>100.60954167155083</c:v>
                      </c:pt>
                      <c:pt idx="23">
                        <c:v>100.67987340288362</c:v>
                      </c:pt>
                      <c:pt idx="24">
                        <c:v>100.03516586566641</c:v>
                      </c:pt>
                      <c:pt idx="25">
                        <c:v>99.9531121791115</c:v>
                      </c:pt>
                      <c:pt idx="26">
                        <c:v>99.097409447895942</c:v>
                      </c:pt>
                      <c:pt idx="27">
                        <c:v>98.698862970343484</c:v>
                      </c:pt>
                      <c:pt idx="28">
                        <c:v>99.214629000117242</c:v>
                      </c:pt>
                      <c:pt idx="29">
                        <c:v>99.19118508967297</c:v>
                      </c:pt>
                      <c:pt idx="30">
                        <c:v>99.519399835892642</c:v>
                      </c:pt>
                      <c:pt idx="31">
                        <c:v>99.273238776227899</c:v>
                      </c:pt>
                      <c:pt idx="32">
                        <c:v>99.03879967178527</c:v>
                      </c:pt>
                      <c:pt idx="33">
                        <c:v>98.874692298675441</c:v>
                      </c:pt>
                      <c:pt idx="34">
                        <c:v>98.792638612120527</c:v>
                      </c:pt>
                      <c:pt idx="35">
                        <c:v>98.874692298675441</c:v>
                      </c:pt>
                      <c:pt idx="36">
                        <c:v>98.69886297034347</c:v>
                      </c:pt>
                      <c:pt idx="37">
                        <c:v>98.862970343453313</c:v>
                      </c:pt>
                      <c:pt idx="38">
                        <c:v>98.991911850896756</c:v>
                      </c:pt>
                      <c:pt idx="39">
                        <c:v>98.558199507677898</c:v>
                      </c:pt>
                      <c:pt idx="40">
                        <c:v>98.370648224123784</c:v>
                      </c:pt>
                      <c:pt idx="41">
                        <c:v>98.370648224123784</c:v>
                      </c:pt>
                      <c:pt idx="42">
                        <c:v>97.972101746571326</c:v>
                      </c:pt>
                      <c:pt idx="43">
                        <c:v>98.241706716680326</c:v>
                      </c:pt>
                      <c:pt idx="44">
                        <c:v>97.104677060133625</c:v>
                      </c:pt>
                      <c:pt idx="45">
                        <c:v>96.741296448247567</c:v>
                      </c:pt>
                      <c:pt idx="46">
                        <c:v>96.518579299027067</c:v>
                      </c:pt>
                      <c:pt idx="47">
                        <c:v>96.682686672136882</c:v>
                      </c:pt>
                      <c:pt idx="48">
                        <c:v>96.788184269136053</c:v>
                      </c:pt>
                      <c:pt idx="49">
                        <c:v>96.835072090024568</c:v>
                      </c:pt>
                      <c:pt idx="50">
                        <c:v>97.010901418356525</c:v>
                      </c:pt>
                      <c:pt idx="51">
                        <c:v>96.55374516469341</c:v>
                      </c:pt>
                      <c:pt idx="52">
                        <c:v>96.753018403469639</c:v>
                      </c:pt>
                      <c:pt idx="53">
                        <c:v>96.506857343804896</c:v>
                      </c:pt>
                      <c:pt idx="54">
                        <c:v>96.43652561247211</c:v>
                      </c:pt>
                      <c:pt idx="55">
                        <c:v>96.073145000586052</c:v>
                      </c:pt>
                      <c:pt idx="56">
                        <c:v>95.533935060368023</c:v>
                      </c:pt>
                      <c:pt idx="57">
                        <c:v>95.615988746922952</c:v>
                      </c:pt>
                      <c:pt idx="58">
                        <c:v>95.733208299144266</c:v>
                      </c:pt>
                      <c:pt idx="59">
                        <c:v>96.35447192591721</c:v>
                      </c:pt>
                      <c:pt idx="60">
                        <c:v>96.166920642363124</c:v>
                      </c:pt>
                      <c:pt idx="61">
                        <c:v>96.178642597585238</c:v>
                      </c:pt>
                      <c:pt idx="62">
                        <c:v>96.014535224475409</c:v>
                      </c:pt>
                      <c:pt idx="63">
                        <c:v>95.932481537920495</c:v>
                      </c:pt>
                      <c:pt idx="64">
                        <c:v>95.686320478255737</c:v>
                      </c:pt>
                      <c:pt idx="65">
                        <c:v>95.311217911147551</c:v>
                      </c:pt>
                      <c:pt idx="66">
                        <c:v>95.944203493142609</c:v>
                      </c:pt>
                      <c:pt idx="67">
                        <c:v>96.553745164693424</c:v>
                      </c:pt>
                      <c:pt idx="68">
                        <c:v>95.674598523033595</c:v>
                      </c:pt>
                      <c:pt idx="69">
                        <c:v>95.299495955925394</c:v>
                      </c:pt>
                      <c:pt idx="70">
                        <c:v>95.076778806704922</c:v>
                      </c:pt>
                      <c:pt idx="71">
                        <c:v>95.498769194701637</c:v>
                      </c:pt>
                      <c:pt idx="72">
                        <c:v>95.920759582698352</c:v>
                      </c:pt>
                      <c:pt idx="73">
                        <c:v>96.448247567694253</c:v>
                      </c:pt>
                      <c:pt idx="74">
                        <c:v>96.014535224475409</c:v>
                      </c:pt>
                      <c:pt idx="75">
                        <c:v>96.413081702027867</c:v>
                      </c:pt>
                      <c:pt idx="76">
                        <c:v>96.401359746805738</c:v>
                      </c:pt>
                      <c:pt idx="77">
                        <c:v>97.022623373578668</c:v>
                      </c:pt>
                      <c:pt idx="78">
                        <c:v>97.034345328800811</c:v>
                      </c:pt>
                      <c:pt idx="79">
                        <c:v>96.635798851248353</c:v>
                      </c:pt>
                      <c:pt idx="80">
                        <c:v>96.81162817958031</c:v>
                      </c:pt>
                      <c:pt idx="81">
                        <c:v>96.354471925917196</c:v>
                      </c:pt>
                      <c:pt idx="82">
                        <c:v>96.331028015472938</c:v>
                      </c:pt>
                      <c:pt idx="83">
                        <c:v>96.553745164693439</c:v>
                      </c:pt>
                      <c:pt idx="84">
                        <c:v>96.377915836361481</c:v>
                      </c:pt>
                      <c:pt idx="85">
                        <c:v>96.776462313913925</c:v>
                      </c:pt>
                      <c:pt idx="86">
                        <c:v>96.670964716914753</c:v>
                      </c:pt>
                      <c:pt idx="87">
                        <c:v>96.57718907513771</c:v>
                      </c:pt>
                      <c:pt idx="88">
                        <c:v>97.186730746688525</c:v>
                      </c:pt>
                      <c:pt idx="89">
                        <c:v>97.315672254131982</c:v>
                      </c:pt>
                      <c:pt idx="90">
                        <c:v>97.409447895909025</c:v>
                      </c:pt>
                      <c:pt idx="91">
                        <c:v>97.98382370179344</c:v>
                      </c:pt>
                      <c:pt idx="92">
                        <c:v>97.315672254131968</c:v>
                      </c:pt>
                      <c:pt idx="93">
                        <c:v>97.280506388465568</c:v>
                      </c:pt>
                      <c:pt idx="94">
                        <c:v>96.706130582581139</c:v>
                      </c:pt>
                      <c:pt idx="95">
                        <c:v>96.717852537803282</c:v>
                      </c:pt>
                      <c:pt idx="96">
                        <c:v>96.624076896026239</c:v>
                      </c:pt>
                      <c:pt idx="97">
                        <c:v>96.694408627359024</c:v>
                      </c:pt>
                      <c:pt idx="98">
                        <c:v>96.624076896026253</c:v>
                      </c:pt>
                      <c:pt idx="99">
                        <c:v>96.799906224358224</c:v>
                      </c:pt>
                      <c:pt idx="100">
                        <c:v>97.362560075020525</c:v>
                      </c:pt>
                      <c:pt idx="101">
                        <c:v>96.94056968702381</c:v>
                      </c:pt>
                      <c:pt idx="102">
                        <c:v>96.706130582581181</c:v>
                      </c:pt>
                      <c:pt idx="103">
                        <c:v>96.706130582581181</c:v>
                      </c:pt>
                      <c:pt idx="104">
                        <c:v>96.41308170202791</c:v>
                      </c:pt>
                      <c:pt idx="105">
                        <c:v>96.471691478138567</c:v>
                      </c:pt>
                      <c:pt idx="106">
                        <c:v>96.354471925917252</c:v>
                      </c:pt>
                      <c:pt idx="107">
                        <c:v>96.248974328918081</c:v>
                      </c:pt>
                      <c:pt idx="108">
                        <c:v>97.057789239245125</c:v>
                      </c:pt>
                      <c:pt idx="109">
                        <c:v>97.268784433243496</c:v>
                      </c:pt>
                      <c:pt idx="110">
                        <c:v>96.928847731801696</c:v>
                      </c:pt>
                      <c:pt idx="111">
                        <c:v>97.151564881022196</c:v>
                      </c:pt>
                      <c:pt idx="112">
                        <c:v>97.925213925682854</c:v>
                      </c:pt>
                      <c:pt idx="113">
                        <c:v>98.347204313679555</c:v>
                      </c:pt>
                      <c:pt idx="114">
                        <c:v>98.945024030008227</c:v>
                      </c:pt>
                      <c:pt idx="115">
                        <c:v>98.487867776345112</c:v>
                      </c:pt>
                      <c:pt idx="116">
                        <c:v>98.265150627124626</c:v>
                      </c:pt>
                      <c:pt idx="117">
                        <c:v>97.784550463017254</c:v>
                      </c:pt>
                      <c:pt idx="118">
                        <c:v>98.042433477904126</c:v>
                      </c:pt>
                      <c:pt idx="119">
                        <c:v>98.241706716680341</c:v>
                      </c:pt>
                      <c:pt idx="120">
                        <c:v>98.476145821122955</c:v>
                      </c:pt>
                      <c:pt idx="121">
                        <c:v>97.843160239127883</c:v>
                      </c:pt>
                      <c:pt idx="122">
                        <c:v>98.370648224123784</c:v>
                      </c:pt>
                      <c:pt idx="123">
                        <c:v>98.464423865900827</c:v>
                      </c:pt>
                      <c:pt idx="124">
                        <c:v>98.194818895791812</c:v>
                      </c:pt>
                      <c:pt idx="125">
                        <c:v>98.89813620911967</c:v>
                      </c:pt>
                      <c:pt idx="126">
                        <c:v>99.226350955339342</c:v>
                      </c:pt>
                      <c:pt idx="127">
                        <c:v>99.636619388113914</c:v>
                      </c:pt>
                      <c:pt idx="128">
                        <c:v>99.378736373227028</c:v>
                      </c:pt>
                      <c:pt idx="129">
                        <c:v>99.624897432891785</c:v>
                      </c:pt>
                      <c:pt idx="130">
                        <c:v>100.03516586566639</c:v>
                      </c:pt>
                      <c:pt idx="131">
                        <c:v>99.917946313445071</c:v>
                      </c:pt>
                      <c:pt idx="132">
                        <c:v>99.5193998358926</c:v>
                      </c:pt>
                      <c:pt idx="133">
                        <c:v>99.624897432891785</c:v>
                      </c:pt>
                      <c:pt idx="134">
                        <c:v>99.214629000117199</c:v>
                      </c:pt>
                      <c:pt idx="135">
                        <c:v>98.687141015121298</c:v>
                      </c:pt>
                      <c:pt idx="136">
                        <c:v>98.722306880787684</c:v>
                      </c:pt>
                      <c:pt idx="137">
                        <c:v>98.382370179345898</c:v>
                      </c:pt>
                      <c:pt idx="138">
                        <c:v>98.464423865900812</c:v>
                      </c:pt>
                      <c:pt idx="139">
                        <c:v>98.394092134568027</c:v>
                      </c:pt>
                      <c:pt idx="140">
                        <c:v>98.089321298792612</c:v>
                      </c:pt>
                      <c:pt idx="141">
                        <c:v>97.831438283905726</c:v>
                      </c:pt>
                      <c:pt idx="142">
                        <c:v>97.936935880904912</c:v>
                      </c:pt>
                      <c:pt idx="143">
                        <c:v>97.784550463017212</c:v>
                      </c:pt>
                      <c:pt idx="144">
                        <c:v>97.386003985464754</c:v>
                      </c:pt>
                      <c:pt idx="145">
                        <c:v>97.386003985464754</c:v>
                      </c:pt>
                      <c:pt idx="146">
                        <c:v>97.386003985464754</c:v>
                      </c:pt>
                      <c:pt idx="147">
                        <c:v>97.550111358574583</c:v>
                      </c:pt>
                      <c:pt idx="148">
                        <c:v>96.870237955690982</c:v>
                      </c:pt>
                      <c:pt idx="149">
                        <c:v>96.870237955690982</c:v>
                      </c:pt>
                      <c:pt idx="150">
                        <c:v>97.010901418356553</c:v>
                      </c:pt>
                      <c:pt idx="151">
                        <c:v>96.928847731801639</c:v>
                      </c:pt>
                      <c:pt idx="152">
                        <c:v>96.659242761692624</c:v>
                      </c:pt>
                      <c:pt idx="153">
                        <c:v>96.69440862735901</c:v>
                      </c:pt>
                      <c:pt idx="154">
                        <c:v>97.50322353768604</c:v>
                      </c:pt>
                      <c:pt idx="155">
                        <c:v>97.151564881022111</c:v>
                      </c:pt>
                      <c:pt idx="156">
                        <c:v>97.550111358574568</c:v>
                      </c:pt>
                      <c:pt idx="157">
                        <c:v>97.620443089907354</c:v>
                      </c:pt>
                      <c:pt idx="158">
                        <c:v>97.128120970577854</c:v>
                      </c:pt>
                      <c:pt idx="159">
                        <c:v>96.354471925917196</c:v>
                      </c:pt>
                      <c:pt idx="160">
                        <c:v>96.62407689602621</c:v>
                      </c:pt>
                      <c:pt idx="161">
                        <c:v>96.471691478138496</c:v>
                      </c:pt>
                      <c:pt idx="162">
                        <c:v>97.081233149689325</c:v>
                      </c:pt>
                      <c:pt idx="163">
                        <c:v>97.022623373578654</c:v>
                      </c:pt>
                      <c:pt idx="164">
                        <c:v>96.530301254249153</c:v>
                      </c:pt>
                      <c:pt idx="165">
                        <c:v>96.436525612472096</c:v>
                      </c:pt>
                      <c:pt idx="166">
                        <c:v>95.897315672254081</c:v>
                      </c:pt>
                      <c:pt idx="167">
                        <c:v>96.272418239362267</c:v>
                      </c:pt>
                      <c:pt idx="168">
                        <c:v>95.850427851365552</c:v>
                      </c:pt>
                      <c:pt idx="169">
                        <c:v>96.21380846325161</c:v>
                      </c:pt>
                      <c:pt idx="170">
                        <c:v>95.955925448364724</c:v>
                      </c:pt>
                      <c:pt idx="171">
                        <c:v>95.662876567811452</c:v>
                      </c:pt>
                      <c:pt idx="172">
                        <c:v>96.13175477669671</c:v>
                      </c:pt>
                      <c:pt idx="173">
                        <c:v>96.108310866252438</c:v>
                      </c:pt>
                      <c:pt idx="174">
                        <c:v>96.120032821474567</c:v>
                      </c:pt>
                      <c:pt idx="175">
                        <c:v>95.850427851365552</c:v>
                      </c:pt>
                      <c:pt idx="176">
                        <c:v>95.967647403586867</c:v>
                      </c:pt>
                      <c:pt idx="177">
                        <c:v>95.979369358808995</c:v>
                      </c:pt>
                      <c:pt idx="178">
                        <c:v>96.647520806470467</c:v>
                      </c:pt>
                      <c:pt idx="179">
                        <c:v>96.331028015472924</c:v>
                      </c:pt>
                      <c:pt idx="180">
                        <c:v>96.155198687140967</c:v>
                      </c:pt>
                      <c:pt idx="181">
                        <c:v>96.28414019458441</c:v>
                      </c:pt>
                      <c:pt idx="182">
                        <c:v>96.225530418473753</c:v>
                      </c:pt>
                      <c:pt idx="183">
                        <c:v>96.295862149806538</c:v>
                      </c:pt>
                      <c:pt idx="184">
                        <c:v>96.799906224358182</c:v>
                      </c:pt>
                      <c:pt idx="185">
                        <c:v>96.706130582581125</c:v>
                      </c:pt>
                      <c:pt idx="186">
                        <c:v>96.647520806470482</c:v>
                      </c:pt>
                      <c:pt idx="187">
                        <c:v>97.72594068690654</c:v>
                      </c:pt>
                      <c:pt idx="188">
                        <c:v>98.41753604501227</c:v>
                      </c:pt>
                      <c:pt idx="189">
                        <c:v>98.804360567342599</c:v>
                      </c:pt>
                      <c:pt idx="190">
                        <c:v>98.358926268901612</c:v>
                      </c:pt>
                      <c:pt idx="191">
                        <c:v>98.159653030125398</c:v>
                      </c:pt>
                      <c:pt idx="192">
                        <c:v>98.276872582346698</c:v>
                      </c:pt>
                      <c:pt idx="193">
                        <c:v>98.218262806236041</c:v>
                      </c:pt>
                      <c:pt idx="194">
                        <c:v>98.194818895791784</c:v>
                      </c:pt>
                      <c:pt idx="195">
                        <c:v>98.276872582346712</c:v>
                      </c:pt>
                      <c:pt idx="196">
                        <c:v>98.511311686789341</c:v>
                      </c:pt>
                      <c:pt idx="197">
                        <c:v>98.851248388231141</c:v>
                      </c:pt>
                      <c:pt idx="198">
                        <c:v>98.89813620911967</c:v>
                      </c:pt>
                      <c:pt idx="199">
                        <c:v>98.769194701676227</c:v>
                      </c:pt>
                      <c:pt idx="200">
                        <c:v>98.792638612120484</c:v>
                      </c:pt>
                      <c:pt idx="201">
                        <c:v>99.12085335834017</c:v>
                      </c:pt>
                      <c:pt idx="202">
                        <c:v>99.402180283671314</c:v>
                      </c:pt>
                      <c:pt idx="203">
                        <c:v>98.956745985230327</c:v>
                      </c:pt>
                      <c:pt idx="204">
                        <c:v>98.698862970343441</c:v>
                      </c:pt>
                      <c:pt idx="205">
                        <c:v>98.816082522564741</c:v>
                      </c:pt>
                      <c:pt idx="206">
                        <c:v>99.5193998358926</c:v>
                      </c:pt>
                      <c:pt idx="207">
                        <c:v>99.015355761340956</c:v>
                      </c:pt>
                      <c:pt idx="208">
                        <c:v>99.20290704489507</c:v>
                      </c:pt>
                      <c:pt idx="209">
                        <c:v>99.261516821005713</c:v>
                      </c:pt>
                      <c:pt idx="210">
                        <c:v>99.320126597116371</c:v>
                      </c:pt>
                      <c:pt idx="211">
                        <c:v>99.4842339702262</c:v>
                      </c:pt>
                      <c:pt idx="212">
                        <c:v>99.367014418004885</c:v>
                      </c:pt>
                      <c:pt idx="213">
                        <c:v>99.578009612003257</c:v>
                      </c:pt>
                      <c:pt idx="214">
                        <c:v>99.554565701559</c:v>
                      </c:pt>
                      <c:pt idx="215">
                        <c:v>99.308404641894242</c:v>
                      </c:pt>
                      <c:pt idx="216">
                        <c:v>99.191185089672928</c:v>
                      </c:pt>
                      <c:pt idx="217">
                        <c:v>98.956745985230313</c:v>
                      </c:pt>
                      <c:pt idx="218">
                        <c:v>98.581643418122127</c:v>
                      </c:pt>
                      <c:pt idx="219">
                        <c:v>98.734028836009841</c:v>
                      </c:pt>
                      <c:pt idx="220">
                        <c:v>98.74575079123197</c:v>
                      </c:pt>
                      <c:pt idx="221">
                        <c:v>98.804360567342613</c:v>
                      </c:pt>
                      <c:pt idx="222">
                        <c:v>99.01535576134097</c:v>
                      </c:pt>
                      <c:pt idx="223">
                        <c:v>99.038799671785242</c:v>
                      </c:pt>
                      <c:pt idx="224">
                        <c:v>99.648341343336057</c:v>
                      </c:pt>
                      <c:pt idx="225">
                        <c:v>99.835892626890171</c:v>
                      </c:pt>
                      <c:pt idx="226">
                        <c:v>100</c:v>
                      </c:pt>
                      <c:pt idx="227">
                        <c:v>99.835892626890171</c:v>
                      </c:pt>
                      <c:pt idx="228">
                        <c:v>99.9179463134451</c:v>
                      </c:pt>
                      <c:pt idx="229">
                        <c:v>99.378736373227071</c:v>
                      </c:pt>
                      <c:pt idx="230">
                        <c:v>99.495955925448385</c:v>
                      </c:pt>
                      <c:pt idx="231">
                        <c:v>100.09377564177707</c:v>
                      </c:pt>
                      <c:pt idx="232">
                        <c:v>100.07033173133281</c:v>
                      </c:pt>
                      <c:pt idx="233">
                        <c:v>100.37510256710821</c:v>
                      </c:pt>
                      <c:pt idx="234">
                        <c:v>100.19927323877626</c:v>
                      </c:pt>
                      <c:pt idx="235">
                        <c:v>99.789004806001657</c:v>
                      </c:pt>
                      <c:pt idx="236">
                        <c:v>99.706951119446757</c:v>
                      </c:pt>
                      <c:pt idx="237">
                        <c:v>99.554565701559056</c:v>
                      </c:pt>
                      <c:pt idx="238">
                        <c:v>99.730395029891014</c:v>
                      </c:pt>
                      <c:pt idx="239">
                        <c:v>99.367014418004956</c:v>
                      </c:pt>
                      <c:pt idx="240">
                        <c:v>99.343570507560699</c:v>
                      </c:pt>
                      <c:pt idx="241">
                        <c:v>99.249794865783642</c:v>
                      </c:pt>
                      <c:pt idx="242">
                        <c:v>99.003633806118899</c:v>
                      </c:pt>
                      <c:pt idx="243">
                        <c:v>98.698862970343484</c:v>
                      </c:pt>
                      <c:pt idx="244">
                        <c:v>98.640253194232841</c:v>
                      </c:pt>
                      <c:pt idx="245">
                        <c:v>98.734028836009898</c:v>
                      </c:pt>
                      <c:pt idx="246">
                        <c:v>98.991911850896784</c:v>
                      </c:pt>
                      <c:pt idx="247">
                        <c:v>99.191185089672999</c:v>
                      </c:pt>
                      <c:pt idx="248">
                        <c:v>99.109131403118084</c:v>
                      </c:pt>
                      <c:pt idx="249">
                        <c:v>99.202907044895127</c:v>
                      </c:pt>
                      <c:pt idx="250">
                        <c:v>99.238072910561513</c:v>
                      </c:pt>
                      <c:pt idx="251">
                        <c:v>99.284960731450028</c:v>
                      </c:pt>
                      <c:pt idx="252">
                        <c:v>99.179463134450842</c:v>
                      </c:pt>
                      <c:pt idx="253">
                        <c:v>99.613175477669685</c:v>
                      </c:pt>
                      <c:pt idx="254">
                        <c:v>99.941390223889343</c:v>
                      </c:pt>
                      <c:pt idx="255">
                        <c:v>99.941390223889343</c:v>
                      </c:pt>
                      <c:pt idx="256">
                        <c:v>99.953112179111457</c:v>
                      </c:pt>
                      <c:pt idx="257">
                        <c:v>100.269604970109</c:v>
                      </c:pt>
                      <c:pt idx="258">
                        <c:v>99.847614582112286</c:v>
                      </c:pt>
                      <c:pt idx="259">
                        <c:v>100.0351658656664</c:v>
                      </c:pt>
                      <c:pt idx="260">
                        <c:v>100.21099519399836</c:v>
                      </c:pt>
                      <c:pt idx="261">
                        <c:v>100.31649279099753</c:v>
                      </c:pt>
                      <c:pt idx="262">
                        <c:v>101.05497596999179</c:v>
                      </c:pt>
                      <c:pt idx="263">
                        <c:v>101.18391747743524</c:v>
                      </c:pt>
                      <c:pt idx="264">
                        <c:v>101.06669792521393</c:v>
                      </c:pt>
                      <c:pt idx="265">
                        <c:v>100.84398077599344</c:v>
                      </c:pt>
                      <c:pt idx="266">
                        <c:v>101.0549759699918</c:v>
                      </c:pt>
                      <c:pt idx="267">
                        <c:v>101.40663462665573</c:v>
                      </c:pt>
                      <c:pt idx="268">
                        <c:v>101.45352244754426</c:v>
                      </c:pt>
                      <c:pt idx="269">
                        <c:v>101.30113702965654</c:v>
                      </c:pt>
                      <c:pt idx="270">
                        <c:v>101.4652444027664</c:v>
                      </c:pt>
                      <c:pt idx="271">
                        <c:v>101.6527956863205</c:v>
                      </c:pt>
                      <c:pt idx="272">
                        <c:v>101.10186379088036</c:v>
                      </c:pt>
                      <c:pt idx="273">
                        <c:v>101.06669792521396</c:v>
                      </c:pt>
                      <c:pt idx="274">
                        <c:v>101.03153205954757</c:v>
                      </c:pt>
                      <c:pt idx="275">
                        <c:v>100.93775641777052</c:v>
                      </c:pt>
                      <c:pt idx="276">
                        <c:v>100.7384831789943</c:v>
                      </c:pt>
                      <c:pt idx="277">
                        <c:v>100.58609776110659</c:v>
                      </c:pt>
                      <c:pt idx="278">
                        <c:v>100.83225882077134</c:v>
                      </c:pt>
                      <c:pt idx="279">
                        <c:v>100.60954167155084</c:v>
                      </c:pt>
                      <c:pt idx="280">
                        <c:v>100.96120032821477</c:v>
                      </c:pt>
                      <c:pt idx="281">
                        <c:v>101.07841988043609</c:v>
                      </c:pt>
                      <c:pt idx="282">
                        <c:v>100.98464423865906</c:v>
                      </c:pt>
                      <c:pt idx="283">
                        <c:v>100.32821474621971</c:v>
                      </c:pt>
                      <c:pt idx="284">
                        <c:v>101.35974680576724</c:v>
                      </c:pt>
                    </c:numCache>
                  </c:numRef>
                </c:val>
                <c:smooth val="0"/>
                <c:extLst xmlns:c15="http://schemas.microsoft.com/office/drawing/2012/chart">
                  <c:ext xmlns:c16="http://schemas.microsoft.com/office/drawing/2014/chart" uri="{C3380CC4-5D6E-409C-BE32-E72D297353CC}">
                    <c16:uniqueId val="{00000009-61DB-4070-8C60-273A3892C606}"/>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'Currency Chart'!$X$5</c15:sqref>
                        </c15:formulaRef>
                      </c:ext>
                    </c:extLst>
                    <c:strCache>
                      <c:ptCount val="1"/>
                      <c:pt idx="0">
                        <c:v>Yen</c:v>
                      </c:pt>
                    </c:strCache>
                  </c:strRef>
                </c:tx>
                <c:spPr>
                  <a:ln w="28575" cap="rnd">
                    <a:solidFill>
                      <a:schemeClr val="accent3">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'Currency Chart'!$O$6:$O$291</c15:sqref>
                        </c15:formulaRef>
                      </c:ext>
                    </c:extLst>
                    <c:numCache>
                      <c:formatCode>m/d/yyyy</c:formatCode>
                      <c:ptCount val="286"/>
                      <c:pt idx="0">
                        <c:v>44104</c:v>
                      </c:pt>
                      <c:pt idx="1">
                        <c:v>44105</c:v>
                      </c:pt>
                      <c:pt idx="2">
                        <c:v>44106</c:v>
                      </c:pt>
                      <c:pt idx="3">
                        <c:v>44109</c:v>
                      </c:pt>
                      <c:pt idx="4">
                        <c:v>44110</c:v>
                      </c:pt>
                      <c:pt idx="5">
                        <c:v>44111</c:v>
                      </c:pt>
                      <c:pt idx="6">
                        <c:v>44112</c:v>
                      </c:pt>
                      <c:pt idx="7">
                        <c:v>44113</c:v>
                      </c:pt>
                      <c:pt idx="8">
                        <c:v>44116</c:v>
                      </c:pt>
                      <c:pt idx="9">
                        <c:v>44117</c:v>
                      </c:pt>
                      <c:pt idx="10">
                        <c:v>44118</c:v>
                      </c:pt>
                      <c:pt idx="11">
                        <c:v>44119</c:v>
                      </c:pt>
                      <c:pt idx="12">
                        <c:v>44120</c:v>
                      </c:pt>
                      <c:pt idx="13">
                        <c:v>44123</c:v>
                      </c:pt>
                      <c:pt idx="14">
                        <c:v>44124</c:v>
                      </c:pt>
                      <c:pt idx="15">
                        <c:v>44125</c:v>
                      </c:pt>
                      <c:pt idx="16">
                        <c:v>44126</c:v>
                      </c:pt>
                      <c:pt idx="17">
                        <c:v>44127</c:v>
                      </c:pt>
                      <c:pt idx="18">
                        <c:v>44130</c:v>
                      </c:pt>
                      <c:pt idx="19">
                        <c:v>44131</c:v>
                      </c:pt>
                      <c:pt idx="20">
                        <c:v>44132</c:v>
                      </c:pt>
                      <c:pt idx="21">
                        <c:v>44133</c:v>
                      </c:pt>
                      <c:pt idx="22">
                        <c:v>44134</c:v>
                      </c:pt>
                      <c:pt idx="23">
                        <c:v>44137</c:v>
                      </c:pt>
                      <c:pt idx="24">
                        <c:v>44138</c:v>
                      </c:pt>
                      <c:pt idx="25">
                        <c:v>44139</c:v>
                      </c:pt>
                      <c:pt idx="26">
                        <c:v>44140</c:v>
                      </c:pt>
                      <c:pt idx="27">
                        <c:v>44141</c:v>
                      </c:pt>
                      <c:pt idx="28">
                        <c:v>44144</c:v>
                      </c:pt>
                      <c:pt idx="29">
                        <c:v>44145</c:v>
                      </c:pt>
                      <c:pt idx="30">
                        <c:v>44146</c:v>
                      </c:pt>
                      <c:pt idx="31">
                        <c:v>44147</c:v>
                      </c:pt>
                      <c:pt idx="32">
                        <c:v>44148</c:v>
                      </c:pt>
                      <c:pt idx="33">
                        <c:v>44151</c:v>
                      </c:pt>
                      <c:pt idx="34">
                        <c:v>44152</c:v>
                      </c:pt>
                      <c:pt idx="35">
                        <c:v>44153</c:v>
                      </c:pt>
                      <c:pt idx="36">
                        <c:v>44154</c:v>
                      </c:pt>
                      <c:pt idx="37">
                        <c:v>44155</c:v>
                      </c:pt>
                      <c:pt idx="38">
                        <c:v>44158</c:v>
                      </c:pt>
                      <c:pt idx="39">
                        <c:v>44159</c:v>
                      </c:pt>
                      <c:pt idx="40">
                        <c:v>44160</c:v>
                      </c:pt>
                      <c:pt idx="41">
                        <c:v>44161</c:v>
                      </c:pt>
                      <c:pt idx="42">
                        <c:v>44162</c:v>
                      </c:pt>
                      <c:pt idx="43">
                        <c:v>44165</c:v>
                      </c:pt>
                      <c:pt idx="44">
                        <c:v>44166</c:v>
                      </c:pt>
                      <c:pt idx="45">
                        <c:v>44167</c:v>
                      </c:pt>
                      <c:pt idx="46">
                        <c:v>44168</c:v>
                      </c:pt>
                      <c:pt idx="47">
                        <c:v>44169</c:v>
                      </c:pt>
                      <c:pt idx="48">
                        <c:v>44172</c:v>
                      </c:pt>
                      <c:pt idx="49">
                        <c:v>44173</c:v>
                      </c:pt>
                      <c:pt idx="50">
                        <c:v>44174</c:v>
                      </c:pt>
                      <c:pt idx="51">
                        <c:v>44175</c:v>
                      </c:pt>
                      <c:pt idx="52">
                        <c:v>44176</c:v>
                      </c:pt>
                      <c:pt idx="53">
                        <c:v>44179</c:v>
                      </c:pt>
                      <c:pt idx="54">
                        <c:v>44180</c:v>
                      </c:pt>
                      <c:pt idx="55">
                        <c:v>44181</c:v>
                      </c:pt>
                      <c:pt idx="56">
                        <c:v>44182</c:v>
                      </c:pt>
                      <c:pt idx="57">
                        <c:v>44183</c:v>
                      </c:pt>
                      <c:pt idx="58">
                        <c:v>44186</c:v>
                      </c:pt>
                      <c:pt idx="59">
                        <c:v>44187</c:v>
                      </c:pt>
                      <c:pt idx="60">
                        <c:v>44188</c:v>
                      </c:pt>
                      <c:pt idx="61">
                        <c:v>44189</c:v>
                      </c:pt>
                      <c:pt idx="62">
                        <c:v>44190</c:v>
                      </c:pt>
                      <c:pt idx="63">
                        <c:v>44193</c:v>
                      </c:pt>
                      <c:pt idx="64">
                        <c:v>44194</c:v>
                      </c:pt>
                      <c:pt idx="65">
                        <c:v>44195</c:v>
                      </c:pt>
                      <c:pt idx="66">
                        <c:v>44196</c:v>
                      </c:pt>
                      <c:pt idx="67">
                        <c:v>44197</c:v>
                      </c:pt>
                      <c:pt idx="68">
                        <c:v>44200</c:v>
                      </c:pt>
                      <c:pt idx="69">
                        <c:v>44201</c:v>
                      </c:pt>
                      <c:pt idx="70">
                        <c:v>44202</c:v>
                      </c:pt>
                      <c:pt idx="71">
                        <c:v>44203</c:v>
                      </c:pt>
                      <c:pt idx="72">
                        <c:v>44204</c:v>
                      </c:pt>
                      <c:pt idx="73">
                        <c:v>44207</c:v>
                      </c:pt>
                      <c:pt idx="74">
                        <c:v>44208</c:v>
                      </c:pt>
                      <c:pt idx="75">
                        <c:v>44209</c:v>
                      </c:pt>
                      <c:pt idx="76">
                        <c:v>44210</c:v>
                      </c:pt>
                      <c:pt idx="77">
                        <c:v>44211</c:v>
                      </c:pt>
                      <c:pt idx="78">
                        <c:v>44214</c:v>
                      </c:pt>
                      <c:pt idx="79">
                        <c:v>44215</c:v>
                      </c:pt>
                      <c:pt idx="80">
                        <c:v>44216</c:v>
                      </c:pt>
                      <c:pt idx="81">
                        <c:v>44217</c:v>
                      </c:pt>
                      <c:pt idx="82">
                        <c:v>44218</c:v>
                      </c:pt>
                      <c:pt idx="83">
                        <c:v>44221</c:v>
                      </c:pt>
                      <c:pt idx="84">
                        <c:v>44222</c:v>
                      </c:pt>
                      <c:pt idx="85">
                        <c:v>44223</c:v>
                      </c:pt>
                      <c:pt idx="86">
                        <c:v>44224</c:v>
                      </c:pt>
                      <c:pt idx="87">
                        <c:v>44225</c:v>
                      </c:pt>
                      <c:pt idx="88">
                        <c:v>44228</c:v>
                      </c:pt>
                      <c:pt idx="89">
                        <c:v>44229</c:v>
                      </c:pt>
                      <c:pt idx="90">
                        <c:v>44230</c:v>
                      </c:pt>
                      <c:pt idx="91">
                        <c:v>44231</c:v>
                      </c:pt>
                      <c:pt idx="92">
                        <c:v>44232</c:v>
                      </c:pt>
                      <c:pt idx="93">
                        <c:v>44235</c:v>
                      </c:pt>
                      <c:pt idx="94">
                        <c:v>44236</c:v>
                      </c:pt>
                      <c:pt idx="95">
                        <c:v>44237</c:v>
                      </c:pt>
                      <c:pt idx="96">
                        <c:v>44238</c:v>
                      </c:pt>
                      <c:pt idx="97">
                        <c:v>44239</c:v>
                      </c:pt>
                      <c:pt idx="98">
                        <c:v>44242</c:v>
                      </c:pt>
                      <c:pt idx="99">
                        <c:v>44243</c:v>
                      </c:pt>
                      <c:pt idx="100">
                        <c:v>44244</c:v>
                      </c:pt>
                      <c:pt idx="101">
                        <c:v>44245</c:v>
                      </c:pt>
                      <c:pt idx="102">
                        <c:v>44246</c:v>
                      </c:pt>
                      <c:pt idx="103">
                        <c:v>44247</c:v>
                      </c:pt>
                      <c:pt idx="104">
                        <c:v>44249</c:v>
                      </c:pt>
                      <c:pt idx="105">
                        <c:v>44250</c:v>
                      </c:pt>
                      <c:pt idx="106">
                        <c:v>44251</c:v>
                      </c:pt>
                      <c:pt idx="107">
                        <c:v>44252</c:v>
                      </c:pt>
                      <c:pt idx="108">
                        <c:v>44253</c:v>
                      </c:pt>
                      <c:pt idx="109">
                        <c:v>44256</c:v>
                      </c:pt>
                      <c:pt idx="110">
                        <c:v>44257</c:v>
                      </c:pt>
                      <c:pt idx="111">
                        <c:v>44258</c:v>
                      </c:pt>
                      <c:pt idx="112">
                        <c:v>44259</c:v>
                      </c:pt>
                      <c:pt idx="113">
                        <c:v>44260</c:v>
                      </c:pt>
                      <c:pt idx="114">
                        <c:v>44263</c:v>
                      </c:pt>
                      <c:pt idx="115">
                        <c:v>44264</c:v>
                      </c:pt>
                      <c:pt idx="116">
                        <c:v>44265</c:v>
                      </c:pt>
                      <c:pt idx="117">
                        <c:v>44266</c:v>
                      </c:pt>
                      <c:pt idx="118">
                        <c:v>44267</c:v>
                      </c:pt>
                      <c:pt idx="119">
                        <c:v>44270</c:v>
                      </c:pt>
                      <c:pt idx="120">
                        <c:v>44271</c:v>
                      </c:pt>
                      <c:pt idx="121">
                        <c:v>44272</c:v>
                      </c:pt>
                      <c:pt idx="122">
                        <c:v>44273</c:v>
                      </c:pt>
                      <c:pt idx="123">
                        <c:v>44274</c:v>
                      </c:pt>
                      <c:pt idx="124">
                        <c:v>44277</c:v>
                      </c:pt>
                      <c:pt idx="125">
                        <c:v>44278</c:v>
                      </c:pt>
                      <c:pt idx="126">
                        <c:v>44279</c:v>
                      </c:pt>
                      <c:pt idx="127">
                        <c:v>44280</c:v>
                      </c:pt>
                      <c:pt idx="128">
                        <c:v>44281</c:v>
                      </c:pt>
                      <c:pt idx="129">
                        <c:v>44284</c:v>
                      </c:pt>
                      <c:pt idx="130">
                        <c:v>44285</c:v>
                      </c:pt>
                      <c:pt idx="131">
                        <c:v>44286</c:v>
                      </c:pt>
                      <c:pt idx="132">
                        <c:v>44287</c:v>
                      </c:pt>
                      <c:pt idx="133">
                        <c:v>44288</c:v>
                      </c:pt>
                      <c:pt idx="134">
                        <c:v>44291</c:v>
                      </c:pt>
                      <c:pt idx="135">
                        <c:v>44292</c:v>
                      </c:pt>
                      <c:pt idx="136">
                        <c:v>44293</c:v>
                      </c:pt>
                      <c:pt idx="137">
                        <c:v>44294</c:v>
                      </c:pt>
                      <c:pt idx="138">
                        <c:v>44295</c:v>
                      </c:pt>
                      <c:pt idx="139">
                        <c:v>44298</c:v>
                      </c:pt>
                      <c:pt idx="140">
                        <c:v>44299</c:v>
                      </c:pt>
                      <c:pt idx="141">
                        <c:v>44300</c:v>
                      </c:pt>
                      <c:pt idx="142">
                        <c:v>44301</c:v>
                      </c:pt>
                      <c:pt idx="143">
                        <c:v>44302</c:v>
                      </c:pt>
                      <c:pt idx="144">
                        <c:v>44305</c:v>
                      </c:pt>
                      <c:pt idx="145">
                        <c:v>44306</c:v>
                      </c:pt>
                      <c:pt idx="146">
                        <c:v>44307</c:v>
                      </c:pt>
                      <c:pt idx="147">
                        <c:v>44308</c:v>
                      </c:pt>
                      <c:pt idx="148">
                        <c:v>44309</c:v>
                      </c:pt>
                      <c:pt idx="149">
                        <c:v>44311</c:v>
                      </c:pt>
                      <c:pt idx="150">
                        <c:v>44312</c:v>
                      </c:pt>
                      <c:pt idx="151">
                        <c:v>44313</c:v>
                      </c:pt>
                      <c:pt idx="152">
                        <c:v>44314</c:v>
                      </c:pt>
                      <c:pt idx="153">
                        <c:v>44315</c:v>
                      </c:pt>
                      <c:pt idx="154">
                        <c:v>44316</c:v>
                      </c:pt>
                      <c:pt idx="155">
                        <c:v>44319</c:v>
                      </c:pt>
                      <c:pt idx="156">
                        <c:v>44320</c:v>
                      </c:pt>
                      <c:pt idx="157">
                        <c:v>44321</c:v>
                      </c:pt>
                      <c:pt idx="158">
                        <c:v>44322</c:v>
                      </c:pt>
                      <c:pt idx="159">
                        <c:v>44323</c:v>
                      </c:pt>
                      <c:pt idx="160">
                        <c:v>44326</c:v>
                      </c:pt>
                      <c:pt idx="161">
                        <c:v>44327</c:v>
                      </c:pt>
                      <c:pt idx="162">
                        <c:v>44328</c:v>
                      </c:pt>
                      <c:pt idx="163">
                        <c:v>44329</c:v>
                      </c:pt>
                      <c:pt idx="164">
                        <c:v>44330</c:v>
                      </c:pt>
                      <c:pt idx="165">
                        <c:v>44333</c:v>
                      </c:pt>
                      <c:pt idx="166">
                        <c:v>44334</c:v>
                      </c:pt>
                      <c:pt idx="167">
                        <c:v>44335</c:v>
                      </c:pt>
                      <c:pt idx="168">
                        <c:v>44336</c:v>
                      </c:pt>
                      <c:pt idx="169">
                        <c:v>44337</c:v>
                      </c:pt>
                      <c:pt idx="170">
                        <c:v>44340</c:v>
                      </c:pt>
                      <c:pt idx="171">
                        <c:v>44341</c:v>
                      </c:pt>
                      <c:pt idx="172">
                        <c:v>44342</c:v>
                      </c:pt>
                      <c:pt idx="173">
                        <c:v>44343</c:v>
                      </c:pt>
                      <c:pt idx="174">
                        <c:v>44344</c:v>
                      </c:pt>
                      <c:pt idx="175">
                        <c:v>44347</c:v>
                      </c:pt>
                      <c:pt idx="176">
                        <c:v>44348</c:v>
                      </c:pt>
                      <c:pt idx="177">
                        <c:v>44349</c:v>
                      </c:pt>
                      <c:pt idx="178">
                        <c:v>44350</c:v>
                      </c:pt>
                      <c:pt idx="179">
                        <c:v>44351</c:v>
                      </c:pt>
                      <c:pt idx="180">
                        <c:v>44354</c:v>
                      </c:pt>
                      <c:pt idx="181">
                        <c:v>44355</c:v>
                      </c:pt>
                      <c:pt idx="182">
                        <c:v>44356</c:v>
                      </c:pt>
                      <c:pt idx="183">
                        <c:v>44357</c:v>
                      </c:pt>
                      <c:pt idx="184">
                        <c:v>44358</c:v>
                      </c:pt>
                      <c:pt idx="185">
                        <c:v>44361</c:v>
                      </c:pt>
                      <c:pt idx="186">
                        <c:v>44362</c:v>
                      </c:pt>
                      <c:pt idx="187">
                        <c:v>44363</c:v>
                      </c:pt>
                      <c:pt idx="188">
                        <c:v>44364</c:v>
                      </c:pt>
                      <c:pt idx="189">
                        <c:v>44365</c:v>
                      </c:pt>
                      <c:pt idx="190">
                        <c:v>44368</c:v>
                      </c:pt>
                      <c:pt idx="191">
                        <c:v>44369</c:v>
                      </c:pt>
                      <c:pt idx="192">
                        <c:v>44370</c:v>
                      </c:pt>
                      <c:pt idx="193">
                        <c:v>44371</c:v>
                      </c:pt>
                      <c:pt idx="194">
                        <c:v>44372</c:v>
                      </c:pt>
                      <c:pt idx="195">
                        <c:v>44375</c:v>
                      </c:pt>
                      <c:pt idx="196">
                        <c:v>44376</c:v>
                      </c:pt>
                      <c:pt idx="197">
                        <c:v>44377</c:v>
                      </c:pt>
                      <c:pt idx="198">
                        <c:v>44378</c:v>
                      </c:pt>
                      <c:pt idx="199">
                        <c:v>44379</c:v>
                      </c:pt>
                      <c:pt idx="200">
                        <c:v>44382</c:v>
                      </c:pt>
                      <c:pt idx="201">
                        <c:v>44383</c:v>
                      </c:pt>
                      <c:pt idx="202">
                        <c:v>44384</c:v>
                      </c:pt>
                      <c:pt idx="203">
                        <c:v>44385</c:v>
                      </c:pt>
                      <c:pt idx="204">
                        <c:v>44386</c:v>
                      </c:pt>
                      <c:pt idx="205">
                        <c:v>44389</c:v>
                      </c:pt>
                      <c:pt idx="206">
                        <c:v>44390</c:v>
                      </c:pt>
                      <c:pt idx="207">
                        <c:v>44391</c:v>
                      </c:pt>
                      <c:pt idx="208">
                        <c:v>44392</c:v>
                      </c:pt>
                      <c:pt idx="209">
                        <c:v>44393</c:v>
                      </c:pt>
                      <c:pt idx="210">
                        <c:v>44396</c:v>
                      </c:pt>
                      <c:pt idx="211">
                        <c:v>44397</c:v>
                      </c:pt>
                      <c:pt idx="212">
                        <c:v>44398</c:v>
                      </c:pt>
                      <c:pt idx="213">
                        <c:v>44399</c:v>
                      </c:pt>
                      <c:pt idx="214">
                        <c:v>44400</c:v>
                      </c:pt>
                      <c:pt idx="215">
                        <c:v>44403</c:v>
                      </c:pt>
                      <c:pt idx="216">
                        <c:v>44404</c:v>
                      </c:pt>
                      <c:pt idx="217">
                        <c:v>44405</c:v>
                      </c:pt>
                      <c:pt idx="218">
                        <c:v>44406</c:v>
                      </c:pt>
                      <c:pt idx="219">
                        <c:v>44407</c:v>
                      </c:pt>
                      <c:pt idx="220">
                        <c:v>44410</c:v>
                      </c:pt>
                      <c:pt idx="221">
                        <c:v>44411</c:v>
                      </c:pt>
                      <c:pt idx="222">
                        <c:v>44412</c:v>
                      </c:pt>
                      <c:pt idx="223">
                        <c:v>44413</c:v>
                      </c:pt>
                      <c:pt idx="224">
                        <c:v>44414</c:v>
                      </c:pt>
                      <c:pt idx="225">
                        <c:v>44417</c:v>
                      </c:pt>
                      <c:pt idx="226">
                        <c:v>44418</c:v>
                      </c:pt>
                      <c:pt idx="227">
                        <c:v>44419</c:v>
                      </c:pt>
                      <c:pt idx="228">
                        <c:v>44420</c:v>
                      </c:pt>
                      <c:pt idx="229">
                        <c:v>44421</c:v>
                      </c:pt>
                      <c:pt idx="230">
                        <c:v>44424</c:v>
                      </c:pt>
                      <c:pt idx="231">
                        <c:v>44425</c:v>
                      </c:pt>
                      <c:pt idx="232">
                        <c:v>44426</c:v>
                      </c:pt>
                      <c:pt idx="233">
                        <c:v>44427</c:v>
                      </c:pt>
                      <c:pt idx="234">
                        <c:v>44428</c:v>
                      </c:pt>
                      <c:pt idx="235">
                        <c:v>44431</c:v>
                      </c:pt>
                      <c:pt idx="236">
                        <c:v>44432</c:v>
                      </c:pt>
                      <c:pt idx="237">
                        <c:v>44433</c:v>
                      </c:pt>
                      <c:pt idx="238">
                        <c:v>44434</c:v>
                      </c:pt>
                      <c:pt idx="239">
                        <c:v>44435</c:v>
                      </c:pt>
                      <c:pt idx="240">
                        <c:v>44438</c:v>
                      </c:pt>
                      <c:pt idx="241">
                        <c:v>44439</c:v>
                      </c:pt>
                      <c:pt idx="242">
                        <c:v>44440</c:v>
                      </c:pt>
                      <c:pt idx="243">
                        <c:v>44441</c:v>
                      </c:pt>
                      <c:pt idx="244">
                        <c:v>44442</c:v>
                      </c:pt>
                      <c:pt idx="245">
                        <c:v>44445</c:v>
                      </c:pt>
                      <c:pt idx="246">
                        <c:v>44446</c:v>
                      </c:pt>
                      <c:pt idx="247">
                        <c:v>44447</c:v>
                      </c:pt>
                      <c:pt idx="248">
                        <c:v>44448</c:v>
                      </c:pt>
                      <c:pt idx="249">
                        <c:v>44449</c:v>
                      </c:pt>
                      <c:pt idx="250">
                        <c:v>44452</c:v>
                      </c:pt>
                      <c:pt idx="251">
                        <c:v>44453</c:v>
                      </c:pt>
                      <c:pt idx="252">
                        <c:v>44454</c:v>
                      </c:pt>
                      <c:pt idx="253">
                        <c:v>44455</c:v>
                      </c:pt>
                      <c:pt idx="254">
                        <c:v>44456</c:v>
                      </c:pt>
                      <c:pt idx="255">
                        <c:v>44459</c:v>
                      </c:pt>
                      <c:pt idx="256">
                        <c:v>44460</c:v>
                      </c:pt>
                      <c:pt idx="257">
                        <c:v>44461</c:v>
                      </c:pt>
                      <c:pt idx="258">
                        <c:v>44462</c:v>
                      </c:pt>
                      <c:pt idx="259">
                        <c:v>44463</c:v>
                      </c:pt>
                      <c:pt idx="260">
                        <c:v>44466</c:v>
                      </c:pt>
                      <c:pt idx="261">
                        <c:v>44467</c:v>
                      </c:pt>
                      <c:pt idx="262">
                        <c:v>44468</c:v>
                      </c:pt>
                      <c:pt idx="263">
                        <c:v>44469</c:v>
                      </c:pt>
                      <c:pt idx="264">
                        <c:v>44470</c:v>
                      </c:pt>
                      <c:pt idx="265">
                        <c:v>44473</c:v>
                      </c:pt>
                      <c:pt idx="266">
                        <c:v>44474</c:v>
                      </c:pt>
                      <c:pt idx="267">
                        <c:v>44475</c:v>
                      </c:pt>
                      <c:pt idx="268">
                        <c:v>44476</c:v>
                      </c:pt>
                      <c:pt idx="269">
                        <c:v>44477</c:v>
                      </c:pt>
                      <c:pt idx="270">
                        <c:v>44480</c:v>
                      </c:pt>
                      <c:pt idx="271">
                        <c:v>44481</c:v>
                      </c:pt>
                      <c:pt idx="272">
                        <c:v>44482</c:v>
                      </c:pt>
                      <c:pt idx="273">
                        <c:v>44483</c:v>
                      </c:pt>
                      <c:pt idx="274">
                        <c:v>44484</c:v>
                      </c:pt>
                      <c:pt idx="275">
                        <c:v>44487</c:v>
                      </c:pt>
                      <c:pt idx="276">
                        <c:v>44488</c:v>
                      </c:pt>
                      <c:pt idx="277">
                        <c:v>44489</c:v>
                      </c:pt>
                      <c:pt idx="278">
                        <c:v>44490</c:v>
                      </c:pt>
                      <c:pt idx="279">
                        <c:v>44491</c:v>
                      </c:pt>
                      <c:pt idx="280">
                        <c:v>44494</c:v>
                      </c:pt>
                      <c:pt idx="281">
                        <c:v>44495</c:v>
                      </c:pt>
                      <c:pt idx="282">
                        <c:v>44496</c:v>
                      </c:pt>
                      <c:pt idx="283">
                        <c:v>44497</c:v>
                      </c:pt>
                      <c:pt idx="284">
                        <c:v>44498</c:v>
                      </c:pt>
                      <c:pt idx="285">
                        <c:v>44501</c:v>
                      </c:pt>
                    </c:numCache>
                  </c:numRef>
                </c:cat>
                <c:val>
                  <c:numRef>
                    <c:extLst xmlns:c15="http://schemas.microsoft.com/office/drawing/2012/chart">
                      <c:ext xmlns:c15="http://schemas.microsoft.com/office/drawing/2012/chart" uri="{02D57815-91ED-43cb-92C2-25804820EDAC}">
                        <c15:formulaRef>
                          <c15:sqref>'Currency Chart'!$X$6:$X$291</c15:sqref>
                        </c15:formulaRef>
                      </c:ext>
                    </c:extLst>
                    <c:numCache>
                      <c:formatCode>0</c:formatCode>
                      <c:ptCount val="286"/>
                      <c:pt idx="0" formatCode="General">
                        <c:v>100</c:v>
                      </c:pt>
                      <c:pt idx="1">
                        <c:v>100.04741583688951</c:v>
                      </c:pt>
                      <c:pt idx="2">
                        <c:v>99.886201991465143</c:v>
                      </c:pt>
                      <c:pt idx="3">
                        <c:v>100.2560455192034</c:v>
                      </c:pt>
                      <c:pt idx="4">
                        <c:v>100.16121384542437</c:v>
                      </c:pt>
                      <c:pt idx="5">
                        <c:v>100.4836415362731</c:v>
                      </c:pt>
                      <c:pt idx="6">
                        <c:v>100.53105737316262</c:v>
                      </c:pt>
                      <c:pt idx="7">
                        <c:v>100.13276434329065</c:v>
                      </c:pt>
                      <c:pt idx="8">
                        <c:v>99.857752489331418</c:v>
                      </c:pt>
                      <c:pt idx="9">
                        <c:v>100.01896633475579</c:v>
                      </c:pt>
                      <c:pt idx="10">
                        <c:v>99.715504978662864</c:v>
                      </c:pt>
                      <c:pt idx="11">
                        <c:v>99.990516832622077</c:v>
                      </c:pt>
                      <c:pt idx="12">
                        <c:v>99.952584163110473</c:v>
                      </c:pt>
                      <c:pt idx="13">
                        <c:v>99.971550497866289</c:v>
                      </c:pt>
                      <c:pt idx="14">
                        <c:v>100.03793266951162</c:v>
                      </c:pt>
                      <c:pt idx="15">
                        <c:v>99.155998103366542</c:v>
                      </c:pt>
                      <c:pt idx="16">
                        <c:v>99.402560455192031</c:v>
                      </c:pt>
                      <c:pt idx="17">
                        <c:v>99.27927927927928</c:v>
                      </c:pt>
                      <c:pt idx="18">
                        <c:v>99.402560455192031</c:v>
                      </c:pt>
                      <c:pt idx="19">
                        <c:v>99.004267425320066</c:v>
                      </c:pt>
                      <c:pt idx="20">
                        <c:v>98.899952584163117</c:v>
                      </c:pt>
                      <c:pt idx="21">
                        <c:v>99.203413940256041</c:v>
                      </c:pt>
                      <c:pt idx="22">
                        <c:v>99.231863442389752</c:v>
                      </c:pt>
                      <c:pt idx="23">
                        <c:v>99.298245614035082</c:v>
                      </c:pt>
                      <c:pt idx="24">
                        <c:v>99.061166429587473</c:v>
                      </c:pt>
                      <c:pt idx="25">
                        <c:v>99.08013276434329</c:v>
                      </c:pt>
                      <c:pt idx="26">
                        <c:v>98.122332859174961</c:v>
                      </c:pt>
                      <c:pt idx="27">
                        <c:v>97.989568515884301</c:v>
                      </c:pt>
                      <c:pt idx="28">
                        <c:v>99.914651493598853</c:v>
                      </c:pt>
                      <c:pt idx="29">
                        <c:v>99.838786154575615</c:v>
                      </c:pt>
                      <c:pt idx="30">
                        <c:v>99.971550497866275</c:v>
                      </c:pt>
                      <c:pt idx="31">
                        <c:v>99.687055476529153</c:v>
                      </c:pt>
                      <c:pt idx="32">
                        <c:v>99.21289710763395</c:v>
                      </c:pt>
                      <c:pt idx="33">
                        <c:v>99.155998103366528</c:v>
                      </c:pt>
                      <c:pt idx="34">
                        <c:v>98.78615457562826</c:v>
                      </c:pt>
                      <c:pt idx="35">
                        <c:v>98.463726884779518</c:v>
                      </c:pt>
                      <c:pt idx="36">
                        <c:v>98.359412043622569</c:v>
                      </c:pt>
                      <c:pt idx="37">
                        <c:v>98.482693219535307</c:v>
                      </c:pt>
                      <c:pt idx="38">
                        <c:v>99.137031768610697</c:v>
                      </c:pt>
                      <c:pt idx="39">
                        <c:v>99.032716927453748</c:v>
                      </c:pt>
                      <c:pt idx="40">
                        <c:v>99.051683262209551</c:v>
                      </c:pt>
                      <c:pt idx="41">
                        <c:v>98.862019914651469</c:v>
                      </c:pt>
                      <c:pt idx="42">
                        <c:v>98.719772403982901</c:v>
                      </c:pt>
                      <c:pt idx="43">
                        <c:v>98.880986249407272</c:v>
                      </c:pt>
                      <c:pt idx="44">
                        <c:v>98.909435751540983</c:v>
                      </c:pt>
                      <c:pt idx="45">
                        <c:v>99.004267425320023</c:v>
                      </c:pt>
                      <c:pt idx="46">
                        <c:v>98.463726884779476</c:v>
                      </c:pt>
                      <c:pt idx="47">
                        <c:v>98.757705073494492</c:v>
                      </c:pt>
                      <c:pt idx="48">
                        <c:v>98.681839734471268</c:v>
                      </c:pt>
                      <c:pt idx="49">
                        <c:v>98.7671882408724</c:v>
                      </c:pt>
                      <c:pt idx="50">
                        <c:v>98.824087245139808</c:v>
                      </c:pt>
                      <c:pt idx="51">
                        <c:v>98.814604077761913</c:v>
                      </c:pt>
                      <c:pt idx="52">
                        <c:v>98.63442389758174</c:v>
                      </c:pt>
                      <c:pt idx="53">
                        <c:v>98.653390232337529</c:v>
                      </c:pt>
                      <c:pt idx="54">
                        <c:v>98.302513039355077</c:v>
                      </c:pt>
                      <c:pt idx="55">
                        <c:v>98.131816026552812</c:v>
                      </c:pt>
                      <c:pt idx="56">
                        <c:v>97.771455666192438</c:v>
                      </c:pt>
                      <c:pt idx="57">
                        <c:v>97.970602181128442</c:v>
                      </c:pt>
                      <c:pt idx="58">
                        <c:v>97.961119013750533</c:v>
                      </c:pt>
                      <c:pt idx="59">
                        <c:v>98.27406353722138</c:v>
                      </c:pt>
                      <c:pt idx="60">
                        <c:v>98.198198198198156</c:v>
                      </c:pt>
                      <c:pt idx="61">
                        <c:v>98.274063537221394</c:v>
                      </c:pt>
                      <c:pt idx="62">
                        <c:v>98.131816026552841</c:v>
                      </c:pt>
                      <c:pt idx="63">
                        <c:v>98.416311047889963</c:v>
                      </c:pt>
                      <c:pt idx="64">
                        <c:v>98.207681365576079</c:v>
                      </c:pt>
                      <c:pt idx="65">
                        <c:v>97.837837837837824</c:v>
                      </c:pt>
                      <c:pt idx="66">
                        <c:v>97.904220009483154</c:v>
                      </c:pt>
                      <c:pt idx="67">
                        <c:v>97.866287339971549</c:v>
                      </c:pt>
                      <c:pt idx="68">
                        <c:v>97.771455666192495</c:v>
                      </c:pt>
                      <c:pt idx="69">
                        <c:v>97.411095305832148</c:v>
                      </c:pt>
                      <c:pt idx="70">
                        <c:v>97.714556661925101</c:v>
                      </c:pt>
                      <c:pt idx="71">
                        <c:v>98.435277382645822</c:v>
                      </c:pt>
                      <c:pt idx="72">
                        <c:v>98.558558558558573</c:v>
                      </c:pt>
                      <c:pt idx="73">
                        <c:v>98.852536747273604</c:v>
                      </c:pt>
                      <c:pt idx="74">
                        <c:v>98.387861545756309</c:v>
                      </c:pt>
                      <c:pt idx="75">
                        <c:v>98.482693219535335</c:v>
                      </c:pt>
                      <c:pt idx="76">
                        <c:v>98.425794215267914</c:v>
                      </c:pt>
                      <c:pt idx="77">
                        <c:v>98.501659554291138</c:v>
                      </c:pt>
                      <c:pt idx="78">
                        <c:v>98.330962541488859</c:v>
                      </c:pt>
                      <c:pt idx="79">
                        <c:v>98.52062588904694</c:v>
                      </c:pt>
                      <c:pt idx="80">
                        <c:v>98.169748696064474</c:v>
                      </c:pt>
                      <c:pt idx="81">
                        <c:v>98.131816026552869</c:v>
                      </c:pt>
                      <c:pt idx="82">
                        <c:v>98.406827880512083</c:v>
                      </c:pt>
                      <c:pt idx="83">
                        <c:v>98.368895211000478</c:v>
                      </c:pt>
                      <c:pt idx="84">
                        <c:v>98.245614035087712</c:v>
                      </c:pt>
                      <c:pt idx="85">
                        <c:v>98.710289236605021</c:v>
                      </c:pt>
                      <c:pt idx="86">
                        <c:v>98.824087245139864</c:v>
                      </c:pt>
                      <c:pt idx="87">
                        <c:v>99.269796111901371</c:v>
                      </c:pt>
                      <c:pt idx="88">
                        <c:v>99.487908961593149</c:v>
                      </c:pt>
                      <c:pt idx="89">
                        <c:v>99.544807965860571</c:v>
                      </c:pt>
                      <c:pt idx="90">
                        <c:v>99.582740635372204</c:v>
                      </c:pt>
                      <c:pt idx="91">
                        <c:v>100.08534850640113</c:v>
                      </c:pt>
                      <c:pt idx="92">
                        <c:v>99.914651493598853</c:v>
                      </c:pt>
                      <c:pt idx="93">
                        <c:v>99.781887150308194</c:v>
                      </c:pt>
                      <c:pt idx="94">
                        <c:v>99.165481270744408</c:v>
                      </c:pt>
                      <c:pt idx="95">
                        <c:v>99.165481270744408</c:v>
                      </c:pt>
                      <c:pt idx="96">
                        <c:v>99.307728781412976</c:v>
                      </c:pt>
                      <c:pt idx="97">
                        <c:v>99.50687529634898</c:v>
                      </c:pt>
                      <c:pt idx="98">
                        <c:v>99.914651493598839</c:v>
                      </c:pt>
                      <c:pt idx="99">
                        <c:v>100.55950687529632</c:v>
                      </c:pt>
                      <c:pt idx="100">
                        <c:v>100.37932669511613</c:v>
                      </c:pt>
                      <c:pt idx="101">
                        <c:v>100.19914651493596</c:v>
                      </c:pt>
                      <c:pt idx="102">
                        <c:v>99.981033665244183</c:v>
                      </c:pt>
                      <c:pt idx="103">
                        <c:v>99.981033665244183</c:v>
                      </c:pt>
                      <c:pt idx="104">
                        <c:v>99.630156472261717</c:v>
                      </c:pt>
                      <c:pt idx="105">
                        <c:v>99.800853485063982</c:v>
                      </c:pt>
                      <c:pt idx="106">
                        <c:v>100.38880986249404</c:v>
                      </c:pt>
                      <c:pt idx="107">
                        <c:v>100.72072072072068</c:v>
                      </c:pt>
                      <c:pt idx="108">
                        <c:v>101.07159791370314</c:v>
                      </c:pt>
                      <c:pt idx="109">
                        <c:v>101.23281175912751</c:v>
                      </c:pt>
                      <c:pt idx="110">
                        <c:v>101.15694642010429</c:v>
                      </c:pt>
                      <c:pt idx="111">
                        <c:v>101.46040777619723</c:v>
                      </c:pt>
                      <c:pt idx="112">
                        <c:v>102.38975817923185</c:v>
                      </c:pt>
                      <c:pt idx="113">
                        <c:v>102.74063537221431</c:v>
                      </c:pt>
                      <c:pt idx="114">
                        <c:v>103.23376007586533</c:v>
                      </c:pt>
                      <c:pt idx="115">
                        <c:v>102.85443338074916</c:v>
                      </c:pt>
                      <c:pt idx="116">
                        <c:v>102.77856804172593</c:v>
                      </c:pt>
                      <c:pt idx="117">
                        <c:v>102.88288288288288</c:v>
                      </c:pt>
                      <c:pt idx="118">
                        <c:v>103.36652441915599</c:v>
                      </c:pt>
                      <c:pt idx="119">
                        <c:v>103.48032242769085</c:v>
                      </c:pt>
                      <c:pt idx="120">
                        <c:v>103.34755808440019</c:v>
                      </c:pt>
                      <c:pt idx="121">
                        <c:v>103.20531057373162</c:v>
                      </c:pt>
                      <c:pt idx="122">
                        <c:v>103.25272641062115</c:v>
                      </c:pt>
                      <c:pt idx="123">
                        <c:v>103.24324324324326</c:v>
                      </c:pt>
                      <c:pt idx="124">
                        <c:v>103.20531057373162</c:v>
                      </c:pt>
                      <c:pt idx="125">
                        <c:v>102.94926505452821</c:v>
                      </c:pt>
                      <c:pt idx="126">
                        <c:v>103.10099573257467</c:v>
                      </c:pt>
                      <c:pt idx="127">
                        <c:v>103.52773826458038</c:v>
                      </c:pt>
                      <c:pt idx="128">
                        <c:v>103.97344713134187</c:v>
                      </c:pt>
                      <c:pt idx="129">
                        <c:v>104.10621147463253</c:v>
                      </c:pt>
                      <c:pt idx="130">
                        <c:v>104.63726884779517</c:v>
                      </c:pt>
                      <c:pt idx="131">
                        <c:v>104.97866287339973</c:v>
                      </c:pt>
                      <c:pt idx="132">
                        <c:v>104.88383119962069</c:v>
                      </c:pt>
                      <c:pt idx="133">
                        <c:v>104.98814604077765</c:v>
                      </c:pt>
                      <c:pt idx="134">
                        <c:v>104.47605500237083</c:v>
                      </c:pt>
                      <c:pt idx="135">
                        <c:v>104.06827880512094</c:v>
                      </c:pt>
                      <c:pt idx="136">
                        <c:v>104.16311047889999</c:v>
                      </c:pt>
                      <c:pt idx="137">
                        <c:v>103.59412043622574</c:v>
                      </c:pt>
                      <c:pt idx="138">
                        <c:v>103.98293029871982</c:v>
                      </c:pt>
                      <c:pt idx="139">
                        <c:v>103.7174016121385</c:v>
                      </c:pt>
                      <c:pt idx="140">
                        <c:v>103.41394025604555</c:v>
                      </c:pt>
                      <c:pt idx="141">
                        <c:v>103.28117591275489</c:v>
                      </c:pt>
                      <c:pt idx="142">
                        <c:v>103.11996206733052</c:v>
                      </c:pt>
                      <c:pt idx="143">
                        <c:v>103.14841156946424</c:v>
                      </c:pt>
                      <c:pt idx="144">
                        <c:v>102.5604551920342</c:v>
                      </c:pt>
                      <c:pt idx="145">
                        <c:v>102.49407302038885</c:v>
                      </c:pt>
                      <c:pt idx="146">
                        <c:v>102.46562351825514</c:v>
                      </c:pt>
                      <c:pt idx="147">
                        <c:v>102.38027501185401</c:v>
                      </c:pt>
                      <c:pt idx="148">
                        <c:v>102.3328591749645</c:v>
                      </c:pt>
                      <c:pt idx="149">
                        <c:v>102.3328591749645</c:v>
                      </c:pt>
                      <c:pt idx="150">
                        <c:v>102.49407302038887</c:v>
                      </c:pt>
                      <c:pt idx="151">
                        <c:v>103.06306306306313</c:v>
                      </c:pt>
                      <c:pt idx="152">
                        <c:v>102.97771455666198</c:v>
                      </c:pt>
                      <c:pt idx="153">
                        <c:v>103.2811759127549</c:v>
                      </c:pt>
                      <c:pt idx="154">
                        <c:v>103.62256993835946</c:v>
                      </c:pt>
                      <c:pt idx="155">
                        <c:v>103.42342342342347</c:v>
                      </c:pt>
                      <c:pt idx="156">
                        <c:v>103.67946894262688</c:v>
                      </c:pt>
                      <c:pt idx="157">
                        <c:v>103.53722143195833</c:v>
                      </c:pt>
                      <c:pt idx="158">
                        <c:v>103.44238975817927</c:v>
                      </c:pt>
                      <c:pt idx="159">
                        <c:v>102.98719772403987</c:v>
                      </c:pt>
                      <c:pt idx="160">
                        <c:v>103.15789473684217</c:v>
                      </c:pt>
                      <c:pt idx="161">
                        <c:v>102.9966808914178</c:v>
                      </c:pt>
                      <c:pt idx="162">
                        <c:v>103.98293029871984</c:v>
                      </c:pt>
                      <c:pt idx="163">
                        <c:v>103.79326695116174</c:v>
                      </c:pt>
                      <c:pt idx="164">
                        <c:v>103.68895211000479</c:v>
                      </c:pt>
                      <c:pt idx="165">
                        <c:v>103.54670459933622</c:v>
                      </c:pt>
                      <c:pt idx="166">
                        <c:v>103.25272641062118</c:v>
                      </c:pt>
                      <c:pt idx="167">
                        <c:v>103.56567093409201</c:v>
                      </c:pt>
                      <c:pt idx="168">
                        <c:v>103.12944523470843</c:v>
                      </c:pt>
                      <c:pt idx="169">
                        <c:v>103.30962541488861</c:v>
                      </c:pt>
                      <c:pt idx="170">
                        <c:v>103.11996206733053</c:v>
                      </c:pt>
                      <c:pt idx="171">
                        <c:v>103.13892840208636</c:v>
                      </c:pt>
                      <c:pt idx="172">
                        <c:v>103.49928876244671</c:v>
                      </c:pt>
                      <c:pt idx="173">
                        <c:v>104.12517780938839</c:v>
                      </c:pt>
                      <c:pt idx="174">
                        <c:v>104.1346609767663</c:v>
                      </c:pt>
                      <c:pt idx="175">
                        <c:v>103.87861545756289</c:v>
                      </c:pt>
                      <c:pt idx="176">
                        <c:v>103.79326695116174</c:v>
                      </c:pt>
                      <c:pt idx="177">
                        <c:v>103.87861545756289</c:v>
                      </c:pt>
                      <c:pt idx="178">
                        <c:v>104.58036984352779</c:v>
                      </c:pt>
                      <c:pt idx="179">
                        <c:v>103.83119962067336</c:v>
                      </c:pt>
                      <c:pt idx="180">
                        <c:v>103.59412043622575</c:v>
                      </c:pt>
                      <c:pt idx="181">
                        <c:v>103.83119962067335</c:v>
                      </c:pt>
                      <c:pt idx="182">
                        <c:v>103.94499762920819</c:v>
                      </c:pt>
                      <c:pt idx="183">
                        <c:v>103.66050260787107</c:v>
                      </c:pt>
                      <c:pt idx="184">
                        <c:v>103.98293029871981</c:v>
                      </c:pt>
                      <c:pt idx="185">
                        <c:v>104.37174016121389</c:v>
                      </c:pt>
                      <c:pt idx="186">
                        <c:v>104.3812233285918</c:v>
                      </c:pt>
                      <c:pt idx="187">
                        <c:v>104.96917970602188</c:v>
                      </c:pt>
                      <c:pt idx="188">
                        <c:v>104.50450450450458</c:v>
                      </c:pt>
                      <c:pt idx="189">
                        <c:v>104.49502133712667</c:v>
                      </c:pt>
                      <c:pt idx="190">
                        <c:v>104.59933617828364</c:v>
                      </c:pt>
                      <c:pt idx="191">
                        <c:v>104.92176386913238</c:v>
                      </c:pt>
                      <c:pt idx="192">
                        <c:v>105.2062588904695</c:v>
                      </c:pt>
                      <c:pt idx="193">
                        <c:v>105.13039355144628</c:v>
                      </c:pt>
                      <c:pt idx="194">
                        <c:v>105.04504504504514</c:v>
                      </c:pt>
                      <c:pt idx="195">
                        <c:v>104.90279753437659</c:v>
                      </c:pt>
                      <c:pt idx="196">
                        <c:v>104.78899952584173</c:v>
                      </c:pt>
                      <c:pt idx="197">
                        <c:v>105.35798956851599</c:v>
                      </c:pt>
                      <c:pt idx="198">
                        <c:v>105.73731626363217</c:v>
                      </c:pt>
                      <c:pt idx="199">
                        <c:v>105.30109056424858</c:v>
                      </c:pt>
                      <c:pt idx="200">
                        <c:v>105.22522522522534</c:v>
                      </c:pt>
                      <c:pt idx="201">
                        <c:v>104.8838311996208</c:v>
                      </c:pt>
                      <c:pt idx="202">
                        <c:v>104.93124703651033</c:v>
                      </c:pt>
                      <c:pt idx="203">
                        <c:v>104.11569464201057</c:v>
                      </c:pt>
                      <c:pt idx="204">
                        <c:v>104.44760550023722</c:v>
                      </c:pt>
                      <c:pt idx="205">
                        <c:v>104.64675201517321</c:v>
                      </c:pt>
                      <c:pt idx="206">
                        <c:v>104.89331436699872</c:v>
                      </c:pt>
                      <c:pt idx="207">
                        <c:v>104.30535798956866</c:v>
                      </c:pt>
                      <c:pt idx="208">
                        <c:v>104.18207681365591</c:v>
                      </c:pt>
                      <c:pt idx="209">
                        <c:v>104.39070649596979</c:v>
                      </c:pt>
                      <c:pt idx="210">
                        <c:v>103.78378378378392</c:v>
                      </c:pt>
                      <c:pt idx="211">
                        <c:v>104.16311047890009</c:v>
                      </c:pt>
                      <c:pt idx="212">
                        <c:v>104.57088667614997</c:v>
                      </c:pt>
                      <c:pt idx="213">
                        <c:v>104.44760550023722</c:v>
                      </c:pt>
                      <c:pt idx="214">
                        <c:v>104.82693219535338</c:v>
                      </c:pt>
                      <c:pt idx="215">
                        <c:v>104.6372688477953</c:v>
                      </c:pt>
                      <c:pt idx="216">
                        <c:v>104.08724513987684</c:v>
                      </c:pt>
                      <c:pt idx="217">
                        <c:v>104.22000948316749</c:v>
                      </c:pt>
                      <c:pt idx="218">
                        <c:v>103.80275011853969</c:v>
                      </c:pt>
                      <c:pt idx="219">
                        <c:v>104.03034613560939</c:v>
                      </c:pt>
                      <c:pt idx="220">
                        <c:v>103.63205310573741</c:v>
                      </c:pt>
                      <c:pt idx="221">
                        <c:v>103.40445708866771</c:v>
                      </c:pt>
                      <c:pt idx="222">
                        <c:v>103.81223328591759</c:v>
                      </c:pt>
                      <c:pt idx="223">
                        <c:v>104.068278805121</c:v>
                      </c:pt>
                      <c:pt idx="224">
                        <c:v>104.55192034139411</c:v>
                      </c:pt>
                      <c:pt idx="225">
                        <c:v>104.58036984352782</c:v>
                      </c:pt>
                      <c:pt idx="226">
                        <c:v>104.84589853010914</c:v>
                      </c:pt>
                      <c:pt idx="227">
                        <c:v>104.69416785206268</c:v>
                      </c:pt>
                      <c:pt idx="228">
                        <c:v>104.67520151730686</c:v>
                      </c:pt>
                      <c:pt idx="229">
                        <c:v>103.90706495969663</c:v>
                      </c:pt>
                      <c:pt idx="230">
                        <c:v>103.58463726884789</c:v>
                      </c:pt>
                      <c:pt idx="231">
                        <c:v>103.90706495969661</c:v>
                      </c:pt>
                      <c:pt idx="232">
                        <c:v>104.06827880512097</c:v>
                      </c:pt>
                      <c:pt idx="233">
                        <c:v>104.04931247036517</c:v>
                      </c:pt>
                      <c:pt idx="234">
                        <c:v>104.12517780938839</c:v>
                      </c:pt>
                      <c:pt idx="235">
                        <c:v>104.01137980085355</c:v>
                      </c:pt>
                      <c:pt idx="236">
                        <c:v>103.95448079658613</c:v>
                      </c:pt>
                      <c:pt idx="237">
                        <c:v>104.30535798956856</c:v>
                      </c:pt>
                      <c:pt idx="238">
                        <c:v>104.3812233285918</c:v>
                      </c:pt>
                      <c:pt idx="239">
                        <c:v>104.14414414414419</c:v>
                      </c:pt>
                      <c:pt idx="240">
                        <c:v>104.23897581792325</c:v>
                      </c:pt>
                      <c:pt idx="241">
                        <c:v>104.3338074917023</c:v>
                      </c:pt>
                      <c:pt idx="242">
                        <c:v>104.30535798956859</c:v>
                      </c:pt>
                      <c:pt idx="243">
                        <c:v>104.23897581792328</c:v>
                      </c:pt>
                      <c:pt idx="244">
                        <c:v>104.05879563774309</c:v>
                      </c:pt>
                      <c:pt idx="245">
                        <c:v>104.15362731152213</c:v>
                      </c:pt>
                      <c:pt idx="246">
                        <c:v>104.57088667614991</c:v>
                      </c:pt>
                      <c:pt idx="247">
                        <c:v>104.53295400663829</c:v>
                      </c:pt>
                      <c:pt idx="248">
                        <c:v>104.03034613560936</c:v>
                      </c:pt>
                      <c:pt idx="249">
                        <c:v>104.24845898530116</c:v>
                      </c:pt>
                      <c:pt idx="250">
                        <c:v>104.29587482219068</c:v>
                      </c:pt>
                      <c:pt idx="251">
                        <c:v>104.00189663347565</c:v>
                      </c:pt>
                      <c:pt idx="252">
                        <c:v>103.70791844476062</c:v>
                      </c:pt>
                      <c:pt idx="253">
                        <c:v>104.03034613560936</c:v>
                      </c:pt>
                      <c:pt idx="254">
                        <c:v>104.27690848743487</c:v>
                      </c:pt>
                      <c:pt idx="255">
                        <c:v>103.73636794689433</c:v>
                      </c:pt>
                      <c:pt idx="256">
                        <c:v>103.56567093409205</c:v>
                      </c:pt>
                      <c:pt idx="257">
                        <c:v>104.1062114746326</c:v>
                      </c:pt>
                      <c:pt idx="258">
                        <c:v>104.59933617828362</c:v>
                      </c:pt>
                      <c:pt idx="259">
                        <c:v>104.99762920815559</c:v>
                      </c:pt>
                      <c:pt idx="260">
                        <c:v>105.26315789473692</c:v>
                      </c:pt>
                      <c:pt idx="261">
                        <c:v>105.73731626363212</c:v>
                      </c:pt>
                      <c:pt idx="262">
                        <c:v>106.17354196301571</c:v>
                      </c:pt>
                      <c:pt idx="263">
                        <c:v>105.51920341394032</c:v>
                      </c:pt>
                      <c:pt idx="264">
                        <c:v>105.31057373162642</c:v>
                      </c:pt>
                      <c:pt idx="265">
                        <c:v>105.13987671882415</c:v>
                      </c:pt>
                      <c:pt idx="266">
                        <c:v>105.6899004267426</c:v>
                      </c:pt>
                      <c:pt idx="267">
                        <c:v>105.65196775723098</c:v>
                      </c:pt>
                      <c:pt idx="268">
                        <c:v>105.82266477003327</c:v>
                      </c:pt>
                      <c:pt idx="269">
                        <c:v>106.42010431484124</c:v>
                      </c:pt>
                      <c:pt idx="270">
                        <c:v>107.4442863916549</c:v>
                      </c:pt>
                      <c:pt idx="271">
                        <c:v>107.72878141299203</c:v>
                      </c:pt>
                      <c:pt idx="272">
                        <c:v>107.37790422000958</c:v>
                      </c:pt>
                      <c:pt idx="273">
                        <c:v>107.78568041725946</c:v>
                      </c:pt>
                      <c:pt idx="274">
                        <c:v>108.29777145566628</c:v>
                      </c:pt>
                      <c:pt idx="275">
                        <c:v>108.40208629682323</c:v>
                      </c:pt>
                      <c:pt idx="276">
                        <c:v>108.44950213371274</c:v>
                      </c:pt>
                      <c:pt idx="277">
                        <c:v>108.3546704599337</c:v>
                      </c:pt>
                      <c:pt idx="278">
                        <c:v>108.07965860597447</c:v>
                      </c:pt>
                      <c:pt idx="279">
                        <c:v>107.59601706970135</c:v>
                      </c:pt>
                      <c:pt idx="280">
                        <c:v>107.82361308677105</c:v>
                      </c:pt>
                      <c:pt idx="281">
                        <c:v>108.24087245139883</c:v>
                      </c:pt>
                      <c:pt idx="282">
                        <c:v>107.927927927928</c:v>
                      </c:pt>
                      <c:pt idx="283">
                        <c:v>107.69084874348039</c:v>
                      </c:pt>
                      <c:pt idx="284">
                        <c:v>108.10810810810817</c:v>
                      </c:pt>
                    </c:numCache>
                  </c:numRef>
                </c:val>
                <c:smooth val="0"/>
                <c:extLst xmlns:c15="http://schemas.microsoft.com/office/drawing/2012/chart">
                  <c:ext xmlns:c16="http://schemas.microsoft.com/office/drawing/2014/chart" uri="{C3380CC4-5D6E-409C-BE32-E72D297353CC}">
                    <c16:uniqueId val="{0000000A-61DB-4070-8C60-273A3892C606}"/>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'Currency Chart'!$Y$5</c15:sqref>
                        </c15:formulaRef>
                      </c:ext>
                    </c:extLst>
                    <c:strCache>
                      <c:ptCount val="1"/>
                      <c:pt idx="0">
                        <c:v>Swiss Franc</c:v>
                      </c:pt>
                    </c:strCache>
                  </c:strRef>
                </c:tx>
                <c:spPr>
                  <a:ln w="28575" cap="rnd">
                    <a:solidFill>
                      <a:schemeClr val="accent4">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'Currency Chart'!$O$6:$O$291</c15:sqref>
                        </c15:formulaRef>
                      </c:ext>
                    </c:extLst>
                    <c:numCache>
                      <c:formatCode>m/d/yyyy</c:formatCode>
                      <c:ptCount val="286"/>
                      <c:pt idx="0">
                        <c:v>44104</c:v>
                      </c:pt>
                      <c:pt idx="1">
                        <c:v>44105</c:v>
                      </c:pt>
                      <c:pt idx="2">
                        <c:v>44106</c:v>
                      </c:pt>
                      <c:pt idx="3">
                        <c:v>44109</c:v>
                      </c:pt>
                      <c:pt idx="4">
                        <c:v>44110</c:v>
                      </c:pt>
                      <c:pt idx="5">
                        <c:v>44111</c:v>
                      </c:pt>
                      <c:pt idx="6">
                        <c:v>44112</c:v>
                      </c:pt>
                      <c:pt idx="7">
                        <c:v>44113</c:v>
                      </c:pt>
                      <c:pt idx="8">
                        <c:v>44116</c:v>
                      </c:pt>
                      <c:pt idx="9">
                        <c:v>44117</c:v>
                      </c:pt>
                      <c:pt idx="10">
                        <c:v>44118</c:v>
                      </c:pt>
                      <c:pt idx="11">
                        <c:v>44119</c:v>
                      </c:pt>
                      <c:pt idx="12">
                        <c:v>44120</c:v>
                      </c:pt>
                      <c:pt idx="13">
                        <c:v>44123</c:v>
                      </c:pt>
                      <c:pt idx="14">
                        <c:v>44124</c:v>
                      </c:pt>
                      <c:pt idx="15">
                        <c:v>44125</c:v>
                      </c:pt>
                      <c:pt idx="16">
                        <c:v>44126</c:v>
                      </c:pt>
                      <c:pt idx="17">
                        <c:v>44127</c:v>
                      </c:pt>
                      <c:pt idx="18">
                        <c:v>44130</c:v>
                      </c:pt>
                      <c:pt idx="19">
                        <c:v>44131</c:v>
                      </c:pt>
                      <c:pt idx="20">
                        <c:v>44132</c:v>
                      </c:pt>
                      <c:pt idx="21">
                        <c:v>44133</c:v>
                      </c:pt>
                      <c:pt idx="22">
                        <c:v>44134</c:v>
                      </c:pt>
                      <c:pt idx="23">
                        <c:v>44137</c:v>
                      </c:pt>
                      <c:pt idx="24">
                        <c:v>44138</c:v>
                      </c:pt>
                      <c:pt idx="25">
                        <c:v>44139</c:v>
                      </c:pt>
                      <c:pt idx="26">
                        <c:v>44140</c:v>
                      </c:pt>
                      <c:pt idx="27">
                        <c:v>44141</c:v>
                      </c:pt>
                      <c:pt idx="28">
                        <c:v>44144</c:v>
                      </c:pt>
                      <c:pt idx="29">
                        <c:v>44145</c:v>
                      </c:pt>
                      <c:pt idx="30">
                        <c:v>44146</c:v>
                      </c:pt>
                      <c:pt idx="31">
                        <c:v>44147</c:v>
                      </c:pt>
                      <c:pt idx="32">
                        <c:v>44148</c:v>
                      </c:pt>
                      <c:pt idx="33">
                        <c:v>44151</c:v>
                      </c:pt>
                      <c:pt idx="34">
                        <c:v>44152</c:v>
                      </c:pt>
                      <c:pt idx="35">
                        <c:v>44153</c:v>
                      </c:pt>
                      <c:pt idx="36">
                        <c:v>44154</c:v>
                      </c:pt>
                      <c:pt idx="37">
                        <c:v>44155</c:v>
                      </c:pt>
                      <c:pt idx="38">
                        <c:v>44158</c:v>
                      </c:pt>
                      <c:pt idx="39">
                        <c:v>44159</c:v>
                      </c:pt>
                      <c:pt idx="40">
                        <c:v>44160</c:v>
                      </c:pt>
                      <c:pt idx="41">
                        <c:v>44161</c:v>
                      </c:pt>
                      <c:pt idx="42">
                        <c:v>44162</c:v>
                      </c:pt>
                      <c:pt idx="43">
                        <c:v>44165</c:v>
                      </c:pt>
                      <c:pt idx="44">
                        <c:v>44166</c:v>
                      </c:pt>
                      <c:pt idx="45">
                        <c:v>44167</c:v>
                      </c:pt>
                      <c:pt idx="46">
                        <c:v>44168</c:v>
                      </c:pt>
                      <c:pt idx="47">
                        <c:v>44169</c:v>
                      </c:pt>
                      <c:pt idx="48">
                        <c:v>44172</c:v>
                      </c:pt>
                      <c:pt idx="49">
                        <c:v>44173</c:v>
                      </c:pt>
                      <c:pt idx="50">
                        <c:v>44174</c:v>
                      </c:pt>
                      <c:pt idx="51">
                        <c:v>44175</c:v>
                      </c:pt>
                      <c:pt idx="52">
                        <c:v>44176</c:v>
                      </c:pt>
                      <c:pt idx="53">
                        <c:v>44179</c:v>
                      </c:pt>
                      <c:pt idx="54">
                        <c:v>44180</c:v>
                      </c:pt>
                      <c:pt idx="55">
                        <c:v>44181</c:v>
                      </c:pt>
                      <c:pt idx="56">
                        <c:v>44182</c:v>
                      </c:pt>
                      <c:pt idx="57">
                        <c:v>44183</c:v>
                      </c:pt>
                      <c:pt idx="58">
                        <c:v>44186</c:v>
                      </c:pt>
                      <c:pt idx="59">
                        <c:v>44187</c:v>
                      </c:pt>
                      <c:pt idx="60">
                        <c:v>44188</c:v>
                      </c:pt>
                      <c:pt idx="61">
                        <c:v>44189</c:v>
                      </c:pt>
                      <c:pt idx="62">
                        <c:v>44190</c:v>
                      </c:pt>
                      <c:pt idx="63">
                        <c:v>44193</c:v>
                      </c:pt>
                      <c:pt idx="64">
                        <c:v>44194</c:v>
                      </c:pt>
                      <c:pt idx="65">
                        <c:v>44195</c:v>
                      </c:pt>
                      <c:pt idx="66">
                        <c:v>44196</c:v>
                      </c:pt>
                      <c:pt idx="67">
                        <c:v>44197</c:v>
                      </c:pt>
                      <c:pt idx="68">
                        <c:v>44200</c:v>
                      </c:pt>
                      <c:pt idx="69">
                        <c:v>44201</c:v>
                      </c:pt>
                      <c:pt idx="70">
                        <c:v>44202</c:v>
                      </c:pt>
                      <c:pt idx="71">
                        <c:v>44203</c:v>
                      </c:pt>
                      <c:pt idx="72">
                        <c:v>44204</c:v>
                      </c:pt>
                      <c:pt idx="73">
                        <c:v>44207</c:v>
                      </c:pt>
                      <c:pt idx="74">
                        <c:v>44208</c:v>
                      </c:pt>
                      <c:pt idx="75">
                        <c:v>44209</c:v>
                      </c:pt>
                      <c:pt idx="76">
                        <c:v>44210</c:v>
                      </c:pt>
                      <c:pt idx="77">
                        <c:v>44211</c:v>
                      </c:pt>
                      <c:pt idx="78">
                        <c:v>44214</c:v>
                      </c:pt>
                      <c:pt idx="79">
                        <c:v>44215</c:v>
                      </c:pt>
                      <c:pt idx="80">
                        <c:v>44216</c:v>
                      </c:pt>
                      <c:pt idx="81">
                        <c:v>44217</c:v>
                      </c:pt>
                      <c:pt idx="82">
                        <c:v>44218</c:v>
                      </c:pt>
                      <c:pt idx="83">
                        <c:v>44221</c:v>
                      </c:pt>
                      <c:pt idx="84">
                        <c:v>44222</c:v>
                      </c:pt>
                      <c:pt idx="85">
                        <c:v>44223</c:v>
                      </c:pt>
                      <c:pt idx="86">
                        <c:v>44224</c:v>
                      </c:pt>
                      <c:pt idx="87">
                        <c:v>44225</c:v>
                      </c:pt>
                      <c:pt idx="88">
                        <c:v>44228</c:v>
                      </c:pt>
                      <c:pt idx="89">
                        <c:v>44229</c:v>
                      </c:pt>
                      <c:pt idx="90">
                        <c:v>44230</c:v>
                      </c:pt>
                      <c:pt idx="91">
                        <c:v>44231</c:v>
                      </c:pt>
                      <c:pt idx="92">
                        <c:v>44232</c:v>
                      </c:pt>
                      <c:pt idx="93">
                        <c:v>44235</c:v>
                      </c:pt>
                      <c:pt idx="94">
                        <c:v>44236</c:v>
                      </c:pt>
                      <c:pt idx="95">
                        <c:v>44237</c:v>
                      </c:pt>
                      <c:pt idx="96">
                        <c:v>44238</c:v>
                      </c:pt>
                      <c:pt idx="97">
                        <c:v>44239</c:v>
                      </c:pt>
                      <c:pt idx="98">
                        <c:v>44242</c:v>
                      </c:pt>
                      <c:pt idx="99">
                        <c:v>44243</c:v>
                      </c:pt>
                      <c:pt idx="100">
                        <c:v>44244</c:v>
                      </c:pt>
                      <c:pt idx="101">
                        <c:v>44245</c:v>
                      </c:pt>
                      <c:pt idx="102">
                        <c:v>44246</c:v>
                      </c:pt>
                      <c:pt idx="103">
                        <c:v>44247</c:v>
                      </c:pt>
                      <c:pt idx="104">
                        <c:v>44249</c:v>
                      </c:pt>
                      <c:pt idx="105">
                        <c:v>44250</c:v>
                      </c:pt>
                      <c:pt idx="106">
                        <c:v>44251</c:v>
                      </c:pt>
                      <c:pt idx="107">
                        <c:v>44252</c:v>
                      </c:pt>
                      <c:pt idx="108">
                        <c:v>44253</c:v>
                      </c:pt>
                      <c:pt idx="109">
                        <c:v>44256</c:v>
                      </c:pt>
                      <c:pt idx="110">
                        <c:v>44257</c:v>
                      </c:pt>
                      <c:pt idx="111">
                        <c:v>44258</c:v>
                      </c:pt>
                      <c:pt idx="112">
                        <c:v>44259</c:v>
                      </c:pt>
                      <c:pt idx="113">
                        <c:v>44260</c:v>
                      </c:pt>
                      <c:pt idx="114">
                        <c:v>44263</c:v>
                      </c:pt>
                      <c:pt idx="115">
                        <c:v>44264</c:v>
                      </c:pt>
                      <c:pt idx="116">
                        <c:v>44265</c:v>
                      </c:pt>
                      <c:pt idx="117">
                        <c:v>44266</c:v>
                      </c:pt>
                      <c:pt idx="118">
                        <c:v>44267</c:v>
                      </c:pt>
                      <c:pt idx="119">
                        <c:v>44270</c:v>
                      </c:pt>
                      <c:pt idx="120">
                        <c:v>44271</c:v>
                      </c:pt>
                      <c:pt idx="121">
                        <c:v>44272</c:v>
                      </c:pt>
                      <c:pt idx="122">
                        <c:v>44273</c:v>
                      </c:pt>
                      <c:pt idx="123">
                        <c:v>44274</c:v>
                      </c:pt>
                      <c:pt idx="124">
                        <c:v>44277</c:v>
                      </c:pt>
                      <c:pt idx="125">
                        <c:v>44278</c:v>
                      </c:pt>
                      <c:pt idx="126">
                        <c:v>44279</c:v>
                      </c:pt>
                      <c:pt idx="127">
                        <c:v>44280</c:v>
                      </c:pt>
                      <c:pt idx="128">
                        <c:v>44281</c:v>
                      </c:pt>
                      <c:pt idx="129">
                        <c:v>44284</c:v>
                      </c:pt>
                      <c:pt idx="130">
                        <c:v>44285</c:v>
                      </c:pt>
                      <c:pt idx="131">
                        <c:v>44286</c:v>
                      </c:pt>
                      <c:pt idx="132">
                        <c:v>44287</c:v>
                      </c:pt>
                      <c:pt idx="133">
                        <c:v>44288</c:v>
                      </c:pt>
                      <c:pt idx="134">
                        <c:v>44291</c:v>
                      </c:pt>
                      <c:pt idx="135">
                        <c:v>44292</c:v>
                      </c:pt>
                      <c:pt idx="136">
                        <c:v>44293</c:v>
                      </c:pt>
                      <c:pt idx="137">
                        <c:v>44294</c:v>
                      </c:pt>
                      <c:pt idx="138">
                        <c:v>44295</c:v>
                      </c:pt>
                      <c:pt idx="139">
                        <c:v>44298</c:v>
                      </c:pt>
                      <c:pt idx="140">
                        <c:v>44299</c:v>
                      </c:pt>
                      <c:pt idx="141">
                        <c:v>44300</c:v>
                      </c:pt>
                      <c:pt idx="142">
                        <c:v>44301</c:v>
                      </c:pt>
                      <c:pt idx="143">
                        <c:v>44302</c:v>
                      </c:pt>
                      <c:pt idx="144">
                        <c:v>44305</c:v>
                      </c:pt>
                      <c:pt idx="145">
                        <c:v>44306</c:v>
                      </c:pt>
                      <c:pt idx="146">
                        <c:v>44307</c:v>
                      </c:pt>
                      <c:pt idx="147">
                        <c:v>44308</c:v>
                      </c:pt>
                      <c:pt idx="148">
                        <c:v>44309</c:v>
                      </c:pt>
                      <c:pt idx="149">
                        <c:v>44311</c:v>
                      </c:pt>
                      <c:pt idx="150">
                        <c:v>44312</c:v>
                      </c:pt>
                      <c:pt idx="151">
                        <c:v>44313</c:v>
                      </c:pt>
                      <c:pt idx="152">
                        <c:v>44314</c:v>
                      </c:pt>
                      <c:pt idx="153">
                        <c:v>44315</c:v>
                      </c:pt>
                      <c:pt idx="154">
                        <c:v>44316</c:v>
                      </c:pt>
                      <c:pt idx="155">
                        <c:v>44319</c:v>
                      </c:pt>
                      <c:pt idx="156">
                        <c:v>44320</c:v>
                      </c:pt>
                      <c:pt idx="157">
                        <c:v>44321</c:v>
                      </c:pt>
                      <c:pt idx="158">
                        <c:v>44322</c:v>
                      </c:pt>
                      <c:pt idx="159">
                        <c:v>44323</c:v>
                      </c:pt>
                      <c:pt idx="160">
                        <c:v>44326</c:v>
                      </c:pt>
                      <c:pt idx="161">
                        <c:v>44327</c:v>
                      </c:pt>
                      <c:pt idx="162">
                        <c:v>44328</c:v>
                      </c:pt>
                      <c:pt idx="163">
                        <c:v>44329</c:v>
                      </c:pt>
                      <c:pt idx="164">
                        <c:v>44330</c:v>
                      </c:pt>
                      <c:pt idx="165">
                        <c:v>44333</c:v>
                      </c:pt>
                      <c:pt idx="166">
                        <c:v>44334</c:v>
                      </c:pt>
                      <c:pt idx="167">
                        <c:v>44335</c:v>
                      </c:pt>
                      <c:pt idx="168">
                        <c:v>44336</c:v>
                      </c:pt>
                      <c:pt idx="169">
                        <c:v>44337</c:v>
                      </c:pt>
                      <c:pt idx="170">
                        <c:v>44340</c:v>
                      </c:pt>
                      <c:pt idx="171">
                        <c:v>44341</c:v>
                      </c:pt>
                      <c:pt idx="172">
                        <c:v>44342</c:v>
                      </c:pt>
                      <c:pt idx="173">
                        <c:v>44343</c:v>
                      </c:pt>
                      <c:pt idx="174">
                        <c:v>44344</c:v>
                      </c:pt>
                      <c:pt idx="175">
                        <c:v>44347</c:v>
                      </c:pt>
                      <c:pt idx="176">
                        <c:v>44348</c:v>
                      </c:pt>
                      <c:pt idx="177">
                        <c:v>44349</c:v>
                      </c:pt>
                      <c:pt idx="178">
                        <c:v>44350</c:v>
                      </c:pt>
                      <c:pt idx="179">
                        <c:v>44351</c:v>
                      </c:pt>
                      <c:pt idx="180">
                        <c:v>44354</c:v>
                      </c:pt>
                      <c:pt idx="181">
                        <c:v>44355</c:v>
                      </c:pt>
                      <c:pt idx="182">
                        <c:v>44356</c:v>
                      </c:pt>
                      <c:pt idx="183">
                        <c:v>44357</c:v>
                      </c:pt>
                      <c:pt idx="184">
                        <c:v>44358</c:v>
                      </c:pt>
                      <c:pt idx="185">
                        <c:v>44361</c:v>
                      </c:pt>
                      <c:pt idx="186">
                        <c:v>44362</c:v>
                      </c:pt>
                      <c:pt idx="187">
                        <c:v>44363</c:v>
                      </c:pt>
                      <c:pt idx="188">
                        <c:v>44364</c:v>
                      </c:pt>
                      <c:pt idx="189">
                        <c:v>44365</c:v>
                      </c:pt>
                      <c:pt idx="190">
                        <c:v>44368</c:v>
                      </c:pt>
                      <c:pt idx="191">
                        <c:v>44369</c:v>
                      </c:pt>
                      <c:pt idx="192">
                        <c:v>44370</c:v>
                      </c:pt>
                      <c:pt idx="193">
                        <c:v>44371</c:v>
                      </c:pt>
                      <c:pt idx="194">
                        <c:v>44372</c:v>
                      </c:pt>
                      <c:pt idx="195">
                        <c:v>44375</c:v>
                      </c:pt>
                      <c:pt idx="196">
                        <c:v>44376</c:v>
                      </c:pt>
                      <c:pt idx="197">
                        <c:v>44377</c:v>
                      </c:pt>
                      <c:pt idx="198">
                        <c:v>44378</c:v>
                      </c:pt>
                      <c:pt idx="199">
                        <c:v>44379</c:v>
                      </c:pt>
                      <c:pt idx="200">
                        <c:v>44382</c:v>
                      </c:pt>
                      <c:pt idx="201">
                        <c:v>44383</c:v>
                      </c:pt>
                      <c:pt idx="202">
                        <c:v>44384</c:v>
                      </c:pt>
                      <c:pt idx="203">
                        <c:v>44385</c:v>
                      </c:pt>
                      <c:pt idx="204">
                        <c:v>44386</c:v>
                      </c:pt>
                      <c:pt idx="205">
                        <c:v>44389</c:v>
                      </c:pt>
                      <c:pt idx="206">
                        <c:v>44390</c:v>
                      </c:pt>
                      <c:pt idx="207">
                        <c:v>44391</c:v>
                      </c:pt>
                      <c:pt idx="208">
                        <c:v>44392</c:v>
                      </c:pt>
                      <c:pt idx="209">
                        <c:v>44393</c:v>
                      </c:pt>
                      <c:pt idx="210">
                        <c:v>44396</c:v>
                      </c:pt>
                      <c:pt idx="211">
                        <c:v>44397</c:v>
                      </c:pt>
                      <c:pt idx="212">
                        <c:v>44398</c:v>
                      </c:pt>
                      <c:pt idx="213">
                        <c:v>44399</c:v>
                      </c:pt>
                      <c:pt idx="214">
                        <c:v>44400</c:v>
                      </c:pt>
                      <c:pt idx="215">
                        <c:v>44403</c:v>
                      </c:pt>
                      <c:pt idx="216">
                        <c:v>44404</c:v>
                      </c:pt>
                      <c:pt idx="217">
                        <c:v>44405</c:v>
                      </c:pt>
                      <c:pt idx="218">
                        <c:v>44406</c:v>
                      </c:pt>
                      <c:pt idx="219">
                        <c:v>44407</c:v>
                      </c:pt>
                      <c:pt idx="220">
                        <c:v>44410</c:v>
                      </c:pt>
                      <c:pt idx="221">
                        <c:v>44411</c:v>
                      </c:pt>
                      <c:pt idx="222">
                        <c:v>44412</c:v>
                      </c:pt>
                      <c:pt idx="223">
                        <c:v>44413</c:v>
                      </c:pt>
                      <c:pt idx="224">
                        <c:v>44414</c:v>
                      </c:pt>
                      <c:pt idx="225">
                        <c:v>44417</c:v>
                      </c:pt>
                      <c:pt idx="226">
                        <c:v>44418</c:v>
                      </c:pt>
                      <c:pt idx="227">
                        <c:v>44419</c:v>
                      </c:pt>
                      <c:pt idx="228">
                        <c:v>44420</c:v>
                      </c:pt>
                      <c:pt idx="229">
                        <c:v>44421</c:v>
                      </c:pt>
                      <c:pt idx="230">
                        <c:v>44424</c:v>
                      </c:pt>
                      <c:pt idx="231">
                        <c:v>44425</c:v>
                      </c:pt>
                      <c:pt idx="232">
                        <c:v>44426</c:v>
                      </c:pt>
                      <c:pt idx="233">
                        <c:v>44427</c:v>
                      </c:pt>
                      <c:pt idx="234">
                        <c:v>44428</c:v>
                      </c:pt>
                      <c:pt idx="235">
                        <c:v>44431</c:v>
                      </c:pt>
                      <c:pt idx="236">
                        <c:v>44432</c:v>
                      </c:pt>
                      <c:pt idx="237">
                        <c:v>44433</c:v>
                      </c:pt>
                      <c:pt idx="238">
                        <c:v>44434</c:v>
                      </c:pt>
                      <c:pt idx="239">
                        <c:v>44435</c:v>
                      </c:pt>
                      <c:pt idx="240">
                        <c:v>44438</c:v>
                      </c:pt>
                      <c:pt idx="241">
                        <c:v>44439</c:v>
                      </c:pt>
                      <c:pt idx="242">
                        <c:v>44440</c:v>
                      </c:pt>
                      <c:pt idx="243">
                        <c:v>44441</c:v>
                      </c:pt>
                      <c:pt idx="244">
                        <c:v>44442</c:v>
                      </c:pt>
                      <c:pt idx="245">
                        <c:v>44445</c:v>
                      </c:pt>
                      <c:pt idx="246">
                        <c:v>44446</c:v>
                      </c:pt>
                      <c:pt idx="247">
                        <c:v>44447</c:v>
                      </c:pt>
                      <c:pt idx="248">
                        <c:v>44448</c:v>
                      </c:pt>
                      <c:pt idx="249">
                        <c:v>44449</c:v>
                      </c:pt>
                      <c:pt idx="250">
                        <c:v>44452</c:v>
                      </c:pt>
                      <c:pt idx="251">
                        <c:v>44453</c:v>
                      </c:pt>
                      <c:pt idx="252">
                        <c:v>44454</c:v>
                      </c:pt>
                      <c:pt idx="253">
                        <c:v>44455</c:v>
                      </c:pt>
                      <c:pt idx="254">
                        <c:v>44456</c:v>
                      </c:pt>
                      <c:pt idx="255">
                        <c:v>44459</c:v>
                      </c:pt>
                      <c:pt idx="256">
                        <c:v>44460</c:v>
                      </c:pt>
                      <c:pt idx="257">
                        <c:v>44461</c:v>
                      </c:pt>
                      <c:pt idx="258">
                        <c:v>44462</c:v>
                      </c:pt>
                      <c:pt idx="259">
                        <c:v>44463</c:v>
                      </c:pt>
                      <c:pt idx="260">
                        <c:v>44466</c:v>
                      </c:pt>
                      <c:pt idx="261">
                        <c:v>44467</c:v>
                      </c:pt>
                      <c:pt idx="262">
                        <c:v>44468</c:v>
                      </c:pt>
                      <c:pt idx="263">
                        <c:v>44469</c:v>
                      </c:pt>
                      <c:pt idx="264">
                        <c:v>44470</c:v>
                      </c:pt>
                      <c:pt idx="265">
                        <c:v>44473</c:v>
                      </c:pt>
                      <c:pt idx="266">
                        <c:v>44474</c:v>
                      </c:pt>
                      <c:pt idx="267">
                        <c:v>44475</c:v>
                      </c:pt>
                      <c:pt idx="268">
                        <c:v>44476</c:v>
                      </c:pt>
                      <c:pt idx="269">
                        <c:v>44477</c:v>
                      </c:pt>
                      <c:pt idx="270">
                        <c:v>44480</c:v>
                      </c:pt>
                      <c:pt idx="271">
                        <c:v>44481</c:v>
                      </c:pt>
                      <c:pt idx="272">
                        <c:v>44482</c:v>
                      </c:pt>
                      <c:pt idx="273">
                        <c:v>44483</c:v>
                      </c:pt>
                      <c:pt idx="274">
                        <c:v>44484</c:v>
                      </c:pt>
                      <c:pt idx="275">
                        <c:v>44487</c:v>
                      </c:pt>
                      <c:pt idx="276">
                        <c:v>44488</c:v>
                      </c:pt>
                      <c:pt idx="277">
                        <c:v>44489</c:v>
                      </c:pt>
                      <c:pt idx="278">
                        <c:v>44490</c:v>
                      </c:pt>
                      <c:pt idx="279">
                        <c:v>44491</c:v>
                      </c:pt>
                      <c:pt idx="280">
                        <c:v>44494</c:v>
                      </c:pt>
                      <c:pt idx="281">
                        <c:v>44495</c:v>
                      </c:pt>
                      <c:pt idx="282">
                        <c:v>44496</c:v>
                      </c:pt>
                      <c:pt idx="283">
                        <c:v>44497</c:v>
                      </c:pt>
                      <c:pt idx="284">
                        <c:v>44498</c:v>
                      </c:pt>
                      <c:pt idx="285">
                        <c:v>44501</c:v>
                      </c:pt>
                    </c:numCache>
                  </c:numRef>
                </c:cat>
                <c:val>
                  <c:numRef>
                    <c:extLst xmlns:c15="http://schemas.microsoft.com/office/drawing/2012/chart">
                      <c:ext xmlns:c15="http://schemas.microsoft.com/office/drawing/2012/chart" uri="{02D57815-91ED-43cb-92C2-25804820EDAC}">
                        <c15:formulaRef>
                          <c15:sqref>'Currency Chart'!$Y$6:$Y$291</c15:sqref>
                        </c15:formulaRef>
                      </c:ext>
                    </c:extLst>
                    <c:numCache>
                      <c:formatCode>0</c:formatCode>
                      <c:ptCount val="286"/>
                      <c:pt idx="0" formatCode="General">
                        <c:v>100</c:v>
                      </c:pt>
                      <c:pt idx="1">
                        <c:v>99.739328771586841</c:v>
                      </c:pt>
                      <c:pt idx="2">
                        <c:v>100.02172260236777</c:v>
                      </c:pt>
                      <c:pt idx="3">
                        <c:v>99.413489736070389</c:v>
                      </c:pt>
                      <c:pt idx="4">
                        <c:v>99.674160964483534</c:v>
                      </c:pt>
                      <c:pt idx="5">
                        <c:v>99.619854458564134</c:v>
                      </c:pt>
                      <c:pt idx="6">
                        <c:v>99.565547952644721</c:v>
                      </c:pt>
                      <c:pt idx="7">
                        <c:v>98.848702074508523</c:v>
                      </c:pt>
                      <c:pt idx="8">
                        <c:v>98.740089062669711</c:v>
                      </c:pt>
                      <c:pt idx="9">
                        <c:v>99.370044531334855</c:v>
                      </c:pt>
                      <c:pt idx="10">
                        <c:v>99.250570218312134</c:v>
                      </c:pt>
                      <c:pt idx="11">
                        <c:v>99.370044531334841</c:v>
                      </c:pt>
                      <c:pt idx="12">
                        <c:v>99.337460627783187</c:v>
                      </c:pt>
                      <c:pt idx="13">
                        <c:v>98.859563375692389</c:v>
                      </c:pt>
                      <c:pt idx="14">
                        <c:v>98.501140436624297</c:v>
                      </c:pt>
                      <c:pt idx="15">
                        <c:v>98.327359617682191</c:v>
                      </c:pt>
                      <c:pt idx="16">
                        <c:v>98.501140436624297</c:v>
                      </c:pt>
                      <c:pt idx="17">
                        <c:v>98.207885304659484</c:v>
                      </c:pt>
                      <c:pt idx="18">
                        <c:v>98.555446942543696</c:v>
                      </c:pt>
                      <c:pt idx="19">
                        <c:v>98.674921255566389</c:v>
                      </c:pt>
                      <c:pt idx="20">
                        <c:v>98.870424676876269</c:v>
                      </c:pt>
                      <c:pt idx="21">
                        <c:v>99.402628434886481</c:v>
                      </c:pt>
                      <c:pt idx="22">
                        <c:v>99.565547952644707</c:v>
                      </c:pt>
                      <c:pt idx="23">
                        <c:v>99.78277397632236</c:v>
                      </c:pt>
                      <c:pt idx="24">
                        <c:v>99.022482893450629</c:v>
                      </c:pt>
                      <c:pt idx="25">
                        <c:v>99.098512001737816</c:v>
                      </c:pt>
                      <c:pt idx="26">
                        <c:v>98.186162702291753</c:v>
                      </c:pt>
                      <c:pt idx="27">
                        <c:v>97.806017160855873</c:v>
                      </c:pt>
                      <c:pt idx="28">
                        <c:v>99.196263712392735</c:v>
                      </c:pt>
                      <c:pt idx="29">
                        <c:v>99.41348973607036</c:v>
                      </c:pt>
                      <c:pt idx="30">
                        <c:v>99.630715759748</c:v>
                      </c:pt>
                      <c:pt idx="31">
                        <c:v>99.359183230150947</c:v>
                      </c:pt>
                      <c:pt idx="32">
                        <c:v>99.120234604105548</c:v>
                      </c:pt>
                      <c:pt idx="33">
                        <c:v>99.131095905289442</c:v>
                      </c:pt>
                      <c:pt idx="34">
                        <c:v>98.957315086347336</c:v>
                      </c:pt>
                      <c:pt idx="35">
                        <c:v>98.935592483979576</c:v>
                      </c:pt>
                      <c:pt idx="36">
                        <c:v>98.935592483979576</c:v>
                      </c:pt>
                      <c:pt idx="37">
                        <c:v>98.935592483979576</c:v>
                      </c:pt>
                      <c:pt idx="38">
                        <c:v>99.109373302921668</c:v>
                      </c:pt>
                      <c:pt idx="39">
                        <c:v>98.957315086347322</c:v>
                      </c:pt>
                      <c:pt idx="40">
                        <c:v>98.620614749646975</c:v>
                      </c:pt>
                      <c:pt idx="41">
                        <c:v>98.41425002715323</c:v>
                      </c:pt>
                      <c:pt idx="42">
                        <c:v>98.19702400347559</c:v>
                      </c:pt>
                      <c:pt idx="43">
                        <c:v>98.729227761485802</c:v>
                      </c:pt>
                      <c:pt idx="44">
                        <c:v>97.719126751384792</c:v>
                      </c:pt>
                      <c:pt idx="45">
                        <c:v>97.121755186271287</c:v>
                      </c:pt>
                      <c:pt idx="46">
                        <c:v>96.763332247203195</c:v>
                      </c:pt>
                      <c:pt idx="47">
                        <c:v>96.893667861409781</c:v>
                      </c:pt>
                      <c:pt idx="48">
                        <c:v>96.730748343651541</c:v>
                      </c:pt>
                      <c:pt idx="49">
                        <c:v>96.556967524709435</c:v>
                      </c:pt>
                      <c:pt idx="50">
                        <c:v>96.578690127077209</c:v>
                      </c:pt>
                      <c:pt idx="51">
                        <c:v>96.209405886825223</c:v>
                      </c:pt>
                      <c:pt idx="52">
                        <c:v>96.589551428261075</c:v>
                      </c:pt>
                      <c:pt idx="53">
                        <c:v>96.263712392744623</c:v>
                      </c:pt>
                      <c:pt idx="54">
                        <c:v>96.187683284457464</c:v>
                      </c:pt>
                      <c:pt idx="55">
                        <c:v>96.17682198327357</c:v>
                      </c:pt>
                      <c:pt idx="56">
                        <c:v>96.046486369066983</c:v>
                      </c:pt>
                      <c:pt idx="57">
                        <c:v>95.92701205604429</c:v>
                      </c:pt>
                      <c:pt idx="58">
                        <c:v>96.176821983273584</c:v>
                      </c:pt>
                      <c:pt idx="59">
                        <c:v>96.622135331812729</c:v>
                      </c:pt>
                      <c:pt idx="60">
                        <c:v>96.426631910502863</c:v>
                      </c:pt>
                      <c:pt idx="61">
                        <c:v>96.730748343651555</c:v>
                      </c:pt>
                      <c:pt idx="62">
                        <c:v>96.54610622352557</c:v>
                      </c:pt>
                      <c:pt idx="63">
                        <c:v>96.491799717606156</c:v>
                      </c:pt>
                      <c:pt idx="64">
                        <c:v>96.046486369067011</c:v>
                      </c:pt>
                      <c:pt idx="65">
                        <c:v>95.68806342999892</c:v>
                      </c:pt>
                      <c:pt idx="66">
                        <c:v>96.133376778538079</c:v>
                      </c:pt>
                      <c:pt idx="67">
                        <c:v>96.133376778538079</c:v>
                      </c:pt>
                      <c:pt idx="68">
                        <c:v>95.720647333550559</c:v>
                      </c:pt>
                      <c:pt idx="69">
                        <c:v>95.394808298034107</c:v>
                      </c:pt>
                      <c:pt idx="70">
                        <c:v>95.394808298034107</c:v>
                      </c:pt>
                      <c:pt idx="71">
                        <c:v>96.133376778538079</c:v>
                      </c:pt>
                      <c:pt idx="72">
                        <c:v>96.165960682089732</c:v>
                      </c:pt>
                      <c:pt idx="73">
                        <c:v>96.687303138916064</c:v>
                      </c:pt>
                      <c:pt idx="74">
                        <c:v>96.263712392744679</c:v>
                      </c:pt>
                      <c:pt idx="75">
                        <c:v>96.404909308135132</c:v>
                      </c:pt>
                      <c:pt idx="76">
                        <c:v>96.448354512870651</c:v>
                      </c:pt>
                      <c:pt idx="77">
                        <c:v>96.741609644835449</c:v>
                      </c:pt>
                      <c:pt idx="78">
                        <c:v>96.730748343651555</c:v>
                      </c:pt>
                      <c:pt idx="79">
                        <c:v>96.502661018790036</c:v>
                      </c:pt>
                      <c:pt idx="80">
                        <c:v>96.611274030628849</c:v>
                      </c:pt>
                      <c:pt idx="81">
                        <c:v>96.13337677853805</c:v>
                      </c:pt>
                      <c:pt idx="82">
                        <c:v>96.14423807972193</c:v>
                      </c:pt>
                      <c:pt idx="83">
                        <c:v>96.470077115238382</c:v>
                      </c:pt>
                      <c:pt idx="84">
                        <c:v>96.296296296296276</c:v>
                      </c:pt>
                      <c:pt idx="85">
                        <c:v>96.524383621157796</c:v>
                      </c:pt>
                      <c:pt idx="86">
                        <c:v>96.524383621157796</c:v>
                      </c:pt>
                      <c:pt idx="87">
                        <c:v>96.698164440099902</c:v>
                      </c:pt>
                      <c:pt idx="88">
                        <c:v>97.40414901705222</c:v>
                      </c:pt>
                      <c:pt idx="89">
                        <c:v>97.436732920603873</c:v>
                      </c:pt>
                      <c:pt idx="90">
                        <c:v>97.632236341913753</c:v>
                      </c:pt>
                      <c:pt idx="91">
                        <c:v>98.218746605843364</c:v>
                      </c:pt>
                      <c:pt idx="92">
                        <c:v>97.621375040729873</c:v>
                      </c:pt>
                      <c:pt idx="93">
                        <c:v>97.599652438362099</c:v>
                      </c:pt>
                      <c:pt idx="94">
                        <c:v>96.893667861409781</c:v>
                      </c:pt>
                      <c:pt idx="95">
                        <c:v>96.665580536548262</c:v>
                      </c:pt>
                      <c:pt idx="96">
                        <c:v>96.665580536548262</c:v>
                      </c:pt>
                      <c:pt idx="97">
                        <c:v>96.795916150754834</c:v>
                      </c:pt>
                      <c:pt idx="98">
                        <c:v>96.676441837732128</c:v>
                      </c:pt>
                      <c:pt idx="99">
                        <c:v>96.915390463777527</c:v>
                      </c:pt>
                      <c:pt idx="100">
                        <c:v>97.599652438362071</c:v>
                      </c:pt>
                      <c:pt idx="101">
                        <c:v>97.284674704029499</c:v>
                      </c:pt>
                      <c:pt idx="102">
                        <c:v>97.338981209948898</c:v>
                      </c:pt>
                      <c:pt idx="103">
                        <c:v>97.338981209948898</c:v>
                      </c:pt>
                      <c:pt idx="104">
                        <c:v>97.317258607581138</c:v>
                      </c:pt>
                      <c:pt idx="105">
                        <c:v>98.294775714130495</c:v>
                      </c:pt>
                      <c:pt idx="106">
                        <c:v>98.435972629520947</c:v>
                      </c:pt>
                      <c:pt idx="107">
                        <c:v>98.218746605843307</c:v>
                      </c:pt>
                      <c:pt idx="108">
                        <c:v>98.642337352014707</c:v>
                      </c:pt>
                      <c:pt idx="109">
                        <c:v>99.35918323015089</c:v>
                      </c:pt>
                      <c:pt idx="110">
                        <c:v>99.33746062778313</c:v>
                      </c:pt>
                      <c:pt idx="111">
                        <c:v>99.891386988161116</c:v>
                      </c:pt>
                      <c:pt idx="112">
                        <c:v>100.84718149234271</c:v>
                      </c:pt>
                      <c:pt idx="113">
                        <c:v>101.10785272075587</c:v>
                      </c:pt>
                      <c:pt idx="114">
                        <c:v>101.71608558705326</c:v>
                      </c:pt>
                      <c:pt idx="115">
                        <c:v>100.73856848050389</c:v>
                      </c:pt>
                      <c:pt idx="116">
                        <c:v>100.95579450418151</c:v>
                      </c:pt>
                      <c:pt idx="117">
                        <c:v>100.38014554143578</c:v>
                      </c:pt>
                      <c:pt idx="118">
                        <c:v>100.97751710654929</c:v>
                      </c:pt>
                      <c:pt idx="119">
                        <c:v>100.70598457695225</c:v>
                      </c:pt>
                      <c:pt idx="120">
                        <c:v>100.41272944498743</c:v>
                      </c:pt>
                      <c:pt idx="121">
                        <c:v>100.18464212012591</c:v>
                      </c:pt>
                      <c:pt idx="122">
                        <c:v>100.67340067340061</c:v>
                      </c:pt>
                      <c:pt idx="123">
                        <c:v>100.9232106006299</c:v>
                      </c:pt>
                      <c:pt idx="124">
                        <c:v>100.24980992722922</c:v>
                      </c:pt>
                      <c:pt idx="125">
                        <c:v>101.42283045508844</c:v>
                      </c:pt>
                      <c:pt idx="126">
                        <c:v>101.60747257521443</c:v>
                      </c:pt>
                      <c:pt idx="127">
                        <c:v>102.09623112848911</c:v>
                      </c:pt>
                      <c:pt idx="128">
                        <c:v>101.97675681546642</c:v>
                      </c:pt>
                      <c:pt idx="129">
                        <c:v>101.98761811665028</c:v>
                      </c:pt>
                      <c:pt idx="130">
                        <c:v>102.31345715216673</c:v>
                      </c:pt>
                      <c:pt idx="131">
                        <c:v>102.46551536874109</c:v>
                      </c:pt>
                      <c:pt idx="132">
                        <c:v>102.31345715216675</c:v>
                      </c:pt>
                      <c:pt idx="133">
                        <c:v>102.32431845335064</c:v>
                      </c:pt>
                      <c:pt idx="134">
                        <c:v>101.70522428586938</c:v>
                      </c:pt>
                      <c:pt idx="135">
                        <c:v>101.09699141957199</c:v>
                      </c:pt>
                      <c:pt idx="136">
                        <c:v>100.94493320299765</c:v>
                      </c:pt>
                      <c:pt idx="137">
                        <c:v>100.43445204735521</c:v>
                      </c:pt>
                      <c:pt idx="138">
                        <c:v>100.44531334853909</c:v>
                      </c:pt>
                      <c:pt idx="139">
                        <c:v>100.18464212012593</c:v>
                      </c:pt>
                      <c:pt idx="140">
                        <c:v>100.01086130118381</c:v>
                      </c:pt>
                      <c:pt idx="141">
                        <c:v>100.18464212012593</c:v>
                      </c:pt>
                      <c:pt idx="142">
                        <c:v>100.20636472249369</c:v>
                      </c:pt>
                      <c:pt idx="143">
                        <c:v>99.92397089171277</c:v>
                      </c:pt>
                      <c:pt idx="144">
                        <c:v>99.380905832518678</c:v>
                      </c:pt>
                      <c:pt idx="145">
                        <c:v>99.467796241989717</c:v>
                      </c:pt>
                      <c:pt idx="146">
                        <c:v>99.587270555012424</c:v>
                      </c:pt>
                      <c:pt idx="147">
                        <c:v>99.55468665146077</c:v>
                      </c:pt>
                      <c:pt idx="148">
                        <c:v>99.207125013576558</c:v>
                      </c:pt>
                      <c:pt idx="149">
                        <c:v>99.207125013576558</c:v>
                      </c:pt>
                      <c:pt idx="150">
                        <c:v>99.261431519495986</c:v>
                      </c:pt>
                      <c:pt idx="151">
                        <c:v>99.207125013576572</c:v>
                      </c:pt>
                      <c:pt idx="152">
                        <c:v>98.772672966221293</c:v>
                      </c:pt>
                      <c:pt idx="153">
                        <c:v>98.653198653198586</c:v>
                      </c:pt>
                      <c:pt idx="154">
                        <c:v>99.196263712392678</c:v>
                      </c:pt>
                      <c:pt idx="155">
                        <c:v>98.935592483979519</c:v>
                      </c:pt>
                      <c:pt idx="156">
                        <c:v>99.217986314760438</c:v>
                      </c:pt>
                      <c:pt idx="157">
                        <c:v>99.141957206473265</c:v>
                      </c:pt>
                      <c:pt idx="158">
                        <c:v>98.51200173780812</c:v>
                      </c:pt>
                      <c:pt idx="159">
                        <c:v>97.860323666775201</c:v>
                      </c:pt>
                      <c:pt idx="160">
                        <c:v>97.871184967959081</c:v>
                      </c:pt>
                      <c:pt idx="161">
                        <c:v>98.15357879874</c:v>
                      </c:pt>
                      <c:pt idx="162">
                        <c:v>98.740089062669639</c:v>
                      </c:pt>
                      <c:pt idx="163">
                        <c:v>98.392527424785428</c:v>
                      </c:pt>
                      <c:pt idx="164">
                        <c:v>97.871184967959096</c:v>
                      </c:pt>
                      <c:pt idx="165">
                        <c:v>98.099272292820615</c:v>
                      </c:pt>
                      <c:pt idx="166">
                        <c:v>97.49103942652323</c:v>
                      </c:pt>
                      <c:pt idx="167">
                        <c:v>98.164440099923922</c:v>
                      </c:pt>
                      <c:pt idx="168">
                        <c:v>97.436732920603831</c:v>
                      </c:pt>
                      <c:pt idx="169">
                        <c:v>97.491039426523244</c:v>
                      </c:pt>
                      <c:pt idx="170">
                        <c:v>97.415010318236071</c:v>
                      </c:pt>
                      <c:pt idx="171">
                        <c:v>97.241229499293965</c:v>
                      </c:pt>
                      <c:pt idx="172">
                        <c:v>97.523623330074898</c:v>
                      </c:pt>
                      <c:pt idx="173">
                        <c:v>97.404149017052205</c:v>
                      </c:pt>
                      <c:pt idx="174">
                        <c:v>97.719126751384792</c:v>
                      </c:pt>
                      <c:pt idx="175">
                        <c:v>97.664820245465378</c:v>
                      </c:pt>
                      <c:pt idx="176">
                        <c:v>97.40414901705222</c:v>
                      </c:pt>
                      <c:pt idx="177">
                        <c:v>97.491039426523272</c:v>
                      </c:pt>
                      <c:pt idx="178">
                        <c:v>98.120994895188431</c:v>
                      </c:pt>
                      <c:pt idx="179">
                        <c:v>97.664820245465393</c:v>
                      </c:pt>
                      <c:pt idx="180">
                        <c:v>97.469316824155527</c:v>
                      </c:pt>
                      <c:pt idx="181">
                        <c:v>97.382426414684474</c:v>
                      </c:pt>
                      <c:pt idx="182">
                        <c:v>97.273813402845647</c:v>
                      </c:pt>
                      <c:pt idx="183">
                        <c:v>97.132616487455195</c:v>
                      </c:pt>
                      <c:pt idx="184">
                        <c:v>97.52362333007494</c:v>
                      </c:pt>
                      <c:pt idx="185">
                        <c:v>97.7299880525687</c:v>
                      </c:pt>
                      <c:pt idx="186">
                        <c:v>97.52362333007494</c:v>
                      </c:pt>
                      <c:pt idx="187">
                        <c:v>98.674921255566417</c:v>
                      </c:pt>
                      <c:pt idx="188">
                        <c:v>99.630715759748028</c:v>
                      </c:pt>
                      <c:pt idx="189">
                        <c:v>100.184642120126</c:v>
                      </c:pt>
                      <c:pt idx="190">
                        <c:v>99.685022265667428</c:v>
                      </c:pt>
                      <c:pt idx="191">
                        <c:v>99.685022265667428</c:v>
                      </c:pt>
                      <c:pt idx="192">
                        <c:v>99.782773976322375</c:v>
                      </c:pt>
                      <c:pt idx="193">
                        <c:v>99.652438362115788</c:v>
                      </c:pt>
                      <c:pt idx="194">
                        <c:v>99.652438362115788</c:v>
                      </c:pt>
                      <c:pt idx="195">
                        <c:v>99.847941783425668</c:v>
                      </c:pt>
                      <c:pt idx="196">
                        <c:v>99.989138698816134</c:v>
                      </c:pt>
                      <c:pt idx="197">
                        <c:v>100.45617464972307</c:v>
                      </c:pt>
                      <c:pt idx="198">
                        <c:v>100.48875855327471</c:v>
                      </c:pt>
                      <c:pt idx="199">
                        <c:v>99.989138698816134</c:v>
                      </c:pt>
                      <c:pt idx="200">
                        <c:v>100.13033561420661</c:v>
                      </c:pt>
                      <c:pt idx="201">
                        <c:v>100.369284240252</c:v>
                      </c:pt>
                      <c:pt idx="202">
                        <c:v>100.49961985445859</c:v>
                      </c:pt>
                      <c:pt idx="203">
                        <c:v>99.435212338438163</c:v>
                      </c:pt>
                      <c:pt idx="204">
                        <c:v>99.250570218312163</c:v>
                      </c:pt>
                      <c:pt idx="205">
                        <c:v>99.370044531334869</c:v>
                      </c:pt>
                      <c:pt idx="206">
                        <c:v>99.750190072770721</c:v>
                      </c:pt>
                      <c:pt idx="207">
                        <c:v>99.370044531334855</c:v>
                      </c:pt>
                      <c:pt idx="208">
                        <c:v>99.663299663299654</c:v>
                      </c:pt>
                      <c:pt idx="209">
                        <c:v>99.858803084609519</c:v>
                      </c:pt>
                      <c:pt idx="210">
                        <c:v>99.695883566851293</c:v>
                      </c:pt>
                      <c:pt idx="211">
                        <c:v>100.10861301183878</c:v>
                      </c:pt>
                      <c:pt idx="212">
                        <c:v>99.652438362115745</c:v>
                      </c:pt>
                      <c:pt idx="213">
                        <c:v>99.793635277506198</c:v>
                      </c:pt>
                      <c:pt idx="214">
                        <c:v>99.815357879873957</c:v>
                      </c:pt>
                      <c:pt idx="215">
                        <c:v>99.478657543173625</c:v>
                      </c:pt>
                      <c:pt idx="216">
                        <c:v>99.304876724231505</c:v>
                      </c:pt>
                      <c:pt idx="217">
                        <c:v>98.826979472140707</c:v>
                      </c:pt>
                      <c:pt idx="218">
                        <c:v>98.425111328337081</c:v>
                      </c:pt>
                      <c:pt idx="219">
                        <c:v>98.338220918866028</c:v>
                      </c:pt>
                      <c:pt idx="220">
                        <c:v>98.338220918866028</c:v>
                      </c:pt>
                      <c:pt idx="221">
                        <c:v>98.142717497556148</c:v>
                      </c:pt>
                      <c:pt idx="222">
                        <c:v>98.490279135440375</c:v>
                      </c:pt>
                      <c:pt idx="223">
                        <c:v>98.555446942543668</c:v>
                      </c:pt>
                      <c:pt idx="224">
                        <c:v>99.315738025415399</c:v>
                      </c:pt>
                      <c:pt idx="225">
                        <c:v>99.978277397632198</c:v>
                      </c:pt>
                      <c:pt idx="226">
                        <c:v>100.20636472249372</c:v>
                      </c:pt>
                      <c:pt idx="227">
                        <c:v>100.11947431302266</c:v>
                      </c:pt>
                      <c:pt idx="228">
                        <c:v>100.27153252959701</c:v>
                      </c:pt>
                      <c:pt idx="229">
                        <c:v>99.424351037254226</c:v>
                      </c:pt>
                      <c:pt idx="230">
                        <c:v>99.05506679700224</c:v>
                      </c:pt>
                      <c:pt idx="231">
                        <c:v>99.315738025415399</c:v>
                      </c:pt>
                      <c:pt idx="232">
                        <c:v>99.576409253828544</c:v>
                      </c:pt>
                      <c:pt idx="233">
                        <c:v>99.782773976322304</c:v>
                      </c:pt>
                      <c:pt idx="234">
                        <c:v>99.608993157380212</c:v>
                      </c:pt>
                      <c:pt idx="235">
                        <c:v>99.07678939937</c:v>
                      </c:pt>
                      <c:pt idx="236">
                        <c:v>99.07678939937</c:v>
                      </c:pt>
                      <c:pt idx="237">
                        <c:v>99.228847615944332</c:v>
                      </c:pt>
                      <c:pt idx="238">
                        <c:v>99.663299663299611</c:v>
                      </c:pt>
                      <c:pt idx="239">
                        <c:v>98.957315086347307</c:v>
                      </c:pt>
                      <c:pt idx="240">
                        <c:v>99.576409253828572</c:v>
                      </c:pt>
                      <c:pt idx="241">
                        <c:v>99.380905832518707</c:v>
                      </c:pt>
                      <c:pt idx="242">
                        <c:v>99.380905832518707</c:v>
                      </c:pt>
                      <c:pt idx="243">
                        <c:v>99.283154121863774</c:v>
                      </c:pt>
                      <c:pt idx="244">
                        <c:v>99.217986314760481</c:v>
                      </c:pt>
                      <c:pt idx="245">
                        <c:v>99.359183230150933</c:v>
                      </c:pt>
                      <c:pt idx="246">
                        <c:v>99.869664385793371</c:v>
                      </c:pt>
                      <c:pt idx="247">
                        <c:v>100.14119691539042</c:v>
                      </c:pt>
                      <c:pt idx="248">
                        <c:v>99.576409253828558</c:v>
                      </c:pt>
                      <c:pt idx="249">
                        <c:v>99.663299663299625</c:v>
                      </c:pt>
                      <c:pt idx="250">
                        <c:v>100.15205821657432</c:v>
                      </c:pt>
                      <c:pt idx="251">
                        <c:v>99.945693494080558</c:v>
                      </c:pt>
                      <c:pt idx="252">
                        <c:v>99.880525686977251</c:v>
                      </c:pt>
                      <c:pt idx="253">
                        <c:v>100.73856848050393</c:v>
                      </c:pt>
                      <c:pt idx="254">
                        <c:v>101.25991093733026</c:v>
                      </c:pt>
                      <c:pt idx="255">
                        <c:v>100.74942978168781</c:v>
                      </c:pt>
                      <c:pt idx="256">
                        <c:v>100.2823938307809</c:v>
                      </c:pt>
                      <c:pt idx="257">
                        <c:v>100.58651026392961</c:v>
                      </c:pt>
                      <c:pt idx="258">
                        <c:v>100.35842293906809</c:v>
                      </c:pt>
                      <c:pt idx="259">
                        <c:v>100.34756163788421</c:v>
                      </c:pt>
                      <c:pt idx="260">
                        <c:v>100.53220375801018</c:v>
                      </c:pt>
                      <c:pt idx="261">
                        <c:v>100.92321060062994</c:v>
                      </c:pt>
                      <c:pt idx="262">
                        <c:v>101.53144346692731</c:v>
                      </c:pt>
                      <c:pt idx="263">
                        <c:v>101.17302052785922</c:v>
                      </c:pt>
                      <c:pt idx="264">
                        <c:v>101.10785272075593</c:v>
                      </c:pt>
                      <c:pt idx="265">
                        <c:v>100.43445204735525</c:v>
                      </c:pt>
                      <c:pt idx="266">
                        <c:v>100.7602910828717</c:v>
                      </c:pt>
                      <c:pt idx="267">
                        <c:v>100.70598457695229</c:v>
                      </c:pt>
                      <c:pt idx="268">
                        <c:v>100.89062669707828</c:v>
                      </c:pt>
                      <c:pt idx="269">
                        <c:v>100.69512327576841</c:v>
                      </c:pt>
                      <c:pt idx="270">
                        <c:v>100.73856848050393</c:v>
                      </c:pt>
                      <c:pt idx="271">
                        <c:v>101.07526881720426</c:v>
                      </c:pt>
                      <c:pt idx="272">
                        <c:v>100.38014554143584</c:v>
                      </c:pt>
                      <c:pt idx="273">
                        <c:v>100.2823938307809</c:v>
                      </c:pt>
                      <c:pt idx="274">
                        <c:v>100.20636472249372</c:v>
                      </c:pt>
                      <c:pt idx="275">
                        <c:v>100.32583903551642</c:v>
                      </c:pt>
                      <c:pt idx="276">
                        <c:v>100.22808732486148</c:v>
                      </c:pt>
                      <c:pt idx="277">
                        <c:v>99.793635277506212</c:v>
                      </c:pt>
                      <c:pt idx="278">
                        <c:v>99.728467470402919</c:v>
                      </c:pt>
                      <c:pt idx="279">
                        <c:v>99.467796241989745</c:v>
                      </c:pt>
                      <c:pt idx="280">
                        <c:v>99.90224828934501</c:v>
                      </c:pt>
                      <c:pt idx="281">
                        <c:v>99.934832192896664</c:v>
                      </c:pt>
                      <c:pt idx="282">
                        <c:v>99.706744868035145</c:v>
                      </c:pt>
                      <c:pt idx="283">
                        <c:v>99.022482893450587</c:v>
                      </c:pt>
                      <c:pt idx="284">
                        <c:v>99.446073639621972</c:v>
                      </c:pt>
                    </c:numCache>
                  </c:numRef>
                </c:val>
                <c:smooth val="0"/>
                <c:extLst xmlns:c15="http://schemas.microsoft.com/office/drawing/2012/chart">
                  <c:ext xmlns:c16="http://schemas.microsoft.com/office/drawing/2014/chart" uri="{C3380CC4-5D6E-409C-BE32-E72D297353CC}">
                    <c16:uniqueId val="{0000000B-61DB-4070-8C60-273A3892C606}"/>
                  </c:ext>
                </c:extLst>
              </c15:ser>
            </c15:filteredLineSeries>
          </c:ext>
        </c:extLst>
      </c:lineChart>
      <c:dateAx>
        <c:axId val="556308944"/>
        <c:scaling>
          <c:orientation val="minMax"/>
        </c:scaling>
        <c:delete val="0"/>
        <c:axPos val="b"/>
        <c:numFmt formatCode="[$-409]mmm\-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56308160"/>
        <c:crosses val="autoZero"/>
        <c:auto val="1"/>
        <c:lblOffset val="100"/>
        <c:baseTimeUnit val="days"/>
      </c:dateAx>
      <c:valAx>
        <c:axId val="556308160"/>
        <c:scaling>
          <c:orientation val="minMax"/>
          <c:min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56308944"/>
        <c:crosses val="autoZero"/>
        <c:crossBetween val="between"/>
        <c:majorUnit val="10"/>
      </c:valAx>
      <c:spPr>
        <a:noFill/>
        <a:ln>
          <a:noFill/>
        </a:ln>
        <a:effectLst/>
      </c:spPr>
    </c:plotArea>
    <c:legend>
      <c:legendPos val="b"/>
      <c:layout>
        <c:manualLayout>
          <c:xMode val="edge"/>
          <c:yMode val="edge"/>
          <c:x val="6.0165354330708659E-2"/>
          <c:y val="0.80497521143190431"/>
          <c:w val="0.87966929133858263"/>
          <c:h val="0.167247010790317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71408458048704"/>
          <c:y val="2.7597065390420877E-2"/>
          <c:w val="0.81568441362048283"/>
          <c:h val="0.65597657310486546"/>
        </c:manualLayout>
      </c:layout>
      <c:barChart>
        <c:barDir val="col"/>
        <c:grouping val="clustered"/>
        <c:varyColors val="0"/>
        <c:ser>
          <c:idx val="2"/>
          <c:order val="0"/>
          <c:tx>
            <c:strRef>
              <c:f>Sheet3!$B$4</c:f>
              <c:strCache>
                <c:ptCount val="1"/>
                <c:pt idx="0">
                  <c:v>ADT at BSE (RHS)</c:v>
                </c:pt>
              </c:strCache>
            </c:strRef>
          </c:tx>
          <c:spPr>
            <a:solidFill>
              <a:srgbClr val="00B050"/>
            </a:solidFill>
            <a:ln>
              <a:noFill/>
            </a:ln>
            <a:effectLst/>
          </c:spPr>
          <c:invertIfNegative val="0"/>
          <c:cat>
            <c:numRef>
              <c:f>Sheet3!$A$8:$A$19</c:f>
              <c:numCache>
                <c:formatCode>[$-409]mmm\-yy</c:formatCode>
                <c:ptCount val="12"/>
                <c:pt idx="0">
                  <c:v>44145</c:v>
                </c:pt>
                <c:pt idx="1">
                  <c:v>44175</c:v>
                </c:pt>
                <c:pt idx="2">
                  <c:v>44206</c:v>
                </c:pt>
                <c:pt idx="3">
                  <c:v>44237</c:v>
                </c:pt>
                <c:pt idx="4">
                  <c:v>44265</c:v>
                </c:pt>
                <c:pt idx="5">
                  <c:v>44296</c:v>
                </c:pt>
                <c:pt idx="6">
                  <c:v>44317</c:v>
                </c:pt>
                <c:pt idx="7">
                  <c:v>44348</c:v>
                </c:pt>
                <c:pt idx="8">
                  <c:v>44378</c:v>
                </c:pt>
                <c:pt idx="9">
                  <c:v>44409</c:v>
                </c:pt>
                <c:pt idx="10">
                  <c:v>44440</c:v>
                </c:pt>
                <c:pt idx="11">
                  <c:v>44471</c:v>
                </c:pt>
              </c:numCache>
            </c:numRef>
          </c:cat>
          <c:val>
            <c:numRef>
              <c:f>Sheet3!$B$8:$B$19</c:f>
              <c:numCache>
                <c:formatCode>[&gt;=10000000]#\,##\,##\,##0;[&gt;=100000]#\,##\,##0;##,##0</c:formatCode>
                <c:ptCount val="12"/>
                <c:pt idx="0">
                  <c:v>3533.7944999999991</c:v>
                </c:pt>
                <c:pt idx="1">
                  <c:v>4518.8545454545456</c:v>
                </c:pt>
                <c:pt idx="2">
                  <c:v>5203.16</c:v>
                </c:pt>
                <c:pt idx="3" formatCode="#,##0;\-#,##0;0">
                  <c:v>7247.7254999999996</c:v>
                </c:pt>
                <c:pt idx="4" formatCode="#,##0;\-#,##0;0">
                  <c:v>5010.8952380950004</c:v>
                </c:pt>
                <c:pt idx="5" formatCode="#,##0;\-#,##0;0">
                  <c:v>4362.0763157900001</c:v>
                </c:pt>
                <c:pt idx="6" formatCode="#,##0;\-#,##0;0">
                  <c:v>5625.0295000000006</c:v>
                </c:pt>
                <c:pt idx="7" formatCode="#,##0;\-#,##0;0">
                  <c:v>6815.7186363636347</c:v>
                </c:pt>
                <c:pt idx="8" formatCode="#,##0;\-#,##0;0">
                  <c:v>5525.4642857142853</c:v>
                </c:pt>
                <c:pt idx="9" formatCode="#,##0;\-#,##0;0">
                  <c:v>5199.0995238100004</c:v>
                </c:pt>
                <c:pt idx="10" formatCode="#,##0;\-#,##0;0">
                  <c:v>6141.6595238099999</c:v>
                </c:pt>
                <c:pt idx="11" formatCode="#,##0;\-#,##0;0">
                  <c:v>6686.43</c:v>
                </c:pt>
              </c:numCache>
            </c:numRef>
          </c:val>
          <c:extLst>
            <c:ext xmlns:c16="http://schemas.microsoft.com/office/drawing/2014/chart" uri="{C3380CC4-5D6E-409C-BE32-E72D297353CC}">
              <c16:uniqueId val="{00000000-E675-41FE-86E6-10DEB16B75EC}"/>
            </c:ext>
          </c:extLst>
        </c:ser>
        <c:dLbls>
          <c:showLegendKey val="0"/>
          <c:showVal val="0"/>
          <c:showCatName val="0"/>
          <c:showSerName val="0"/>
          <c:showPercent val="0"/>
          <c:showBubbleSize val="0"/>
        </c:dLbls>
        <c:gapWidth val="219"/>
        <c:overlap val="-27"/>
        <c:axId val="577339512"/>
        <c:axId val="577338728"/>
      </c:barChart>
      <c:lineChart>
        <c:grouping val="standard"/>
        <c:varyColors val="0"/>
        <c:ser>
          <c:idx val="0"/>
          <c:order val="2"/>
          <c:tx>
            <c:strRef>
              <c:f>Sheet3!$D$4</c:f>
              <c:strCache>
                <c:ptCount val="1"/>
                <c:pt idx="0">
                  <c:v>ADT at NSE (LHS)</c:v>
                </c:pt>
              </c:strCache>
            </c:strRef>
          </c:tx>
          <c:spPr>
            <a:ln w="28575" cap="rnd">
              <a:solidFill>
                <a:schemeClr val="accent2"/>
              </a:solidFill>
              <a:round/>
            </a:ln>
            <a:effectLst/>
          </c:spPr>
          <c:marker>
            <c:symbol val="none"/>
          </c:marker>
          <c:cat>
            <c:numRef>
              <c:f>Sheet3!$A$8:$A$19</c:f>
              <c:numCache>
                <c:formatCode>[$-409]mmm\-yy</c:formatCode>
                <c:ptCount val="12"/>
                <c:pt idx="0">
                  <c:v>44145</c:v>
                </c:pt>
                <c:pt idx="1">
                  <c:v>44175</c:v>
                </c:pt>
                <c:pt idx="2">
                  <c:v>44206</c:v>
                </c:pt>
                <c:pt idx="3">
                  <c:v>44237</c:v>
                </c:pt>
                <c:pt idx="4">
                  <c:v>44265</c:v>
                </c:pt>
                <c:pt idx="5">
                  <c:v>44296</c:v>
                </c:pt>
                <c:pt idx="6">
                  <c:v>44317</c:v>
                </c:pt>
                <c:pt idx="7">
                  <c:v>44348</c:v>
                </c:pt>
                <c:pt idx="8">
                  <c:v>44378</c:v>
                </c:pt>
                <c:pt idx="9">
                  <c:v>44409</c:v>
                </c:pt>
                <c:pt idx="10">
                  <c:v>44440</c:v>
                </c:pt>
                <c:pt idx="11">
                  <c:v>44471</c:v>
                </c:pt>
              </c:numCache>
            </c:numRef>
          </c:cat>
          <c:val>
            <c:numRef>
              <c:f>Sheet3!$D$8:$D$19</c:f>
              <c:numCache>
                <c:formatCode>[&gt;=10000000]#\,##\,##\,##0;[&gt;=100000]#\,##\,##0;##,##0</c:formatCode>
                <c:ptCount val="12"/>
                <c:pt idx="0">
                  <c:v>66863.595756470837</c:v>
                </c:pt>
                <c:pt idx="1">
                  <c:v>62479.615040464567</c:v>
                </c:pt>
                <c:pt idx="2">
                  <c:v>72472.244728850172</c:v>
                </c:pt>
                <c:pt idx="3" formatCode="#,##0;\-#,##0;0">
                  <c:v>81373.180989999993</c:v>
                </c:pt>
                <c:pt idx="4" formatCode="#,##0;\-#,##0;0">
                  <c:v>66616.515109999993</c:v>
                </c:pt>
                <c:pt idx="5" formatCode="#,##0;\-#,##0;0">
                  <c:v>70036.149999999994</c:v>
                </c:pt>
                <c:pt idx="6" formatCode="#,##0;\-#,##0;0">
                  <c:v>78395.767018697938</c:v>
                </c:pt>
                <c:pt idx="7" formatCode="#,##0;\-#,##0;0">
                  <c:v>70667.895154310216</c:v>
                </c:pt>
                <c:pt idx="8" formatCode="#,##0;\-#,##0;0">
                  <c:v>62653.139047681041</c:v>
                </c:pt>
                <c:pt idx="9" formatCode="#,##0;\-#,##0;0">
                  <c:v>62923</c:v>
                </c:pt>
                <c:pt idx="10" formatCode="#,##0;\-#,##0;0">
                  <c:v>68525</c:v>
                </c:pt>
                <c:pt idx="11" formatCode="#,##0;\-#,##0;0">
                  <c:v>81360.84</c:v>
                </c:pt>
              </c:numCache>
            </c:numRef>
          </c:val>
          <c:smooth val="0"/>
          <c:extLst>
            <c:ext xmlns:c16="http://schemas.microsoft.com/office/drawing/2014/chart" uri="{C3380CC4-5D6E-409C-BE32-E72D297353CC}">
              <c16:uniqueId val="{00000001-E675-41FE-86E6-10DEB16B75EC}"/>
            </c:ext>
          </c:extLst>
        </c:ser>
        <c:dLbls>
          <c:showLegendKey val="0"/>
          <c:showVal val="0"/>
          <c:showCatName val="0"/>
          <c:showSerName val="0"/>
          <c:showPercent val="0"/>
          <c:showBubbleSize val="0"/>
        </c:dLbls>
        <c:marker val="1"/>
        <c:smooth val="0"/>
        <c:axId val="555608008"/>
        <c:axId val="555608400"/>
        <c:extLst>
          <c:ext xmlns:c15="http://schemas.microsoft.com/office/drawing/2012/chart" uri="{02D57815-91ED-43cb-92C2-25804820EDAC}">
            <c15:filteredLineSeries>
              <c15:ser>
                <c:idx val="3"/>
                <c:order val="1"/>
                <c:tx>
                  <c:strRef>
                    <c:extLst>
                      <c:ext uri="{02D57815-91ED-43cb-92C2-25804820EDAC}">
                        <c15:formulaRef>
                          <c15:sqref>Sheet3!$C$4</c15:sqref>
                        </c15:formulaRef>
                      </c:ext>
                    </c:extLst>
                    <c:strCache>
                      <c:ptCount val="1"/>
                      <c:pt idx="0">
                        <c:v>ADV of Sensex (RHS)</c:v>
                      </c:pt>
                    </c:strCache>
                  </c:strRef>
                </c:tx>
                <c:spPr>
                  <a:ln w="28575" cap="rnd">
                    <a:solidFill>
                      <a:srgbClr val="FF0000"/>
                    </a:solidFill>
                    <a:round/>
                  </a:ln>
                  <a:effectLst/>
                </c:spPr>
                <c:marker>
                  <c:symbol val="circle"/>
                  <c:size val="5"/>
                  <c:spPr>
                    <a:solidFill>
                      <a:schemeClr val="accent4"/>
                    </a:solidFill>
                    <a:ln w="9525">
                      <a:solidFill>
                        <a:schemeClr val="accent4"/>
                      </a:solidFill>
                    </a:ln>
                    <a:effectLst/>
                  </c:spPr>
                </c:marker>
                <c:cat>
                  <c:numRef>
                    <c:extLst>
                      <c:ext uri="{02D57815-91ED-43cb-92C2-25804820EDAC}">
                        <c15:formulaRef>
                          <c15:sqref>Sheet3!$A$8:$A$19</c15:sqref>
                        </c15:formulaRef>
                      </c:ext>
                    </c:extLst>
                    <c:numCache>
                      <c:formatCode>[$-409]mmm\-yy</c:formatCode>
                      <c:ptCount val="12"/>
                      <c:pt idx="0">
                        <c:v>44145</c:v>
                      </c:pt>
                      <c:pt idx="1">
                        <c:v>44175</c:v>
                      </c:pt>
                      <c:pt idx="2">
                        <c:v>44206</c:v>
                      </c:pt>
                      <c:pt idx="3">
                        <c:v>44237</c:v>
                      </c:pt>
                      <c:pt idx="4">
                        <c:v>44265</c:v>
                      </c:pt>
                      <c:pt idx="5">
                        <c:v>44296</c:v>
                      </c:pt>
                      <c:pt idx="6">
                        <c:v>44317</c:v>
                      </c:pt>
                      <c:pt idx="7">
                        <c:v>44348</c:v>
                      </c:pt>
                      <c:pt idx="8">
                        <c:v>44378</c:v>
                      </c:pt>
                      <c:pt idx="9">
                        <c:v>44409</c:v>
                      </c:pt>
                      <c:pt idx="10">
                        <c:v>44440</c:v>
                      </c:pt>
                      <c:pt idx="11">
                        <c:v>44471</c:v>
                      </c:pt>
                    </c:numCache>
                  </c:numRef>
                </c:cat>
                <c:val>
                  <c:numRef>
                    <c:extLst>
                      <c:ext uri="{02D57815-91ED-43cb-92C2-25804820EDAC}">
                        <c15:formulaRef>
                          <c15:sqref>Sheet3!$C$8:$C$19</c15:sqref>
                        </c15:formulaRef>
                      </c:ext>
                    </c:extLst>
                    <c:numCache>
                      <c:formatCode>[&gt;=10000000]#\,##\,##\,##0;[&gt;=100000]#\,##\,##0;##,##0</c:formatCode>
                      <c:ptCount val="12"/>
                      <c:pt idx="0">
                        <c:v>43011.3845</c:v>
                      </c:pt>
                      <c:pt idx="1">
                        <c:v>46211.837272727265</c:v>
                      </c:pt>
                      <c:pt idx="2">
                        <c:v>48580.33</c:v>
                      </c:pt>
                      <c:pt idx="3" formatCode="#,##0;\-#,##0;0">
                        <c:v>50782.818000000007</c:v>
                      </c:pt>
                      <c:pt idx="4" formatCode="#,##0;\-#,##0;0">
                        <c:v>50782.818000000007</c:v>
                      </c:pt>
                      <c:pt idx="5" formatCode="#,##0;\-#,##0;0">
                        <c:v>48877.900526315789</c:v>
                      </c:pt>
                      <c:pt idx="6" formatCode="#,##0;\-#,##0;0">
                        <c:v>49822.895499999999</c:v>
                      </c:pt>
                      <c:pt idx="7" formatCode="#,##0;\-#,##0;0">
                        <c:v>52399.699090909089</c:v>
                      </c:pt>
                      <c:pt idx="8" formatCode="#,##0;\-#,##0;0">
                        <c:v>52694.251904761906</c:v>
                      </c:pt>
                    </c:numCache>
                  </c:numRef>
                </c:val>
                <c:smooth val="0"/>
                <c:extLst>
                  <c:ext xmlns:c16="http://schemas.microsoft.com/office/drawing/2014/chart" uri="{C3380CC4-5D6E-409C-BE32-E72D297353CC}">
                    <c16:uniqueId val="{00000002-E675-41FE-86E6-10DEB16B75EC}"/>
                  </c:ext>
                </c:extLst>
              </c15:ser>
            </c15:filteredLineSeries>
            <c15:filteredLineSeries>
              <c15:ser>
                <c:idx val="1"/>
                <c:order val="3"/>
                <c:tx>
                  <c:strRef>
                    <c:extLst xmlns:c15="http://schemas.microsoft.com/office/drawing/2012/chart">
                      <c:ext xmlns:c15="http://schemas.microsoft.com/office/drawing/2012/chart" uri="{02D57815-91ED-43cb-92C2-25804820EDAC}">
                        <c15:formulaRef>
                          <c15:sqref>Sheet3!$E$4</c15:sqref>
                        </c15:formulaRef>
                      </c:ext>
                    </c:extLst>
                    <c:strCache>
                      <c:ptCount val="1"/>
                      <c:pt idx="0">
                        <c:v>ADV of Nifty 50 (RHS)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Sheet3!$A$8:$A$19</c15:sqref>
                        </c15:formulaRef>
                      </c:ext>
                    </c:extLst>
                    <c:numCache>
                      <c:formatCode>[$-409]mmm\-yy</c:formatCode>
                      <c:ptCount val="12"/>
                      <c:pt idx="0">
                        <c:v>44145</c:v>
                      </c:pt>
                      <c:pt idx="1">
                        <c:v>44175</c:v>
                      </c:pt>
                      <c:pt idx="2">
                        <c:v>44206</c:v>
                      </c:pt>
                      <c:pt idx="3">
                        <c:v>44237</c:v>
                      </c:pt>
                      <c:pt idx="4">
                        <c:v>44265</c:v>
                      </c:pt>
                      <c:pt idx="5">
                        <c:v>44296</c:v>
                      </c:pt>
                      <c:pt idx="6">
                        <c:v>44317</c:v>
                      </c:pt>
                      <c:pt idx="7">
                        <c:v>44348</c:v>
                      </c:pt>
                      <c:pt idx="8">
                        <c:v>44378</c:v>
                      </c:pt>
                      <c:pt idx="9">
                        <c:v>44409</c:v>
                      </c:pt>
                      <c:pt idx="10">
                        <c:v>44440</c:v>
                      </c:pt>
                      <c:pt idx="11">
                        <c:v>44471</c:v>
                      </c:pt>
                    </c:numCache>
                  </c:numRef>
                </c:cat>
                <c:val>
                  <c:numRef>
                    <c:extLst xmlns:c15="http://schemas.microsoft.com/office/drawing/2012/chart">
                      <c:ext xmlns:c15="http://schemas.microsoft.com/office/drawing/2012/chart" uri="{02D57815-91ED-43cb-92C2-25804820EDAC}">
                        <c15:formulaRef>
                          <c15:sqref>Sheet3!$E$8:$E$19</c15:sqref>
                        </c15:formulaRef>
                      </c:ext>
                    </c:extLst>
                    <c:numCache>
                      <c:formatCode>[&gt;=10000000]#\,##\,##\,##0;[&gt;=100000]#\,##\,##0;##,##0</c:formatCode>
                      <c:ptCount val="12"/>
                      <c:pt idx="0">
                        <c:v>12602.3225</c:v>
                      </c:pt>
                      <c:pt idx="1">
                        <c:v>13550.44090909091</c:v>
                      </c:pt>
                      <c:pt idx="2">
                        <c:v>14284.602499999999</c:v>
                      </c:pt>
                      <c:pt idx="3">
                        <c:v>14956.842499999999</c:v>
                      </c:pt>
                      <c:pt idx="4">
                        <c:v>14835.099999999999</c:v>
                      </c:pt>
                      <c:pt idx="5">
                        <c:v>14613.852631578948</c:v>
                      </c:pt>
                      <c:pt idx="6">
                        <c:v>15121.611538461539</c:v>
                      </c:pt>
                      <c:pt idx="7">
                        <c:v>15733.677272727275</c:v>
                      </c:pt>
                      <c:pt idx="8">
                        <c:v>15783.097619047621</c:v>
                      </c:pt>
                      <c:pt idx="10">
                        <c:v>17058.61</c:v>
                      </c:pt>
                    </c:numCache>
                  </c:numRef>
                </c:val>
                <c:smooth val="0"/>
                <c:extLst xmlns:c15="http://schemas.microsoft.com/office/drawing/2012/chart">
                  <c:ext xmlns:c16="http://schemas.microsoft.com/office/drawing/2014/chart" uri="{C3380CC4-5D6E-409C-BE32-E72D297353CC}">
                    <c16:uniqueId val="{00000003-E675-41FE-86E6-10DEB16B75EC}"/>
                  </c:ext>
                </c:extLst>
              </c15:ser>
            </c15:filteredLineSeries>
          </c:ext>
        </c:extLst>
      </c:lineChart>
      <c:dateAx>
        <c:axId val="555608008"/>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Palatino Linotype" panose="02040502050505030304" pitchFamily="18" charset="0"/>
                <a:ea typeface="+mn-ea"/>
                <a:cs typeface="+mn-cs"/>
              </a:defRPr>
            </a:pPr>
            <a:endParaRPr lang="en-US"/>
          </a:p>
        </c:txPr>
        <c:crossAx val="555608400"/>
        <c:crosses val="autoZero"/>
        <c:auto val="1"/>
        <c:lblOffset val="100"/>
        <c:baseTimeUnit val="months"/>
      </c:dateAx>
      <c:valAx>
        <c:axId val="555608400"/>
        <c:scaling>
          <c:orientation val="minMax"/>
        </c:scaling>
        <c:delete val="0"/>
        <c:axPos val="l"/>
        <c:numFmt formatCode="[&gt;=10000000]#\,##\,##\,##0;[&gt;=10000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crossAx val="555608008"/>
        <c:crosses val="autoZero"/>
        <c:crossBetween val="between"/>
      </c:valAx>
      <c:valAx>
        <c:axId val="577338728"/>
        <c:scaling>
          <c:orientation val="minMax"/>
        </c:scaling>
        <c:delete val="0"/>
        <c:axPos val="r"/>
        <c:numFmt formatCode="[&gt;=10000000]#\,##\,##\,##0;[&gt;=100000]#\,##\,##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crossAx val="577339512"/>
        <c:crosses val="max"/>
        <c:crossBetween val="between"/>
      </c:valAx>
      <c:dateAx>
        <c:axId val="577339512"/>
        <c:scaling>
          <c:orientation val="minMax"/>
        </c:scaling>
        <c:delete val="1"/>
        <c:axPos val="b"/>
        <c:numFmt formatCode="[$-409]mmm\-yy" sourceLinked="1"/>
        <c:majorTickMark val="out"/>
        <c:minorTickMark val="none"/>
        <c:tickLblPos val="nextTo"/>
        <c:crossAx val="577338728"/>
        <c:crosses val="autoZero"/>
        <c:auto val="1"/>
        <c:lblOffset val="100"/>
        <c:baseTimeUnit val="days"/>
        <c:majorUnit val="1"/>
        <c:minorUnit val="1"/>
      </c:date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Palatino Linotype" panose="0204050205050503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131889763779523E-2"/>
          <c:y val="5.1524036469125567E-2"/>
          <c:w val="0.82362510936132982"/>
          <c:h val="0.600089481122552"/>
        </c:manualLayout>
      </c:layout>
      <c:barChart>
        <c:barDir val="col"/>
        <c:grouping val="clustered"/>
        <c:varyColors val="0"/>
        <c:ser>
          <c:idx val="0"/>
          <c:order val="0"/>
          <c:tx>
            <c:strRef>
              <c:f>Sheet4!$E$5</c:f>
              <c:strCache>
                <c:ptCount val="1"/>
                <c:pt idx="0">
                  <c:v>Return (LHS)</c:v>
                </c:pt>
              </c:strCache>
            </c:strRef>
          </c:tx>
          <c:spPr>
            <a:solidFill>
              <a:srgbClr val="00B050"/>
            </a:solidFill>
            <a:ln>
              <a:noFill/>
            </a:ln>
            <a:effectLst/>
          </c:spPr>
          <c:invertIfNegative val="0"/>
          <c:cat>
            <c:strRef>
              <c:f>Sheet4!$D$6:$D$15</c:f>
              <c:strCache>
                <c:ptCount val="10"/>
                <c:pt idx="0">
                  <c:v>BSE Auto</c:v>
                </c:pt>
                <c:pt idx="1">
                  <c:v>BSECons.Dur.</c:v>
                </c:pt>
                <c:pt idx="2">
                  <c:v>BSE Bank</c:v>
                </c:pt>
                <c:pt idx="3">
                  <c:v>BSE Power</c:v>
                </c:pt>
                <c:pt idx="4">
                  <c:v>BSE Capital Goods</c:v>
                </c:pt>
                <c:pt idx="5">
                  <c:v>BSE PSU</c:v>
                </c:pt>
                <c:pt idx="6">
                  <c:v>BSE Metal</c:v>
                </c:pt>
                <c:pt idx="7">
                  <c:v>BSE Oil&amp;Gas</c:v>
                </c:pt>
                <c:pt idx="8">
                  <c:v>BSE Teck</c:v>
                </c:pt>
                <c:pt idx="9">
                  <c:v>BSE Realty</c:v>
                </c:pt>
              </c:strCache>
            </c:strRef>
          </c:cat>
          <c:val>
            <c:numRef>
              <c:f>Sheet4!$E$6:$E$15</c:f>
              <c:numCache>
                <c:formatCode>0.0</c:formatCode>
                <c:ptCount val="10"/>
                <c:pt idx="0">
                  <c:v>6.1695189953188345</c:v>
                </c:pt>
                <c:pt idx="1">
                  <c:v>4.5455963854678538</c:v>
                </c:pt>
                <c:pt idx="2">
                  <c:v>4.5007197921905773</c:v>
                </c:pt>
                <c:pt idx="3">
                  <c:v>4.3445367380178901</c:v>
                </c:pt>
                <c:pt idx="4">
                  <c:v>2.7212139230522681</c:v>
                </c:pt>
                <c:pt idx="5">
                  <c:v>1.927469359859213</c:v>
                </c:pt>
                <c:pt idx="6">
                  <c:v>-0.81617040084115411</c:v>
                </c:pt>
                <c:pt idx="7">
                  <c:v>-0.86675624003842433</c:v>
                </c:pt>
                <c:pt idx="8">
                  <c:v>-2.4688718236222096</c:v>
                </c:pt>
                <c:pt idx="9">
                  <c:v>-2.8873450510140675</c:v>
                </c:pt>
              </c:numCache>
            </c:numRef>
          </c:val>
          <c:extLst>
            <c:ext xmlns:c16="http://schemas.microsoft.com/office/drawing/2014/chart" uri="{C3380CC4-5D6E-409C-BE32-E72D297353CC}">
              <c16:uniqueId val="{00000000-9E2A-4522-9103-52CA11C16E68}"/>
            </c:ext>
          </c:extLst>
        </c:ser>
        <c:dLbls>
          <c:showLegendKey val="0"/>
          <c:showVal val="0"/>
          <c:showCatName val="0"/>
          <c:showSerName val="0"/>
          <c:showPercent val="0"/>
          <c:showBubbleSize val="0"/>
        </c:dLbls>
        <c:gapWidth val="219"/>
        <c:overlap val="-27"/>
        <c:axId val="577337160"/>
        <c:axId val="577337552"/>
      </c:barChart>
      <c:lineChart>
        <c:grouping val="standard"/>
        <c:varyColors val="0"/>
        <c:ser>
          <c:idx val="1"/>
          <c:order val="1"/>
          <c:tx>
            <c:strRef>
              <c:f>Sheet4!$F$5</c:f>
              <c:strCache>
                <c:ptCount val="1"/>
                <c:pt idx="0">
                  <c:v>Volatility (RHS)</c:v>
                </c:pt>
              </c:strCache>
            </c:strRef>
          </c:tx>
          <c:spPr>
            <a:ln w="28575" cap="rnd">
              <a:solidFill>
                <a:srgbClr val="FF0000"/>
              </a:solidFill>
              <a:round/>
            </a:ln>
            <a:effectLst/>
          </c:spPr>
          <c:marker>
            <c:symbol val="none"/>
          </c:marker>
          <c:cat>
            <c:strRef>
              <c:f>Sheet4!$D$6:$D$15</c:f>
              <c:strCache>
                <c:ptCount val="10"/>
                <c:pt idx="0">
                  <c:v>BSE Auto</c:v>
                </c:pt>
                <c:pt idx="1">
                  <c:v>BSECons.Dur.</c:v>
                </c:pt>
                <c:pt idx="2">
                  <c:v>BSE Bank</c:v>
                </c:pt>
                <c:pt idx="3">
                  <c:v>BSE Power</c:v>
                </c:pt>
                <c:pt idx="4">
                  <c:v>BSE Capital Goods</c:v>
                </c:pt>
                <c:pt idx="5">
                  <c:v>BSE PSU</c:v>
                </c:pt>
                <c:pt idx="6">
                  <c:v>BSE Metal</c:v>
                </c:pt>
                <c:pt idx="7">
                  <c:v>BSE Oil&amp;Gas</c:v>
                </c:pt>
                <c:pt idx="8">
                  <c:v>BSE Teck</c:v>
                </c:pt>
                <c:pt idx="9">
                  <c:v>BSE Realty</c:v>
                </c:pt>
              </c:strCache>
            </c:strRef>
          </c:cat>
          <c:val>
            <c:numRef>
              <c:f>Sheet4!$F$6:$F$15</c:f>
              <c:numCache>
                <c:formatCode>0.0</c:formatCode>
                <c:ptCount val="10"/>
                <c:pt idx="0">
                  <c:v>2.0664610909267864</c:v>
                </c:pt>
                <c:pt idx="1">
                  <c:v>2.206114253440806</c:v>
                </c:pt>
                <c:pt idx="2">
                  <c:v>1.5474040329096861</c:v>
                </c:pt>
                <c:pt idx="3">
                  <c:v>1.7501860998199004</c:v>
                </c:pt>
                <c:pt idx="4">
                  <c:v>1.0136600678290293</c:v>
                </c:pt>
                <c:pt idx="5">
                  <c:v>1.3717072053131736</c:v>
                </c:pt>
                <c:pt idx="6">
                  <c:v>2.0190614190659515</c:v>
                </c:pt>
                <c:pt idx="7">
                  <c:v>1.1525103934043228</c:v>
                </c:pt>
                <c:pt idx="8">
                  <c:v>1.3891322846798373</c:v>
                </c:pt>
                <c:pt idx="9">
                  <c:v>2.5137083741894872</c:v>
                </c:pt>
              </c:numCache>
            </c:numRef>
          </c:val>
          <c:smooth val="0"/>
          <c:extLst>
            <c:ext xmlns:c16="http://schemas.microsoft.com/office/drawing/2014/chart" uri="{C3380CC4-5D6E-409C-BE32-E72D297353CC}">
              <c16:uniqueId val="{00000001-9E2A-4522-9103-52CA11C16E68}"/>
            </c:ext>
          </c:extLst>
        </c:ser>
        <c:dLbls>
          <c:showLegendKey val="0"/>
          <c:showVal val="0"/>
          <c:showCatName val="0"/>
          <c:showSerName val="0"/>
          <c:showPercent val="0"/>
          <c:showBubbleSize val="0"/>
        </c:dLbls>
        <c:marker val="1"/>
        <c:smooth val="0"/>
        <c:axId val="577336376"/>
        <c:axId val="577336768"/>
      </c:lineChart>
      <c:catAx>
        <c:axId val="5773371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crossAx val="577337552"/>
        <c:crosses val="autoZero"/>
        <c:auto val="1"/>
        <c:lblAlgn val="ctr"/>
        <c:lblOffset val="100"/>
        <c:noMultiLvlLbl val="0"/>
      </c:catAx>
      <c:valAx>
        <c:axId val="577337552"/>
        <c:scaling>
          <c:orientation val="minMax"/>
          <c:max val="18"/>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crossAx val="577337160"/>
        <c:crosses val="autoZero"/>
        <c:crossBetween val="between"/>
      </c:valAx>
      <c:valAx>
        <c:axId val="577336768"/>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crossAx val="577336376"/>
        <c:crosses val="max"/>
        <c:crossBetween val="between"/>
        <c:majorUnit val="0.5"/>
      </c:valAx>
      <c:catAx>
        <c:axId val="577336376"/>
        <c:scaling>
          <c:orientation val="minMax"/>
        </c:scaling>
        <c:delete val="1"/>
        <c:axPos val="b"/>
        <c:numFmt formatCode="General" sourceLinked="1"/>
        <c:majorTickMark val="out"/>
        <c:minorTickMark val="none"/>
        <c:tickLblPos val="nextTo"/>
        <c:crossAx val="577336768"/>
        <c:crosses val="autoZero"/>
        <c:auto val="1"/>
        <c:lblAlgn val="ctr"/>
        <c:lblOffset val="100"/>
        <c:noMultiLvlLbl val="0"/>
      </c:catAx>
      <c:spPr>
        <a:noFill/>
        <a:ln>
          <a:solidFill>
            <a:sysClr val="window" lastClr="FFFFFF">
              <a:lumMod val="65000"/>
            </a:sysClr>
          </a:solidFill>
        </a:ln>
        <a:effectLst/>
      </c:spPr>
    </c:plotArea>
    <c:legend>
      <c:legendPos val="b"/>
      <c:layout>
        <c:manualLayout>
          <c:xMode val="edge"/>
          <c:yMode val="edge"/>
          <c:x val="0.24971102052378361"/>
          <c:y val="6.6357786357786289E-2"/>
          <c:w val="0.4960808735333041"/>
          <c:h val="9.9665379665379666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75000"/>
        </a:sysClr>
      </a:solidFill>
      <a:round/>
    </a:ln>
    <a:effectLst/>
  </c:spPr>
  <c:txPr>
    <a:bodyPr/>
    <a:lstStyle/>
    <a:p>
      <a:pPr>
        <a:defRPr sz="1000" b="1">
          <a:solidFill>
            <a:sysClr val="windowText" lastClr="000000"/>
          </a:solidFill>
          <a:latin typeface="Palatino Linotype" panose="0204050205050503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131889763779523E-2"/>
          <c:y val="5.4386482939632545E-2"/>
          <c:w val="0.82362510936132982"/>
          <c:h val="0.59328943312690896"/>
        </c:manualLayout>
      </c:layout>
      <c:barChart>
        <c:barDir val="col"/>
        <c:grouping val="clustered"/>
        <c:varyColors val="0"/>
        <c:ser>
          <c:idx val="0"/>
          <c:order val="0"/>
          <c:tx>
            <c:strRef>
              <c:f>Sheet4!$B$5</c:f>
              <c:strCache>
                <c:ptCount val="1"/>
                <c:pt idx="0">
                  <c:v>Return (LHS)</c:v>
                </c:pt>
              </c:strCache>
            </c:strRef>
          </c:tx>
          <c:spPr>
            <a:solidFill>
              <a:srgbClr val="00B050"/>
            </a:solidFill>
            <a:ln>
              <a:noFill/>
            </a:ln>
            <a:effectLst/>
          </c:spPr>
          <c:invertIfNegative val="0"/>
          <c:cat>
            <c:strRef>
              <c:f>Sheet4!$A$6:$A$15</c:f>
              <c:strCache>
                <c:ptCount val="10"/>
                <c:pt idx="0">
                  <c:v>NIFTY PSU</c:v>
                </c:pt>
                <c:pt idx="1">
                  <c:v>NIFTY Bank</c:v>
                </c:pt>
                <c:pt idx="2">
                  <c:v>NIFTY Energy</c:v>
                </c:pt>
                <c:pt idx="3">
                  <c:v>NIFTY Service Sector</c:v>
                </c:pt>
                <c:pt idx="4">
                  <c:v>NIFTY Infra</c:v>
                </c:pt>
                <c:pt idx="5">
                  <c:v>NIFTY IT</c:v>
                </c:pt>
                <c:pt idx="6">
                  <c:v>NIFTY PSE</c:v>
                </c:pt>
                <c:pt idx="7">
                  <c:v>NIFTY Realty</c:v>
                </c:pt>
                <c:pt idx="8">
                  <c:v>NIFTY Pharma</c:v>
                </c:pt>
                <c:pt idx="9">
                  <c:v>NIFTY FMCG</c:v>
                </c:pt>
              </c:strCache>
            </c:strRef>
          </c:cat>
          <c:val>
            <c:numRef>
              <c:f>Sheet4!$B$6:$B$15</c:f>
              <c:numCache>
                <c:formatCode>0.0</c:formatCode>
                <c:ptCount val="10"/>
                <c:pt idx="0">
                  <c:v>13.7774108455327</c:v>
                </c:pt>
                <c:pt idx="1">
                  <c:v>4.5170219986052196</c:v>
                </c:pt>
                <c:pt idx="2">
                  <c:v>1.6516795684765606</c:v>
                </c:pt>
                <c:pt idx="3">
                  <c:v>0.49189150766169032</c:v>
                </c:pt>
                <c:pt idx="4">
                  <c:v>0.39300745221726441</c:v>
                </c:pt>
                <c:pt idx="5">
                  <c:v>-1.7678714171519894</c:v>
                </c:pt>
                <c:pt idx="6">
                  <c:v>-2.2225205653330637</c:v>
                </c:pt>
                <c:pt idx="7">
                  <c:v>-2.938886726352663</c:v>
                </c:pt>
                <c:pt idx="8">
                  <c:v>-4.0586873120658007</c:v>
                </c:pt>
                <c:pt idx="9">
                  <c:v>-5.4529758290034707</c:v>
                </c:pt>
              </c:numCache>
            </c:numRef>
          </c:val>
          <c:extLst>
            <c:ext xmlns:c16="http://schemas.microsoft.com/office/drawing/2014/chart" uri="{C3380CC4-5D6E-409C-BE32-E72D297353CC}">
              <c16:uniqueId val="{00000000-4039-47F4-9030-86862D5A0644}"/>
            </c:ext>
          </c:extLst>
        </c:ser>
        <c:dLbls>
          <c:showLegendKey val="0"/>
          <c:showVal val="0"/>
          <c:showCatName val="0"/>
          <c:showSerName val="0"/>
          <c:showPercent val="0"/>
          <c:showBubbleSize val="0"/>
        </c:dLbls>
        <c:gapWidth val="219"/>
        <c:overlap val="-27"/>
        <c:axId val="577338336"/>
        <c:axId val="577339120"/>
      </c:barChart>
      <c:lineChart>
        <c:grouping val="standard"/>
        <c:varyColors val="0"/>
        <c:ser>
          <c:idx val="1"/>
          <c:order val="1"/>
          <c:tx>
            <c:strRef>
              <c:f>Sheet4!$C$5</c:f>
              <c:strCache>
                <c:ptCount val="1"/>
                <c:pt idx="0">
                  <c:v>Volatility (RHS)</c:v>
                </c:pt>
              </c:strCache>
            </c:strRef>
          </c:tx>
          <c:spPr>
            <a:ln w="28575" cap="rnd">
              <a:solidFill>
                <a:srgbClr val="FF0000"/>
              </a:solidFill>
              <a:round/>
            </a:ln>
            <a:effectLst/>
          </c:spPr>
          <c:marker>
            <c:symbol val="none"/>
          </c:marker>
          <c:cat>
            <c:strRef>
              <c:f>Sheet4!$A$6:$A$15</c:f>
              <c:strCache>
                <c:ptCount val="10"/>
                <c:pt idx="0">
                  <c:v>NIFTY PSU</c:v>
                </c:pt>
                <c:pt idx="1">
                  <c:v>NIFTY Bank</c:v>
                </c:pt>
                <c:pt idx="2">
                  <c:v>NIFTY Energy</c:v>
                </c:pt>
                <c:pt idx="3">
                  <c:v>NIFTY Service Sector</c:v>
                </c:pt>
                <c:pt idx="4">
                  <c:v>NIFTY Infra</c:v>
                </c:pt>
                <c:pt idx="5">
                  <c:v>NIFTY IT</c:v>
                </c:pt>
                <c:pt idx="6">
                  <c:v>NIFTY PSE</c:v>
                </c:pt>
                <c:pt idx="7">
                  <c:v>NIFTY Realty</c:v>
                </c:pt>
                <c:pt idx="8">
                  <c:v>NIFTY Pharma</c:v>
                </c:pt>
                <c:pt idx="9">
                  <c:v>NIFTY FMCG</c:v>
                </c:pt>
              </c:strCache>
            </c:strRef>
          </c:cat>
          <c:val>
            <c:numRef>
              <c:f>Sheet4!$C$6:$C$15</c:f>
              <c:numCache>
                <c:formatCode>0.0</c:formatCode>
                <c:ptCount val="10"/>
                <c:pt idx="0">
                  <c:v>3.5741672959081234</c:v>
                </c:pt>
                <c:pt idx="1">
                  <c:v>1.5141128140526585</c:v>
                </c:pt>
                <c:pt idx="2">
                  <c:v>1.2885125672613391</c:v>
                </c:pt>
                <c:pt idx="3">
                  <c:v>0.80131521608295853</c:v>
                </c:pt>
                <c:pt idx="4">
                  <c:v>0.84482226591855603</c:v>
                </c:pt>
                <c:pt idx="5">
                  <c:v>1.6021729090509116</c:v>
                </c:pt>
                <c:pt idx="6">
                  <c:v>1.5089616555918737</c:v>
                </c:pt>
                <c:pt idx="7">
                  <c:v>2.5706314198523468</c:v>
                </c:pt>
                <c:pt idx="8">
                  <c:v>1.3671302317039202</c:v>
                </c:pt>
                <c:pt idx="9">
                  <c:v>1.6279287696227673</c:v>
                </c:pt>
              </c:numCache>
            </c:numRef>
          </c:val>
          <c:smooth val="0"/>
          <c:extLst>
            <c:ext xmlns:c16="http://schemas.microsoft.com/office/drawing/2014/chart" uri="{C3380CC4-5D6E-409C-BE32-E72D297353CC}">
              <c16:uniqueId val="{00000001-4039-47F4-9030-86862D5A0644}"/>
            </c:ext>
          </c:extLst>
        </c:ser>
        <c:dLbls>
          <c:showLegendKey val="0"/>
          <c:showVal val="0"/>
          <c:showCatName val="0"/>
          <c:showSerName val="0"/>
          <c:showPercent val="0"/>
          <c:showBubbleSize val="0"/>
        </c:dLbls>
        <c:marker val="1"/>
        <c:smooth val="0"/>
        <c:axId val="570979248"/>
        <c:axId val="570978856"/>
      </c:lineChart>
      <c:catAx>
        <c:axId val="5773383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crossAx val="577339120"/>
        <c:crosses val="autoZero"/>
        <c:auto val="1"/>
        <c:lblAlgn val="ctr"/>
        <c:lblOffset val="100"/>
        <c:noMultiLvlLbl val="0"/>
      </c:catAx>
      <c:valAx>
        <c:axId val="577339120"/>
        <c:scaling>
          <c:orientation val="minMax"/>
          <c:max val="16"/>
          <c:min val="-6"/>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Garamond" panose="02020404030301010803" pitchFamily="18" charset="0"/>
                <a:ea typeface="+mn-ea"/>
                <a:cs typeface="+mn-cs"/>
              </a:defRPr>
            </a:pPr>
            <a:endParaRPr lang="en-US"/>
          </a:p>
        </c:txPr>
        <c:crossAx val="577338336"/>
        <c:crosses val="autoZero"/>
        <c:crossBetween val="between"/>
      </c:valAx>
      <c:valAx>
        <c:axId val="57097885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Garamond" panose="02020404030301010803" pitchFamily="18" charset="0"/>
                <a:ea typeface="+mn-ea"/>
                <a:cs typeface="+mn-cs"/>
              </a:defRPr>
            </a:pPr>
            <a:endParaRPr lang="en-US"/>
          </a:p>
        </c:txPr>
        <c:crossAx val="570979248"/>
        <c:crosses val="max"/>
        <c:crossBetween val="between"/>
      </c:valAx>
      <c:catAx>
        <c:axId val="570979248"/>
        <c:scaling>
          <c:orientation val="minMax"/>
        </c:scaling>
        <c:delete val="1"/>
        <c:axPos val="b"/>
        <c:numFmt formatCode="General" sourceLinked="1"/>
        <c:majorTickMark val="out"/>
        <c:minorTickMark val="none"/>
        <c:tickLblPos val="nextTo"/>
        <c:crossAx val="570978856"/>
        <c:crossesAt val="0"/>
        <c:auto val="1"/>
        <c:lblAlgn val="ctr"/>
        <c:lblOffset val="100"/>
        <c:noMultiLvlLbl val="0"/>
      </c:catAx>
      <c:spPr>
        <a:noFill/>
        <a:ln>
          <a:solidFill>
            <a:schemeClr val="bg1">
              <a:lumMod val="65000"/>
            </a:schemeClr>
          </a:solidFill>
        </a:ln>
        <a:effectLst/>
      </c:spPr>
    </c:plotArea>
    <c:legend>
      <c:legendPos val="b"/>
      <c:layout>
        <c:manualLayout>
          <c:xMode val="edge"/>
          <c:yMode val="edge"/>
          <c:x val="0.28408564002433245"/>
          <c:y val="0.13512216552330109"/>
          <c:w val="0.42318474372226972"/>
          <c:h val="9.8068106293580259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sz="1000" b="1">
          <a:solidFill>
            <a:sysClr val="windowText" lastClr="000000"/>
          </a:solidFill>
          <a:latin typeface="Garamond" panose="02020404030301010803"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802201170888683E-2"/>
          <c:y val="7.710296684118674E-2"/>
          <c:w val="0.92324861451892737"/>
          <c:h val="0.66677638268189454"/>
        </c:manualLayout>
      </c:layout>
      <c:barChart>
        <c:barDir val="col"/>
        <c:grouping val="clustered"/>
        <c:varyColors val="0"/>
        <c:ser>
          <c:idx val="0"/>
          <c:order val="0"/>
          <c:tx>
            <c:strRef>
              <c:f>Sheet1!$G$2</c:f>
              <c:strCache>
                <c:ptCount val="1"/>
                <c:pt idx="0">
                  <c:v>NSDL</c:v>
                </c:pt>
              </c:strCache>
            </c:strRef>
          </c:tx>
          <c:spPr>
            <a:solidFill>
              <a:schemeClr val="accent1"/>
            </a:solidFill>
            <a:ln>
              <a:noFill/>
            </a:ln>
            <a:effectLst/>
          </c:spPr>
          <c:invertIfNegative val="0"/>
          <c:cat>
            <c:numRef>
              <c:f>Sheet1!$F$70:$F$81</c:f>
              <c:numCache>
                <c:formatCode>mmm\-yy</c:formatCode>
                <c:ptCount val="12"/>
                <c:pt idx="0">
                  <c:v>44136</c:v>
                </c:pt>
                <c:pt idx="1">
                  <c:v>44166</c:v>
                </c:pt>
                <c:pt idx="2">
                  <c:v>44197</c:v>
                </c:pt>
                <c:pt idx="3">
                  <c:v>44228</c:v>
                </c:pt>
                <c:pt idx="4">
                  <c:v>44256</c:v>
                </c:pt>
                <c:pt idx="5">
                  <c:v>44287</c:v>
                </c:pt>
                <c:pt idx="6">
                  <c:v>44317</c:v>
                </c:pt>
                <c:pt idx="7">
                  <c:v>44348</c:v>
                </c:pt>
                <c:pt idx="8">
                  <c:v>44378</c:v>
                </c:pt>
                <c:pt idx="9">
                  <c:v>44409</c:v>
                </c:pt>
                <c:pt idx="10">
                  <c:v>44440</c:v>
                </c:pt>
                <c:pt idx="11">
                  <c:v>44470</c:v>
                </c:pt>
              </c:numCache>
            </c:numRef>
          </c:cat>
          <c:val>
            <c:numRef>
              <c:f>Sheet1!$G$70:$G$81</c:f>
              <c:numCache>
                <c:formatCode>0.0</c:formatCode>
                <c:ptCount val="12"/>
                <c:pt idx="0">
                  <c:v>1</c:v>
                </c:pt>
                <c:pt idx="1">
                  <c:v>2</c:v>
                </c:pt>
                <c:pt idx="2">
                  <c:v>2</c:v>
                </c:pt>
                <c:pt idx="3">
                  <c:v>2</c:v>
                </c:pt>
                <c:pt idx="4">
                  <c:v>4</c:v>
                </c:pt>
                <c:pt idx="5">
                  <c:v>2</c:v>
                </c:pt>
                <c:pt idx="6">
                  <c:v>2</c:v>
                </c:pt>
                <c:pt idx="7">
                  <c:v>4</c:v>
                </c:pt>
                <c:pt idx="8">
                  <c:v>3</c:v>
                </c:pt>
                <c:pt idx="9">
                  <c:v>5</c:v>
                </c:pt>
                <c:pt idx="10">
                  <c:v>5</c:v>
                </c:pt>
                <c:pt idx="11">
                  <c:v>4</c:v>
                </c:pt>
              </c:numCache>
            </c:numRef>
          </c:val>
          <c:extLst>
            <c:ext xmlns:c16="http://schemas.microsoft.com/office/drawing/2014/chart" uri="{C3380CC4-5D6E-409C-BE32-E72D297353CC}">
              <c16:uniqueId val="{00000000-920B-4045-BE8E-08EC63A58B4B}"/>
            </c:ext>
          </c:extLst>
        </c:ser>
        <c:ser>
          <c:idx val="1"/>
          <c:order val="1"/>
          <c:tx>
            <c:strRef>
              <c:f>Sheet1!$H$2</c:f>
              <c:strCache>
                <c:ptCount val="1"/>
                <c:pt idx="0">
                  <c:v>CDSL</c:v>
                </c:pt>
              </c:strCache>
            </c:strRef>
          </c:tx>
          <c:spPr>
            <a:solidFill>
              <a:schemeClr val="accent2"/>
            </a:solidFill>
            <a:ln>
              <a:noFill/>
            </a:ln>
            <a:effectLst/>
          </c:spPr>
          <c:invertIfNegative val="0"/>
          <c:cat>
            <c:numRef>
              <c:f>Sheet1!$F$70:$F$81</c:f>
              <c:numCache>
                <c:formatCode>mmm\-yy</c:formatCode>
                <c:ptCount val="12"/>
                <c:pt idx="0">
                  <c:v>44136</c:v>
                </c:pt>
                <c:pt idx="1">
                  <c:v>44166</c:v>
                </c:pt>
                <c:pt idx="2">
                  <c:v>44197</c:v>
                </c:pt>
                <c:pt idx="3">
                  <c:v>44228</c:v>
                </c:pt>
                <c:pt idx="4">
                  <c:v>44256</c:v>
                </c:pt>
                <c:pt idx="5">
                  <c:v>44287</c:v>
                </c:pt>
                <c:pt idx="6">
                  <c:v>44317</c:v>
                </c:pt>
                <c:pt idx="7">
                  <c:v>44348</c:v>
                </c:pt>
                <c:pt idx="8">
                  <c:v>44378</c:v>
                </c:pt>
                <c:pt idx="9">
                  <c:v>44409</c:v>
                </c:pt>
                <c:pt idx="10">
                  <c:v>44440</c:v>
                </c:pt>
                <c:pt idx="11">
                  <c:v>44470</c:v>
                </c:pt>
              </c:numCache>
            </c:numRef>
          </c:cat>
          <c:val>
            <c:numRef>
              <c:f>Sheet1!$H$70:$H$81</c:f>
              <c:numCache>
                <c:formatCode>0.0</c:formatCode>
                <c:ptCount val="12"/>
                <c:pt idx="0">
                  <c:v>9</c:v>
                </c:pt>
                <c:pt idx="1">
                  <c:v>10</c:v>
                </c:pt>
                <c:pt idx="2">
                  <c:v>15</c:v>
                </c:pt>
                <c:pt idx="3">
                  <c:v>14</c:v>
                </c:pt>
                <c:pt idx="4">
                  <c:v>16</c:v>
                </c:pt>
                <c:pt idx="5">
                  <c:v>17</c:v>
                </c:pt>
                <c:pt idx="6">
                  <c:v>24</c:v>
                </c:pt>
                <c:pt idx="7">
                  <c:v>21.5</c:v>
                </c:pt>
                <c:pt idx="8">
                  <c:v>22.5</c:v>
                </c:pt>
                <c:pt idx="9">
                  <c:v>22</c:v>
                </c:pt>
                <c:pt idx="10">
                  <c:v>24</c:v>
                </c:pt>
                <c:pt idx="11">
                  <c:v>31</c:v>
                </c:pt>
              </c:numCache>
            </c:numRef>
          </c:val>
          <c:extLst>
            <c:ext xmlns:c16="http://schemas.microsoft.com/office/drawing/2014/chart" uri="{C3380CC4-5D6E-409C-BE32-E72D297353CC}">
              <c16:uniqueId val="{00000001-920B-4045-BE8E-08EC63A58B4B}"/>
            </c:ext>
          </c:extLst>
        </c:ser>
        <c:dLbls>
          <c:showLegendKey val="0"/>
          <c:showVal val="0"/>
          <c:showCatName val="0"/>
          <c:showSerName val="0"/>
          <c:showPercent val="0"/>
          <c:showBubbleSize val="0"/>
        </c:dLbls>
        <c:gapWidth val="219"/>
        <c:axId val="570980816"/>
        <c:axId val="570980424"/>
      </c:barChart>
      <c:dateAx>
        <c:axId val="57098081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crossAx val="570980424"/>
        <c:crosses val="autoZero"/>
        <c:auto val="0"/>
        <c:lblOffset val="100"/>
        <c:baseTimeUnit val="months"/>
      </c:dateAx>
      <c:valAx>
        <c:axId val="5709804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crossAx val="570980816"/>
        <c:crossesAt val="43891"/>
        <c:crossBetween val="between"/>
      </c:valAx>
      <c:spPr>
        <a:noFill/>
        <a:ln>
          <a:solidFill>
            <a:schemeClr val="bg1">
              <a:lumMod val="7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b="1">
          <a:solidFill>
            <a:sysClr val="windowText" lastClr="000000"/>
          </a:solidFill>
          <a:latin typeface="Palatino Linotype" panose="0204050205050503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81333257938808"/>
          <c:y val="5.3641462625391004E-2"/>
          <c:w val="0.69482934920388084"/>
          <c:h val="0.59820767267105301"/>
        </c:manualLayout>
      </c:layout>
      <c:barChart>
        <c:barDir val="col"/>
        <c:grouping val="clustered"/>
        <c:varyColors val="0"/>
        <c:ser>
          <c:idx val="1"/>
          <c:order val="1"/>
          <c:tx>
            <c:strRef>
              <c:f>'F4 '!$E$1</c:f>
              <c:strCache>
                <c:ptCount val="1"/>
                <c:pt idx="0">
                  <c:v>ADNT at NSE (RHS)</c:v>
                </c:pt>
              </c:strCache>
            </c:strRef>
          </c:tx>
          <c:spPr>
            <a:solidFill>
              <a:srgbClr val="00B050"/>
            </a:solidFill>
            <a:ln>
              <a:noFill/>
            </a:ln>
            <a:effectLst/>
          </c:spPr>
          <c:invertIfNegative val="0"/>
          <c:cat>
            <c:numRef>
              <c:f>'F4 '!$A$2:$A$13</c:f>
              <c:numCache>
                <c:formatCode>[$-409]mmm\-yy</c:formatCode>
                <c:ptCount val="12"/>
                <c:pt idx="0">
                  <c:v>44145</c:v>
                </c:pt>
                <c:pt idx="1">
                  <c:v>44175</c:v>
                </c:pt>
                <c:pt idx="2">
                  <c:v>44206</c:v>
                </c:pt>
                <c:pt idx="3">
                  <c:v>44237</c:v>
                </c:pt>
                <c:pt idx="4">
                  <c:v>44265</c:v>
                </c:pt>
                <c:pt idx="5">
                  <c:v>44296</c:v>
                </c:pt>
                <c:pt idx="6">
                  <c:v>44317</c:v>
                </c:pt>
                <c:pt idx="7">
                  <c:v>44348</c:v>
                </c:pt>
                <c:pt idx="8">
                  <c:v>44378</c:v>
                </c:pt>
                <c:pt idx="9">
                  <c:v>44409</c:v>
                </c:pt>
                <c:pt idx="10">
                  <c:v>44440</c:v>
                </c:pt>
                <c:pt idx="11">
                  <c:v>44470</c:v>
                </c:pt>
              </c:numCache>
            </c:numRef>
          </c:cat>
          <c:val>
            <c:numRef>
              <c:f>'F4 '!$E$2:$E$13</c:f>
              <c:numCache>
                <c:formatCode>[&gt;=10000000]#\,##\,##\,##0;[&gt;=100000]#\,##\,##0;##,##0</c:formatCode>
                <c:ptCount val="12"/>
                <c:pt idx="0">
                  <c:v>2844478.2670458574</c:v>
                </c:pt>
                <c:pt idx="1">
                  <c:v>3057374.9092755187</c:v>
                </c:pt>
                <c:pt idx="2">
                  <c:v>3595657.0081937932</c:v>
                </c:pt>
                <c:pt idx="3">
                  <c:v>4301098.4515000004</c:v>
                </c:pt>
                <c:pt idx="4">
                  <c:v>4438327.3871428566</c:v>
                </c:pt>
                <c:pt idx="5">
                  <c:v>4665024.3789473688</c:v>
                </c:pt>
                <c:pt idx="6">
                  <c:v>4332641.5880000005</c:v>
                </c:pt>
                <c:pt idx="7">
                  <c:v>4608723.0909090908</c:v>
                </c:pt>
                <c:pt idx="8">
                  <c:v>5386820.5952380951</c:v>
                </c:pt>
                <c:pt idx="9" formatCode="_(* #,##0_);_(* \(#,##0\);_(* &quot;-&quot;??_);_(@_)">
                  <c:v>5739759</c:v>
                </c:pt>
                <c:pt idx="10" formatCode="_(* #,##0_);_(* \(#,##0\);_(* &quot;-&quot;??_);_(@_)">
                  <c:v>5739759</c:v>
                </c:pt>
                <c:pt idx="11" formatCode="_(* #,##0_);_(* \(#,##0\);_(* &quot;-&quot;??_);_(@_)">
                  <c:v>5739759</c:v>
                </c:pt>
              </c:numCache>
            </c:numRef>
          </c:val>
          <c:extLst>
            <c:ext xmlns:c16="http://schemas.microsoft.com/office/drawing/2014/chart" uri="{C3380CC4-5D6E-409C-BE32-E72D297353CC}">
              <c16:uniqueId val="{00000001-5616-43DE-909E-DE03B6C2F9C2}"/>
            </c:ext>
          </c:extLst>
        </c:ser>
        <c:dLbls>
          <c:showLegendKey val="0"/>
          <c:showVal val="0"/>
          <c:showCatName val="0"/>
          <c:showSerName val="0"/>
          <c:showPercent val="0"/>
          <c:showBubbleSize val="0"/>
        </c:dLbls>
        <c:gapWidth val="219"/>
        <c:overlap val="-27"/>
        <c:axId val="570978464"/>
        <c:axId val="570978072"/>
      </c:barChart>
      <c:lineChart>
        <c:grouping val="standard"/>
        <c:varyColors val="0"/>
        <c:ser>
          <c:idx val="0"/>
          <c:order val="0"/>
          <c:tx>
            <c:strRef>
              <c:f>'F4 '!$D$1</c:f>
              <c:strCache>
                <c:ptCount val="1"/>
                <c:pt idx="0">
                  <c:v>ADNT at BSE (LHS)</c:v>
                </c:pt>
              </c:strCache>
            </c:strRef>
          </c:tx>
          <c:spPr>
            <a:ln w="28575" cap="rnd">
              <a:solidFill>
                <a:srgbClr val="FF0000"/>
              </a:solidFill>
              <a:round/>
            </a:ln>
            <a:effectLst/>
          </c:spPr>
          <c:marker>
            <c:symbol val="none"/>
          </c:marker>
          <c:cat>
            <c:numRef>
              <c:f>'F4 '!$A$2:$A$13</c:f>
              <c:numCache>
                <c:formatCode>[$-409]mmm\-yy</c:formatCode>
                <c:ptCount val="12"/>
                <c:pt idx="0">
                  <c:v>44145</c:v>
                </c:pt>
                <c:pt idx="1">
                  <c:v>44175</c:v>
                </c:pt>
                <c:pt idx="2">
                  <c:v>44206</c:v>
                </c:pt>
                <c:pt idx="3">
                  <c:v>44237</c:v>
                </c:pt>
                <c:pt idx="4">
                  <c:v>44265</c:v>
                </c:pt>
                <c:pt idx="5">
                  <c:v>44296</c:v>
                </c:pt>
                <c:pt idx="6">
                  <c:v>44317</c:v>
                </c:pt>
                <c:pt idx="7">
                  <c:v>44348</c:v>
                </c:pt>
                <c:pt idx="8">
                  <c:v>44378</c:v>
                </c:pt>
                <c:pt idx="9">
                  <c:v>44409</c:v>
                </c:pt>
                <c:pt idx="10">
                  <c:v>44440</c:v>
                </c:pt>
                <c:pt idx="11">
                  <c:v>44470</c:v>
                </c:pt>
              </c:numCache>
            </c:numRef>
          </c:cat>
          <c:val>
            <c:numRef>
              <c:f>'F4 '!$D$2:$D$13</c:f>
              <c:numCache>
                <c:formatCode>#,##0</c:formatCode>
                <c:ptCount val="12"/>
                <c:pt idx="0">
                  <c:v>218924.7232084875</c:v>
                </c:pt>
                <c:pt idx="1">
                  <c:v>222827.48463496024</c:v>
                </c:pt>
                <c:pt idx="2">
                  <c:v>246651.46454715001</c:v>
                </c:pt>
                <c:pt idx="3">
                  <c:v>291858.57797283505</c:v>
                </c:pt>
                <c:pt idx="4">
                  <c:v>295833.62791219522</c:v>
                </c:pt>
                <c:pt idx="5">
                  <c:v>317790.11645149474</c:v>
                </c:pt>
                <c:pt idx="6">
                  <c:v>323982.19198160624</c:v>
                </c:pt>
                <c:pt idx="7">
                  <c:v>303244.85652462277</c:v>
                </c:pt>
                <c:pt idx="8">
                  <c:v>302849.34979702381</c:v>
                </c:pt>
                <c:pt idx="9">
                  <c:v>303377.24</c:v>
                </c:pt>
                <c:pt idx="10">
                  <c:v>303377.24</c:v>
                </c:pt>
                <c:pt idx="11">
                  <c:v>303377.24</c:v>
                </c:pt>
              </c:numCache>
            </c:numRef>
          </c:val>
          <c:smooth val="0"/>
          <c:extLst>
            <c:ext xmlns:c16="http://schemas.microsoft.com/office/drawing/2014/chart" uri="{C3380CC4-5D6E-409C-BE32-E72D297353CC}">
              <c16:uniqueId val="{00000000-5616-43DE-909E-DE03B6C2F9C2}"/>
            </c:ext>
          </c:extLst>
        </c:ser>
        <c:dLbls>
          <c:showLegendKey val="0"/>
          <c:showVal val="0"/>
          <c:showCatName val="0"/>
          <c:showSerName val="0"/>
          <c:showPercent val="0"/>
          <c:showBubbleSize val="0"/>
        </c:dLbls>
        <c:marker val="1"/>
        <c:smooth val="0"/>
        <c:axId val="570981208"/>
        <c:axId val="570980032"/>
      </c:lineChart>
      <c:dateAx>
        <c:axId val="570981208"/>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70980032"/>
        <c:crosses val="autoZero"/>
        <c:auto val="1"/>
        <c:lblOffset val="100"/>
        <c:baseTimeUnit val="months"/>
      </c:dateAx>
      <c:valAx>
        <c:axId val="57098003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BSE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70981208"/>
        <c:crosses val="autoZero"/>
        <c:crossBetween val="between"/>
      </c:valAx>
      <c:valAx>
        <c:axId val="570978072"/>
        <c:scaling>
          <c:orientation val="minMax"/>
          <c:min val="1000000"/>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r>
                  <a:rPr lang="en-US"/>
                  <a:t>NSE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t;=10000000]#\,##\,##\,##0;[&gt;=10000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70978464"/>
        <c:crosses val="max"/>
        <c:crossBetween val="between"/>
      </c:valAx>
      <c:dateAx>
        <c:axId val="570978464"/>
        <c:scaling>
          <c:orientation val="minMax"/>
        </c:scaling>
        <c:delete val="1"/>
        <c:axPos val="b"/>
        <c:numFmt formatCode="[$-409]mmm\-yy" sourceLinked="1"/>
        <c:majorTickMark val="out"/>
        <c:minorTickMark val="none"/>
        <c:tickLblPos val="nextTo"/>
        <c:crossAx val="570978072"/>
        <c:crosses val="autoZero"/>
        <c:auto val="1"/>
        <c:lblOffset val="100"/>
        <c:baseTimeUnit val="day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0">
          <a:latin typeface="Garamond" panose="02020404030301010803"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33028303894446"/>
          <c:y val="5.4292215724884213E-2"/>
          <c:w val="0.75736946395214111"/>
          <c:h val="0.62586375083681345"/>
        </c:manualLayout>
      </c:layout>
      <c:lineChart>
        <c:grouping val="standard"/>
        <c:varyColors val="0"/>
        <c:ser>
          <c:idx val="0"/>
          <c:order val="0"/>
          <c:tx>
            <c:strRef>
              <c:f>Sheet6!$B$2</c:f>
              <c:strCache>
                <c:ptCount val="1"/>
                <c:pt idx="0">
                  <c:v>BSE  (LHS)</c:v>
                </c:pt>
              </c:strCache>
            </c:strRef>
          </c:tx>
          <c:spPr>
            <a:ln w="28575" cap="rnd">
              <a:solidFill>
                <a:srgbClr val="ED7D31"/>
              </a:solidFill>
              <a:round/>
            </a:ln>
            <a:effectLst/>
          </c:spPr>
          <c:marker>
            <c:symbol val="none"/>
          </c:marker>
          <c:cat>
            <c:numRef>
              <c:f>Sheet6!$A$3:$A$17</c:f>
              <c:numCache>
                <c:formatCode>[$-409]mmm\-yy</c:formatCode>
                <c:ptCount val="12"/>
                <c:pt idx="0">
                  <c:v>44145</c:v>
                </c:pt>
                <c:pt idx="1">
                  <c:v>44175</c:v>
                </c:pt>
                <c:pt idx="2">
                  <c:v>44206</c:v>
                </c:pt>
                <c:pt idx="3">
                  <c:v>44237</c:v>
                </c:pt>
                <c:pt idx="4">
                  <c:v>44265</c:v>
                </c:pt>
                <c:pt idx="5">
                  <c:v>44296</c:v>
                </c:pt>
                <c:pt idx="6">
                  <c:v>44317</c:v>
                </c:pt>
                <c:pt idx="7">
                  <c:v>44348</c:v>
                </c:pt>
                <c:pt idx="8">
                  <c:v>44378</c:v>
                </c:pt>
                <c:pt idx="9">
                  <c:v>44409</c:v>
                </c:pt>
                <c:pt idx="10">
                  <c:v>44440</c:v>
                </c:pt>
                <c:pt idx="11">
                  <c:v>44470</c:v>
                </c:pt>
              </c:numCache>
              <c:extLst/>
            </c:numRef>
          </c:cat>
          <c:val>
            <c:numRef>
              <c:f>Sheet6!$B$3:$B$17</c:f>
              <c:numCache>
                <c:formatCode>0\,00\,000;\-0\,00\,000;0</c:formatCode>
                <c:ptCount val="12"/>
                <c:pt idx="0">
                  <c:v>402246.89210000006</c:v>
                </c:pt>
                <c:pt idx="1">
                  <c:v>496940.56949999998</c:v>
                </c:pt>
                <c:pt idx="2" formatCode="#,##0">
                  <c:v>440262.21429999999</c:v>
                </c:pt>
                <c:pt idx="3">
                  <c:v>449170.83260000002</c:v>
                </c:pt>
                <c:pt idx="4">
                  <c:v>563283.70030000003</c:v>
                </c:pt>
                <c:pt idx="5">
                  <c:v>448635.7488</c:v>
                </c:pt>
                <c:pt idx="6">
                  <c:v>417945.56279999996</c:v>
                </c:pt>
                <c:pt idx="7">
                  <c:v>503265.83970000001</c:v>
                </c:pt>
                <c:pt idx="8" formatCode="[&gt;=10000000]#\,##\,##\,##0;[&gt;=100000]#\,##\,##0;##,##0">
                  <c:v>500963.52590000007</c:v>
                </c:pt>
                <c:pt idx="9" formatCode="[&gt;=10000000]#\,##\,##\,##0;[&gt;=100000]#\,##\,##0;##,##0">
                  <c:v>478902.13159999996</c:v>
                </c:pt>
                <c:pt idx="10" formatCode="[&gt;=10000000]#\,##\,##\,##0;[&gt;=100000]#\,##\,##0;##,##0">
                  <c:v>531555.85820000002</c:v>
                </c:pt>
                <c:pt idx="11" formatCode="[&gt;=10000000]#\,##\,##\,##0;[&gt;=100000]#\,##\,##0;##,##0">
                  <c:v>515735.00710000005</c:v>
                </c:pt>
              </c:numCache>
              <c:extLst/>
            </c:numRef>
          </c:val>
          <c:smooth val="0"/>
          <c:extLst>
            <c:ext xmlns:c16="http://schemas.microsoft.com/office/drawing/2014/chart" uri="{C3380CC4-5D6E-409C-BE32-E72D297353CC}">
              <c16:uniqueId val="{00000000-D8AF-441D-B57A-734DD770A344}"/>
            </c:ext>
          </c:extLst>
        </c:ser>
        <c:ser>
          <c:idx val="1"/>
          <c:order val="1"/>
          <c:tx>
            <c:strRef>
              <c:f>Sheet6!$C$2</c:f>
              <c:strCache>
                <c:ptCount val="1"/>
                <c:pt idx="0">
                  <c:v>NSE (LHS)</c:v>
                </c:pt>
              </c:strCache>
            </c:strRef>
          </c:tx>
          <c:spPr>
            <a:ln w="28575" cap="rnd">
              <a:solidFill>
                <a:srgbClr val="0070C0"/>
              </a:solidFill>
              <a:round/>
            </a:ln>
            <a:effectLst/>
          </c:spPr>
          <c:marker>
            <c:symbol val="none"/>
          </c:marker>
          <c:cat>
            <c:numRef>
              <c:f>Sheet6!$A$3:$A$17</c:f>
              <c:numCache>
                <c:formatCode>[$-409]mmm\-yy</c:formatCode>
                <c:ptCount val="12"/>
                <c:pt idx="0">
                  <c:v>44145</c:v>
                </c:pt>
                <c:pt idx="1">
                  <c:v>44175</c:v>
                </c:pt>
                <c:pt idx="2">
                  <c:v>44206</c:v>
                </c:pt>
                <c:pt idx="3">
                  <c:v>44237</c:v>
                </c:pt>
                <c:pt idx="4">
                  <c:v>44265</c:v>
                </c:pt>
                <c:pt idx="5">
                  <c:v>44296</c:v>
                </c:pt>
                <c:pt idx="6">
                  <c:v>44317</c:v>
                </c:pt>
                <c:pt idx="7">
                  <c:v>44348</c:v>
                </c:pt>
                <c:pt idx="8">
                  <c:v>44378</c:v>
                </c:pt>
                <c:pt idx="9">
                  <c:v>44409</c:v>
                </c:pt>
                <c:pt idx="10">
                  <c:v>44440</c:v>
                </c:pt>
                <c:pt idx="11">
                  <c:v>44470</c:v>
                </c:pt>
              </c:numCache>
              <c:extLst/>
            </c:numRef>
          </c:cat>
          <c:val>
            <c:numRef>
              <c:f>Sheet6!$C$3:$C$17</c:f>
              <c:numCache>
                <c:formatCode>0\,00\,000;\-0\,00\,000;0</c:formatCode>
                <c:ptCount val="12"/>
                <c:pt idx="0">
                  <c:v>1024112.012</c:v>
                </c:pt>
                <c:pt idx="1">
                  <c:v>1160618.8376070948</c:v>
                </c:pt>
                <c:pt idx="2">
                  <c:v>1001205.5174880214</c:v>
                </c:pt>
                <c:pt idx="3">
                  <c:v>1082488.916</c:v>
                </c:pt>
                <c:pt idx="4">
                  <c:v>1444570.959</c:v>
                </c:pt>
                <c:pt idx="5">
                  <c:v>1490637.77</c:v>
                </c:pt>
                <c:pt idx="6">
                  <c:v>1105377.56</c:v>
                </c:pt>
                <c:pt idx="7">
                  <c:v>1378693.62</c:v>
                </c:pt>
                <c:pt idx="8" formatCode="[&gt;=10000000]#\,##\,##\,##0;[&gt;=100000]#\,##\,##0;##,##0">
                  <c:v>1386768.69</c:v>
                </c:pt>
                <c:pt idx="9" formatCode="[&gt;=10000000]#\,##\,##\,##0;[&gt;=100000]#\,##\,##0;##,##0">
                  <c:v>1076862.0382310494</c:v>
                </c:pt>
                <c:pt idx="10" formatCode="[&gt;=10000000]#\,##\,##\,##0;[&gt;=100000]#\,##\,##0;##,##0">
                  <c:v>1489316.15</c:v>
                </c:pt>
                <c:pt idx="11" formatCode="[&gt;=10000000]#\,##\,##\,##0;[&gt;=100000]#\,##\,##0;##,##0">
                  <c:v>1737277.2801382274</c:v>
                </c:pt>
              </c:numCache>
              <c:extLst/>
            </c:numRef>
          </c:val>
          <c:smooth val="0"/>
          <c:extLst>
            <c:ext xmlns:c16="http://schemas.microsoft.com/office/drawing/2014/chart" uri="{C3380CC4-5D6E-409C-BE32-E72D297353CC}">
              <c16:uniqueId val="{00000001-D8AF-441D-B57A-734DD770A344}"/>
            </c:ext>
          </c:extLst>
        </c:ser>
        <c:dLbls>
          <c:showLegendKey val="0"/>
          <c:showVal val="0"/>
          <c:showCatName val="0"/>
          <c:showSerName val="0"/>
          <c:showPercent val="0"/>
          <c:showBubbleSize val="0"/>
        </c:dLbls>
        <c:marker val="1"/>
        <c:smooth val="0"/>
        <c:axId val="567800504"/>
        <c:axId val="567800112"/>
      </c:lineChart>
      <c:lineChart>
        <c:grouping val="standard"/>
        <c:varyColors val="0"/>
        <c:ser>
          <c:idx val="3"/>
          <c:order val="2"/>
          <c:tx>
            <c:strRef>
              <c:f>Sheet6!$D$2</c:f>
              <c:strCache>
                <c:ptCount val="1"/>
                <c:pt idx="0">
                  <c:v>MSEI (RHS)</c:v>
                </c:pt>
              </c:strCache>
            </c:strRef>
          </c:tx>
          <c:spPr>
            <a:ln w="28575" cap="rnd">
              <a:solidFill>
                <a:srgbClr val="00B050"/>
              </a:solidFill>
              <a:round/>
            </a:ln>
            <a:effectLst/>
          </c:spPr>
          <c:marker>
            <c:symbol val="none"/>
          </c:marker>
          <c:cat>
            <c:numRef>
              <c:f>Sheet6!$A$3:$A$17</c:f>
              <c:numCache>
                <c:formatCode>[$-409]mmm\-yy</c:formatCode>
                <c:ptCount val="12"/>
                <c:pt idx="0">
                  <c:v>44145</c:v>
                </c:pt>
                <c:pt idx="1">
                  <c:v>44175</c:v>
                </c:pt>
                <c:pt idx="2">
                  <c:v>44206</c:v>
                </c:pt>
                <c:pt idx="3">
                  <c:v>44237</c:v>
                </c:pt>
                <c:pt idx="4">
                  <c:v>44265</c:v>
                </c:pt>
                <c:pt idx="5">
                  <c:v>44296</c:v>
                </c:pt>
                <c:pt idx="6">
                  <c:v>44317</c:v>
                </c:pt>
                <c:pt idx="7">
                  <c:v>44348</c:v>
                </c:pt>
                <c:pt idx="8">
                  <c:v>44378</c:v>
                </c:pt>
                <c:pt idx="9">
                  <c:v>44409</c:v>
                </c:pt>
                <c:pt idx="10">
                  <c:v>44440</c:v>
                </c:pt>
                <c:pt idx="11">
                  <c:v>44470</c:v>
                </c:pt>
              </c:numCache>
              <c:extLst/>
            </c:numRef>
          </c:cat>
          <c:val>
            <c:numRef>
              <c:f>Sheet6!$D$3:$D$17</c:f>
              <c:numCache>
                <c:formatCode>#,##0;\-#,##0;0</c:formatCode>
                <c:ptCount val="12"/>
                <c:pt idx="0">
                  <c:v>12344.712834499998</c:v>
                </c:pt>
                <c:pt idx="1">
                  <c:v>14310.276320249999</c:v>
                </c:pt>
                <c:pt idx="2">
                  <c:v>13562.270864749999</c:v>
                </c:pt>
                <c:pt idx="3">
                  <c:v>12191.89372125</c:v>
                </c:pt>
                <c:pt idx="4">
                  <c:v>14323.94781</c:v>
                </c:pt>
                <c:pt idx="5">
                  <c:v>9625.6356357500008</c:v>
                </c:pt>
                <c:pt idx="6">
                  <c:v>12607.516215999998</c:v>
                </c:pt>
                <c:pt idx="7">
                  <c:v>14464.578571</c:v>
                </c:pt>
                <c:pt idx="8" formatCode="[&gt;=10000000]#\,##\,##\,##0;[&gt;=100000]#\,##\,##0;##,##0">
                  <c:v>6391.1461387500003</c:v>
                </c:pt>
                <c:pt idx="9" formatCode="[&gt;=10000000]#\,##\,##\,##0;[&gt;=100000]#\,##\,##0;##,##0">
                  <c:v>5395</c:v>
                </c:pt>
                <c:pt idx="10" formatCode="[&gt;=10000000]#\,##\,##\,##0;[&gt;=100000]#\,##\,##0;##,##0">
                  <c:v>4618.395657</c:v>
                </c:pt>
                <c:pt idx="11" formatCode="[&gt;=10000000]#\,##\,##\,##0;[&gt;=100000]#\,##\,##0;##,##0">
                  <c:v>4432</c:v>
                </c:pt>
              </c:numCache>
              <c:extLst/>
            </c:numRef>
          </c:val>
          <c:smooth val="0"/>
          <c:extLst>
            <c:ext xmlns:c16="http://schemas.microsoft.com/office/drawing/2014/chart" uri="{C3380CC4-5D6E-409C-BE32-E72D297353CC}">
              <c16:uniqueId val="{00000002-D8AF-441D-B57A-734DD770A344}"/>
            </c:ext>
          </c:extLst>
        </c:ser>
        <c:dLbls>
          <c:showLegendKey val="0"/>
          <c:showVal val="0"/>
          <c:showCatName val="0"/>
          <c:showSerName val="0"/>
          <c:showPercent val="0"/>
          <c:showBubbleSize val="0"/>
        </c:dLbls>
        <c:marker val="1"/>
        <c:smooth val="0"/>
        <c:axId val="567801680"/>
        <c:axId val="567802464"/>
      </c:lineChart>
      <c:dateAx>
        <c:axId val="567800504"/>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crossAx val="567800112"/>
        <c:crosses val="autoZero"/>
        <c:auto val="1"/>
        <c:lblOffset val="100"/>
        <c:baseTimeUnit val="months"/>
      </c:dateAx>
      <c:valAx>
        <c:axId val="567800112"/>
        <c:scaling>
          <c:orientation val="minMax"/>
          <c:min val="200000"/>
        </c:scaling>
        <c:delete val="0"/>
        <c:axPos val="l"/>
        <c:numFmt formatCode="0\,00\,000;\-0\,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crossAx val="567800504"/>
        <c:crosses val="autoZero"/>
        <c:crossBetween val="between"/>
      </c:valAx>
      <c:valAx>
        <c:axId val="567802464"/>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crossAx val="567801680"/>
        <c:crosses val="max"/>
        <c:crossBetween val="between"/>
      </c:valAx>
      <c:dateAx>
        <c:axId val="567801680"/>
        <c:scaling>
          <c:orientation val="minMax"/>
        </c:scaling>
        <c:delete val="1"/>
        <c:axPos val="b"/>
        <c:numFmt formatCode="[$-409]mmm\-yy" sourceLinked="1"/>
        <c:majorTickMark val="out"/>
        <c:minorTickMark val="none"/>
        <c:tickLblPos val="nextTo"/>
        <c:crossAx val="567802464"/>
        <c:crosses val="autoZero"/>
        <c:auto val="1"/>
        <c:lblOffset val="100"/>
        <c:baseTimeUnit val="day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0">
          <a:solidFill>
            <a:sysClr val="windowText" lastClr="000000"/>
          </a:solidFill>
          <a:latin typeface="Garamond" panose="02020404030301010803" pitchFamily="18"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Sheet8!$B$2</c:f>
              <c:strCache>
                <c:ptCount val="1"/>
                <c:pt idx="0">
                  <c:v>BSE</c:v>
                </c:pt>
              </c:strCache>
            </c:strRef>
          </c:tx>
          <c:spPr>
            <a:ln w="28575" cap="rnd">
              <a:solidFill>
                <a:srgbClr val="ED7D31"/>
              </a:solidFill>
              <a:round/>
            </a:ln>
            <a:effectLst/>
          </c:spPr>
          <c:marker>
            <c:symbol val="none"/>
          </c:marker>
          <c:dLbls>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D4-46F0-BE92-A829DCEFED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Sheet8!$A$3:$A$17</c:f>
              <c:numCache>
                <c:formatCode>[$-409]mmm\-yy</c:formatCode>
                <c:ptCount val="12"/>
                <c:pt idx="0">
                  <c:v>44145</c:v>
                </c:pt>
                <c:pt idx="1">
                  <c:v>44175</c:v>
                </c:pt>
                <c:pt idx="2">
                  <c:v>44206</c:v>
                </c:pt>
                <c:pt idx="3">
                  <c:v>44237</c:v>
                </c:pt>
                <c:pt idx="4">
                  <c:v>44265</c:v>
                </c:pt>
                <c:pt idx="5">
                  <c:v>44296</c:v>
                </c:pt>
                <c:pt idx="6">
                  <c:v>44317</c:v>
                </c:pt>
                <c:pt idx="7">
                  <c:v>44348</c:v>
                </c:pt>
                <c:pt idx="8">
                  <c:v>44379</c:v>
                </c:pt>
                <c:pt idx="9">
                  <c:v>44410</c:v>
                </c:pt>
                <c:pt idx="10">
                  <c:v>44441</c:v>
                </c:pt>
                <c:pt idx="11">
                  <c:v>44471</c:v>
                </c:pt>
              </c:numCache>
            </c:numRef>
          </c:cat>
          <c:val>
            <c:numRef>
              <c:f>Sheet8!$B$3:$B$17</c:f>
              <c:numCache>
                <c:formatCode>#,##0;\-#,##0;0</c:formatCode>
                <c:ptCount val="12"/>
                <c:pt idx="0">
                  <c:v>3284.3459999999995</c:v>
                </c:pt>
                <c:pt idx="1">
                  <c:v>1087.3935000000001</c:v>
                </c:pt>
                <c:pt idx="2">
                  <c:v>1100.9360999999999</c:v>
                </c:pt>
                <c:pt idx="3">
                  <c:v>5520.3626999999997</c:v>
                </c:pt>
                <c:pt idx="4">
                  <c:v>14649.4748</c:v>
                </c:pt>
                <c:pt idx="5">
                  <c:v>155.46360000000001</c:v>
                </c:pt>
                <c:pt idx="6">
                  <c:v>2276.2072000000003</c:v>
                </c:pt>
                <c:pt idx="7">
                  <c:v>3124.1062999999999</c:v>
                </c:pt>
                <c:pt idx="8" formatCode="_(* #,##0_);_(* \(#,##0\);_(* &quot;-&quot;??_);_(@_)">
                  <c:v>2288.64</c:v>
                </c:pt>
                <c:pt idx="9" formatCode="_(* #,##0_);_(* \(#,##0\);_(* &quot;-&quot;??_);_(@_)">
                  <c:v>3833</c:v>
                </c:pt>
                <c:pt idx="10" formatCode="_(* #,##0_);_(* \(#,##0\);_(* &quot;-&quot;??_);_(@_)">
                  <c:v>4252</c:v>
                </c:pt>
                <c:pt idx="11" formatCode="_(* #,##0_);_(* \(#,##0\);_(* &quot;-&quot;??_);_(@_)">
                  <c:v>3297.4011000000005</c:v>
                </c:pt>
              </c:numCache>
            </c:numRef>
          </c:val>
          <c:smooth val="0"/>
          <c:extLst>
            <c:ext xmlns:c16="http://schemas.microsoft.com/office/drawing/2014/chart" uri="{C3380CC4-5D6E-409C-BE32-E72D297353CC}">
              <c16:uniqueId val="{00000000-2205-4119-BC05-A898E4D1BD7A}"/>
            </c:ext>
          </c:extLst>
        </c:ser>
        <c:ser>
          <c:idx val="1"/>
          <c:order val="1"/>
          <c:tx>
            <c:strRef>
              <c:f>Sheet8!$C$2</c:f>
              <c:strCache>
                <c:ptCount val="1"/>
                <c:pt idx="0">
                  <c:v>NSE</c:v>
                </c:pt>
              </c:strCache>
            </c:strRef>
          </c:tx>
          <c:spPr>
            <a:ln w="28575" cap="rnd">
              <a:solidFill>
                <a:schemeClr val="accent5"/>
              </a:solidFill>
              <a:round/>
            </a:ln>
            <a:effectLst/>
          </c:spPr>
          <c:marker>
            <c:symbol val="none"/>
          </c:marker>
          <c:dLbls>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D4-46F0-BE92-A829DCEFED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Sheet8!$A$3:$A$17</c:f>
              <c:numCache>
                <c:formatCode>[$-409]mmm\-yy</c:formatCode>
                <c:ptCount val="12"/>
                <c:pt idx="0">
                  <c:v>44145</c:v>
                </c:pt>
                <c:pt idx="1">
                  <c:v>44175</c:v>
                </c:pt>
                <c:pt idx="2">
                  <c:v>44206</c:v>
                </c:pt>
                <c:pt idx="3">
                  <c:v>44237</c:v>
                </c:pt>
                <c:pt idx="4">
                  <c:v>44265</c:v>
                </c:pt>
                <c:pt idx="5">
                  <c:v>44296</c:v>
                </c:pt>
                <c:pt idx="6">
                  <c:v>44317</c:v>
                </c:pt>
                <c:pt idx="7">
                  <c:v>44348</c:v>
                </c:pt>
                <c:pt idx="8">
                  <c:v>44379</c:v>
                </c:pt>
                <c:pt idx="9">
                  <c:v>44410</c:v>
                </c:pt>
                <c:pt idx="10">
                  <c:v>44441</c:v>
                </c:pt>
                <c:pt idx="11">
                  <c:v>44471</c:v>
                </c:pt>
              </c:numCache>
            </c:numRef>
          </c:cat>
          <c:val>
            <c:numRef>
              <c:f>Sheet8!$C$3:$C$17</c:f>
              <c:numCache>
                <c:formatCode>#,##0;\-#,##0;0</c:formatCode>
                <c:ptCount val="12"/>
                <c:pt idx="0">
                  <c:v>3735.2176584999997</c:v>
                </c:pt>
                <c:pt idx="1">
                  <c:v>5464.1321635000004</c:v>
                </c:pt>
                <c:pt idx="2">
                  <c:v>4093.5442204999999</c:v>
                </c:pt>
                <c:pt idx="3">
                  <c:v>6734.7814850000004</c:v>
                </c:pt>
                <c:pt idx="4">
                  <c:v>4389.8273959999997</c:v>
                </c:pt>
                <c:pt idx="5">
                  <c:v>2364.85</c:v>
                </c:pt>
                <c:pt idx="6">
                  <c:v>2810.9</c:v>
                </c:pt>
                <c:pt idx="7">
                  <c:v>1965.78</c:v>
                </c:pt>
                <c:pt idx="8" formatCode="_(* #,##0_);_(* \(#,##0\);_(* &quot;-&quot;??_);_(@_)">
                  <c:v>2141</c:v>
                </c:pt>
                <c:pt idx="9" formatCode="_(* #,##0_);_(* \(#,##0\);_(* &quot;-&quot;??_);_(@_)">
                  <c:v>1569</c:v>
                </c:pt>
                <c:pt idx="10" formatCode="_(* #,##0_);_(* \(#,##0\);_(* &quot;-&quot;??_);_(@_)">
                  <c:v>1971</c:v>
                </c:pt>
                <c:pt idx="11" formatCode="_(* #,##0_);_(* \(#,##0\);_(* &quot;-&quot;??_);_(@_)">
                  <c:v>2279.9407679999995</c:v>
                </c:pt>
              </c:numCache>
            </c:numRef>
          </c:val>
          <c:smooth val="0"/>
          <c:extLst>
            <c:ext xmlns:c16="http://schemas.microsoft.com/office/drawing/2014/chart" uri="{C3380CC4-5D6E-409C-BE32-E72D297353CC}">
              <c16:uniqueId val="{00000001-2205-4119-BC05-A898E4D1BD7A}"/>
            </c:ext>
          </c:extLst>
        </c:ser>
        <c:dLbls>
          <c:showLegendKey val="0"/>
          <c:showVal val="0"/>
          <c:showCatName val="0"/>
          <c:showSerName val="0"/>
          <c:showPercent val="0"/>
          <c:showBubbleSize val="0"/>
        </c:dLbls>
        <c:smooth val="0"/>
        <c:axId val="567802072"/>
        <c:axId val="567802856"/>
      </c:lineChart>
      <c:dateAx>
        <c:axId val="567802072"/>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crossAx val="567802856"/>
        <c:crosses val="autoZero"/>
        <c:auto val="1"/>
        <c:lblOffset val="100"/>
        <c:baseTimeUnit val="months"/>
      </c:dateAx>
      <c:valAx>
        <c:axId val="56780285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crossAx val="567802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0">
          <a:solidFill>
            <a:sysClr val="windowText" lastClr="000000"/>
          </a:solidFill>
          <a:latin typeface="Garamond" panose="02020404030301010803" pitchFamily="18"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1"/>
          <c:tx>
            <c:strRef>
              <c:f>Sheet7!$C$3:$C$4</c:f>
              <c:strCache>
                <c:ptCount val="2"/>
                <c:pt idx="0">
                  <c:v>BSE</c:v>
                </c:pt>
                <c:pt idx="1">
                  <c:v>Traded Value (₹crore)</c:v>
                </c:pt>
              </c:strCache>
            </c:strRef>
          </c:tx>
          <c:spPr>
            <a:solidFill>
              <a:srgbClr val="FF0000"/>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Sheet7!$A$5:$A$19</c:f>
              <c:strCache>
                <c:ptCount val="12"/>
                <c:pt idx="0">
                  <c:v>Nov-20</c:v>
                </c:pt>
                <c:pt idx="1">
                  <c:v>Dec-20</c:v>
                </c:pt>
                <c:pt idx="2">
                  <c:v>Jan-21</c:v>
                </c:pt>
                <c:pt idx="3">
                  <c:v>Feb-21</c:v>
                </c:pt>
                <c:pt idx="4">
                  <c:v>Mar-21</c:v>
                </c:pt>
                <c:pt idx="5">
                  <c:v>Apr-21</c:v>
                </c:pt>
                <c:pt idx="6">
                  <c:v>May-21</c:v>
                </c:pt>
                <c:pt idx="7">
                  <c:v>Jun-21</c:v>
                </c:pt>
                <c:pt idx="8">
                  <c:v>Jul-21</c:v>
                </c:pt>
                <c:pt idx="9">
                  <c:v>Aug-21</c:v>
                </c:pt>
                <c:pt idx="10">
                  <c:v>Sep-21</c:v>
                </c:pt>
                <c:pt idx="11">
                  <c:v>Oct-21</c:v>
                </c:pt>
              </c:strCache>
              <c:extLst/>
            </c:strRef>
          </c:cat>
          <c:val>
            <c:numRef>
              <c:f>Sheet7!$C$5:$C$19</c:f>
              <c:numCache>
                <c:formatCode>#,##0;\-#,##0;0</c:formatCode>
                <c:ptCount val="12"/>
                <c:pt idx="0">
                  <c:v>35255.333224302012</c:v>
                </c:pt>
                <c:pt idx="1">
                  <c:v>34626.160000000003</c:v>
                </c:pt>
                <c:pt idx="2">
                  <c:v>48384.845524290002</c:v>
                </c:pt>
                <c:pt idx="3">
                  <c:v>43534.32</c:v>
                </c:pt>
                <c:pt idx="4">
                  <c:v>64043.87</c:v>
                </c:pt>
                <c:pt idx="5">
                  <c:v>60888.553099999997</c:v>
                </c:pt>
                <c:pt idx="6">
                  <c:v>54135.76</c:v>
                </c:pt>
                <c:pt idx="7">
                  <c:v>61390.57</c:v>
                </c:pt>
                <c:pt idx="8">
                  <c:v>48404.689310000002</c:v>
                </c:pt>
                <c:pt idx="9">
                  <c:v>55957.11</c:v>
                </c:pt>
                <c:pt idx="10">
                  <c:v>63765.96701</c:v>
                </c:pt>
                <c:pt idx="11" formatCode="_ * #,##0_ ;_ * \-#,##0_ ;_ * &quot;-&quot;??_ ;_ @_ ">
                  <c:v>49075.25</c:v>
                </c:pt>
              </c:numCache>
              <c:extLst/>
            </c:numRef>
          </c:val>
          <c:extLst>
            <c:ext xmlns:c16="http://schemas.microsoft.com/office/drawing/2014/chart" uri="{C3380CC4-5D6E-409C-BE32-E72D297353CC}">
              <c16:uniqueId val="{00000000-D8B5-419D-B6CB-91044763BD69}"/>
            </c:ext>
          </c:extLst>
        </c:ser>
        <c:ser>
          <c:idx val="3"/>
          <c:order val="3"/>
          <c:tx>
            <c:strRef>
              <c:f>Sheet7!$E$3:$E$4</c:f>
              <c:strCache>
                <c:ptCount val="2"/>
                <c:pt idx="0">
                  <c:v>NSE</c:v>
                </c:pt>
                <c:pt idx="1">
                  <c:v>Traded Value (₹crore)</c:v>
                </c:pt>
              </c:strCache>
            </c:strRef>
          </c:tx>
          <c:spPr>
            <a:solidFill>
              <a:srgbClr val="00B050"/>
            </a:solidFill>
            <a:ln>
              <a:noFill/>
            </a:ln>
            <a:effectLst/>
          </c:spPr>
          <c:invertIfNegative val="0"/>
          <c:dLbls>
            <c:dLbl>
              <c:idx val="10"/>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8B5-419D-B6CB-91044763BD69}"/>
                </c:ext>
              </c:extLst>
            </c:dLbl>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Sheet7!$A$5:$A$19</c:f>
              <c:strCache>
                <c:ptCount val="12"/>
                <c:pt idx="0">
                  <c:v>Nov-20</c:v>
                </c:pt>
                <c:pt idx="1">
                  <c:v>Dec-20</c:v>
                </c:pt>
                <c:pt idx="2">
                  <c:v>Jan-21</c:v>
                </c:pt>
                <c:pt idx="3">
                  <c:v>Feb-21</c:v>
                </c:pt>
                <c:pt idx="4">
                  <c:v>Mar-21</c:v>
                </c:pt>
                <c:pt idx="5">
                  <c:v>Apr-21</c:v>
                </c:pt>
                <c:pt idx="6">
                  <c:v>May-21</c:v>
                </c:pt>
                <c:pt idx="7">
                  <c:v>Jun-21</c:v>
                </c:pt>
                <c:pt idx="8">
                  <c:v>Jul-21</c:v>
                </c:pt>
                <c:pt idx="9">
                  <c:v>Aug-21</c:v>
                </c:pt>
                <c:pt idx="10">
                  <c:v>Sep-21</c:v>
                </c:pt>
                <c:pt idx="11">
                  <c:v>Oct-21</c:v>
                </c:pt>
              </c:strCache>
              <c:extLst/>
            </c:strRef>
          </c:cat>
          <c:val>
            <c:numRef>
              <c:f>Sheet7!$E$5:$E$19</c:f>
              <c:numCache>
                <c:formatCode>#,##0</c:formatCode>
                <c:ptCount val="12"/>
                <c:pt idx="0">
                  <c:v>79665.3</c:v>
                </c:pt>
                <c:pt idx="1">
                  <c:v>76874.000000000015</c:v>
                </c:pt>
                <c:pt idx="2">
                  <c:v>83618.37999999999</c:v>
                </c:pt>
                <c:pt idx="3">
                  <c:v>75565.039999999994</c:v>
                </c:pt>
                <c:pt idx="4">
                  <c:v>95400.379999999976</c:v>
                </c:pt>
                <c:pt idx="5">
                  <c:v>90992.76</c:v>
                </c:pt>
                <c:pt idx="6">
                  <c:v>79923.94</c:v>
                </c:pt>
                <c:pt idx="7">
                  <c:v>91924.45</c:v>
                </c:pt>
                <c:pt idx="8">
                  <c:v>66672.289999999994</c:v>
                </c:pt>
                <c:pt idx="9">
                  <c:v>88259.38</c:v>
                </c:pt>
                <c:pt idx="10">
                  <c:v>126974.72</c:v>
                </c:pt>
                <c:pt idx="11" formatCode="_ * #,##0_ ;_ * \-#,##0_ ;_ * &quot;-&quot;??_ ;_ @_ ">
                  <c:v>97201.37</c:v>
                </c:pt>
              </c:numCache>
              <c:extLst/>
            </c:numRef>
          </c:val>
          <c:extLst>
            <c:ext xmlns:c16="http://schemas.microsoft.com/office/drawing/2014/chart" uri="{C3380CC4-5D6E-409C-BE32-E72D297353CC}">
              <c16:uniqueId val="{00000002-D8B5-419D-B6CB-91044763BD69}"/>
            </c:ext>
          </c:extLst>
        </c:ser>
        <c:dLbls>
          <c:showLegendKey val="0"/>
          <c:showVal val="0"/>
          <c:showCatName val="0"/>
          <c:showSerName val="0"/>
          <c:showPercent val="0"/>
          <c:showBubbleSize val="0"/>
        </c:dLbls>
        <c:gapWidth val="219"/>
        <c:overlap val="-27"/>
        <c:axId val="567799328"/>
        <c:axId val="559034080"/>
        <c:extLst>
          <c:ext xmlns:c15="http://schemas.microsoft.com/office/drawing/2012/chart" uri="{02D57815-91ED-43cb-92C2-25804820EDAC}">
            <c15:filteredBarSeries>
              <c15:ser>
                <c:idx val="0"/>
                <c:order val="0"/>
                <c:tx>
                  <c:strRef>
                    <c:extLst>
                      <c:ext uri="{02D57815-91ED-43cb-92C2-25804820EDAC}">
                        <c15:formulaRef>
                          <c15:sqref>Sheet7!$B$3:$B$4</c15:sqref>
                        </c15:formulaRef>
                      </c:ext>
                    </c:extLst>
                    <c:strCache>
                      <c:ptCount val="2"/>
                      <c:pt idx="0">
                        <c:v>BSE</c:v>
                      </c:pt>
                      <c:pt idx="1">
                        <c:v>No. of Trades</c:v>
                      </c:pt>
                    </c:strCache>
                  </c:strRef>
                </c:tx>
                <c:spPr>
                  <a:solidFill>
                    <a:schemeClr val="accent1"/>
                  </a:solidFill>
                  <a:ln>
                    <a:noFill/>
                  </a:ln>
                  <a:effectLst/>
                </c:spPr>
                <c:invertIfNegative val="0"/>
                <c:cat>
                  <c:strRef>
                    <c:extLst>
                      <c:ext uri="{02D57815-91ED-43cb-92C2-25804820EDAC}">
                        <c15:formulaRef>
                          <c15:sqref>Sheet7!$A$5:$A$19</c15:sqref>
                        </c15:formulaRef>
                      </c:ext>
                    </c:extLst>
                    <c:strCache>
                      <c:ptCount val="12"/>
                      <c:pt idx="0">
                        <c:v>Nov-20</c:v>
                      </c:pt>
                      <c:pt idx="1">
                        <c:v>Dec-20</c:v>
                      </c:pt>
                      <c:pt idx="2">
                        <c:v>Jan-21</c:v>
                      </c:pt>
                      <c:pt idx="3">
                        <c:v>Feb-21</c:v>
                      </c:pt>
                      <c:pt idx="4">
                        <c:v>Mar-21</c:v>
                      </c:pt>
                      <c:pt idx="5">
                        <c:v>Apr-21</c:v>
                      </c:pt>
                      <c:pt idx="6">
                        <c:v>May-21</c:v>
                      </c:pt>
                      <c:pt idx="7">
                        <c:v>Jun-21</c:v>
                      </c:pt>
                      <c:pt idx="8">
                        <c:v>Jul-21</c:v>
                      </c:pt>
                      <c:pt idx="9">
                        <c:v>Aug-21</c:v>
                      </c:pt>
                      <c:pt idx="10">
                        <c:v>Sep-21</c:v>
                      </c:pt>
                      <c:pt idx="11">
                        <c:v>Oct-21</c:v>
                      </c:pt>
                    </c:strCache>
                  </c:strRef>
                </c:cat>
                <c:val>
                  <c:numRef>
                    <c:extLst>
                      <c:ext uri="{02D57815-91ED-43cb-92C2-25804820EDAC}">
                        <c15:formulaRef>
                          <c15:sqref>Sheet7!$B$5:$B$19</c15:sqref>
                        </c15:formulaRef>
                      </c:ext>
                    </c:extLst>
                    <c:numCache>
                      <c:formatCode>#,##0;\-#,##0;0</c:formatCode>
                      <c:ptCount val="12"/>
                      <c:pt idx="0">
                        <c:v>4913</c:v>
                      </c:pt>
                      <c:pt idx="1">
                        <c:v>6496</c:v>
                      </c:pt>
                      <c:pt idx="2">
                        <c:v>5537</c:v>
                      </c:pt>
                      <c:pt idx="3">
                        <c:v>5646</c:v>
                      </c:pt>
                      <c:pt idx="4">
                        <c:v>8369</c:v>
                      </c:pt>
                      <c:pt idx="5">
                        <c:v>7236</c:v>
                      </c:pt>
                      <c:pt idx="6">
                        <c:v>6259</c:v>
                      </c:pt>
                      <c:pt idx="7">
                        <c:v>8007</c:v>
                      </c:pt>
                      <c:pt idx="8">
                        <c:v>6745</c:v>
                      </c:pt>
                      <c:pt idx="9">
                        <c:v>7356</c:v>
                      </c:pt>
                      <c:pt idx="10">
                        <c:v>7886</c:v>
                      </c:pt>
                      <c:pt idx="11" formatCode="_ * #,##0_ ;_ * \-#,##0_ ;_ * &quot;-&quot;??_ ;_ @_ ">
                        <c:v>7224</c:v>
                      </c:pt>
                    </c:numCache>
                  </c:numRef>
                </c:val>
                <c:extLst>
                  <c:ext xmlns:c16="http://schemas.microsoft.com/office/drawing/2014/chart" uri="{C3380CC4-5D6E-409C-BE32-E72D297353CC}">
                    <c16:uniqueId val="{00000003-D8B5-419D-B6CB-91044763BD69}"/>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Sheet7!$D$3:$D$4</c15:sqref>
                        </c15:formulaRef>
                      </c:ext>
                    </c:extLst>
                    <c:strCache>
                      <c:ptCount val="2"/>
                      <c:pt idx="0">
                        <c:v>NSE</c:v>
                      </c:pt>
                      <c:pt idx="1">
                        <c:v>No. of Trades</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Sheet7!$A$5:$A$19</c15:sqref>
                        </c15:formulaRef>
                      </c:ext>
                    </c:extLst>
                    <c:strCache>
                      <c:ptCount val="12"/>
                      <c:pt idx="0">
                        <c:v>Nov-20</c:v>
                      </c:pt>
                      <c:pt idx="1">
                        <c:v>Dec-20</c:v>
                      </c:pt>
                      <c:pt idx="2">
                        <c:v>Jan-21</c:v>
                      </c:pt>
                      <c:pt idx="3">
                        <c:v>Feb-21</c:v>
                      </c:pt>
                      <c:pt idx="4">
                        <c:v>Mar-21</c:v>
                      </c:pt>
                      <c:pt idx="5">
                        <c:v>Apr-21</c:v>
                      </c:pt>
                      <c:pt idx="6">
                        <c:v>May-21</c:v>
                      </c:pt>
                      <c:pt idx="7">
                        <c:v>Jun-21</c:v>
                      </c:pt>
                      <c:pt idx="8">
                        <c:v>Jul-21</c:v>
                      </c:pt>
                      <c:pt idx="9">
                        <c:v>Aug-21</c:v>
                      </c:pt>
                      <c:pt idx="10">
                        <c:v>Sep-21</c:v>
                      </c:pt>
                      <c:pt idx="11">
                        <c:v>Oct-21</c:v>
                      </c:pt>
                    </c:strCache>
                  </c:strRef>
                </c:cat>
                <c:val>
                  <c:numRef>
                    <c:extLst xmlns:c15="http://schemas.microsoft.com/office/drawing/2012/chart">
                      <c:ext xmlns:c15="http://schemas.microsoft.com/office/drawing/2012/chart" uri="{02D57815-91ED-43cb-92C2-25804820EDAC}">
                        <c15:formulaRef>
                          <c15:sqref>Sheet7!$D$5:$D$19</c15:sqref>
                        </c15:formulaRef>
                      </c:ext>
                    </c:extLst>
                    <c:numCache>
                      <c:formatCode>#,##0;\-#,##0;0</c:formatCode>
                      <c:ptCount val="12"/>
                      <c:pt idx="0">
                        <c:v>4860</c:v>
                      </c:pt>
                      <c:pt idx="1">
                        <c:v>5719</c:v>
                      </c:pt>
                      <c:pt idx="2">
                        <c:v>5221</c:v>
                      </c:pt>
                      <c:pt idx="3">
                        <c:v>4826</c:v>
                      </c:pt>
                      <c:pt idx="4">
                        <c:v>7103</c:v>
                      </c:pt>
                      <c:pt idx="5">
                        <c:v>4940</c:v>
                      </c:pt>
                      <c:pt idx="6">
                        <c:v>4925</c:v>
                      </c:pt>
                      <c:pt idx="7">
                        <c:v>5665</c:v>
                      </c:pt>
                      <c:pt idx="8">
                        <c:v>5099</c:v>
                      </c:pt>
                      <c:pt idx="9">
                        <c:v>5758</c:v>
                      </c:pt>
                      <c:pt idx="10">
                        <c:v>6038</c:v>
                      </c:pt>
                      <c:pt idx="11" formatCode="_ * #,##0_ ;_ * \-#,##0_ ;_ * &quot;-&quot;??_ ;_ @_ ">
                        <c:v>5423</c:v>
                      </c:pt>
                    </c:numCache>
                  </c:numRef>
                </c:val>
                <c:extLst xmlns:c15="http://schemas.microsoft.com/office/drawing/2012/chart">
                  <c:ext xmlns:c16="http://schemas.microsoft.com/office/drawing/2014/chart" uri="{C3380CC4-5D6E-409C-BE32-E72D297353CC}">
                    <c16:uniqueId val="{00000004-D8B5-419D-B6CB-91044763BD69}"/>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Sheet7!$F$3:$F$4</c15:sqref>
                        </c15:formulaRef>
                      </c:ext>
                    </c:extLst>
                    <c:strCache>
                      <c:ptCount val="2"/>
                      <c:pt idx="0">
                        <c:v>MSEI</c:v>
                      </c:pt>
                      <c:pt idx="1">
                        <c:v>No. of Trades</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Sheet7!$A$5:$A$19</c15:sqref>
                        </c15:formulaRef>
                      </c:ext>
                    </c:extLst>
                    <c:strCache>
                      <c:ptCount val="12"/>
                      <c:pt idx="0">
                        <c:v>Nov-20</c:v>
                      </c:pt>
                      <c:pt idx="1">
                        <c:v>Dec-20</c:v>
                      </c:pt>
                      <c:pt idx="2">
                        <c:v>Jan-21</c:v>
                      </c:pt>
                      <c:pt idx="3">
                        <c:v>Feb-21</c:v>
                      </c:pt>
                      <c:pt idx="4">
                        <c:v>Mar-21</c:v>
                      </c:pt>
                      <c:pt idx="5">
                        <c:v>Apr-21</c:v>
                      </c:pt>
                      <c:pt idx="6">
                        <c:v>May-21</c:v>
                      </c:pt>
                      <c:pt idx="7">
                        <c:v>Jun-21</c:v>
                      </c:pt>
                      <c:pt idx="8">
                        <c:v>Jul-21</c:v>
                      </c:pt>
                      <c:pt idx="9">
                        <c:v>Aug-21</c:v>
                      </c:pt>
                      <c:pt idx="10">
                        <c:v>Sep-21</c:v>
                      </c:pt>
                      <c:pt idx="11">
                        <c:v>Oct-21</c:v>
                      </c:pt>
                    </c:strCache>
                  </c:strRef>
                </c:cat>
                <c:val>
                  <c:numRef>
                    <c:extLst xmlns:c15="http://schemas.microsoft.com/office/drawing/2012/chart">
                      <c:ext xmlns:c15="http://schemas.microsoft.com/office/drawing/2012/chart" uri="{02D57815-91ED-43cb-92C2-25804820EDAC}">
                        <c15:formulaRef>
                          <c15:sqref>Sheet7!$F$5:$F$19</c15:sqref>
                        </c15:formulaRef>
                      </c:ext>
                    </c:extLst>
                    <c:numCache>
                      <c:formatCode>#,##0</c:formatCode>
                      <c:ptCount val="12"/>
                      <c:pt idx="0">
                        <c:v>0</c:v>
                      </c:pt>
                      <c:pt idx="1">
                        <c:v>0</c:v>
                      </c:pt>
                      <c:pt idx="2">
                        <c:v>0</c:v>
                      </c:pt>
                      <c:pt idx="3">
                        <c:v>0</c:v>
                      </c:pt>
                      <c:pt idx="4">
                        <c:v>0</c:v>
                      </c:pt>
                      <c:pt idx="5">
                        <c:v>0</c:v>
                      </c:pt>
                      <c:pt idx="6">
                        <c:v>0</c:v>
                      </c:pt>
                      <c:pt idx="7">
                        <c:v>0</c:v>
                      </c:pt>
                      <c:pt idx="8">
                        <c:v>0</c:v>
                      </c:pt>
                      <c:pt idx="9">
                        <c:v>0</c:v>
                      </c:pt>
                      <c:pt idx="10">
                        <c:v>0</c:v>
                      </c:pt>
                      <c:pt idx="11" formatCode="_ * #,##0_ ;_ * \-#,##0_ ;_ * &quot;-&quot;??_ ;_ @_ ">
                        <c:v>0</c:v>
                      </c:pt>
                    </c:numCache>
                  </c:numRef>
                </c:val>
                <c:extLst xmlns:c15="http://schemas.microsoft.com/office/drawing/2012/chart">
                  <c:ext xmlns:c16="http://schemas.microsoft.com/office/drawing/2014/chart" uri="{C3380CC4-5D6E-409C-BE32-E72D297353CC}">
                    <c16:uniqueId val="{00000005-D8B5-419D-B6CB-91044763BD69}"/>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Sheet7!$G$3:$G$4</c15:sqref>
                        </c15:formulaRef>
                      </c:ext>
                    </c:extLst>
                    <c:strCache>
                      <c:ptCount val="2"/>
                      <c:pt idx="0">
                        <c:v>MSEI</c:v>
                      </c:pt>
                      <c:pt idx="1">
                        <c:v>Traded Value (₹crore)</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Sheet7!$A$5:$A$19</c15:sqref>
                        </c15:formulaRef>
                      </c:ext>
                    </c:extLst>
                    <c:strCache>
                      <c:ptCount val="12"/>
                      <c:pt idx="0">
                        <c:v>Nov-20</c:v>
                      </c:pt>
                      <c:pt idx="1">
                        <c:v>Dec-20</c:v>
                      </c:pt>
                      <c:pt idx="2">
                        <c:v>Jan-21</c:v>
                      </c:pt>
                      <c:pt idx="3">
                        <c:v>Feb-21</c:v>
                      </c:pt>
                      <c:pt idx="4">
                        <c:v>Mar-21</c:v>
                      </c:pt>
                      <c:pt idx="5">
                        <c:v>Apr-21</c:v>
                      </c:pt>
                      <c:pt idx="6">
                        <c:v>May-21</c:v>
                      </c:pt>
                      <c:pt idx="7">
                        <c:v>Jun-21</c:v>
                      </c:pt>
                      <c:pt idx="8">
                        <c:v>Jul-21</c:v>
                      </c:pt>
                      <c:pt idx="9">
                        <c:v>Aug-21</c:v>
                      </c:pt>
                      <c:pt idx="10">
                        <c:v>Sep-21</c:v>
                      </c:pt>
                      <c:pt idx="11">
                        <c:v>Oct-21</c:v>
                      </c:pt>
                    </c:strCache>
                  </c:strRef>
                </c:cat>
                <c:val>
                  <c:numRef>
                    <c:extLst xmlns:c15="http://schemas.microsoft.com/office/drawing/2012/chart">
                      <c:ext xmlns:c15="http://schemas.microsoft.com/office/drawing/2012/chart" uri="{02D57815-91ED-43cb-92C2-25804820EDAC}">
                        <c15:formulaRef>
                          <c15:sqref>Sheet7!$G$5:$G$19</c15:sqref>
                        </c15:formulaRef>
                      </c:ext>
                    </c:extLst>
                    <c:numCache>
                      <c:formatCode>#,##0</c:formatCode>
                      <c:ptCount val="12"/>
                      <c:pt idx="0">
                        <c:v>0</c:v>
                      </c:pt>
                      <c:pt idx="1">
                        <c:v>0</c:v>
                      </c:pt>
                      <c:pt idx="2">
                        <c:v>0</c:v>
                      </c:pt>
                      <c:pt idx="3">
                        <c:v>0</c:v>
                      </c:pt>
                      <c:pt idx="4">
                        <c:v>0</c:v>
                      </c:pt>
                      <c:pt idx="5">
                        <c:v>0</c:v>
                      </c:pt>
                      <c:pt idx="6">
                        <c:v>0</c:v>
                      </c:pt>
                      <c:pt idx="7">
                        <c:v>0</c:v>
                      </c:pt>
                      <c:pt idx="8">
                        <c:v>0</c:v>
                      </c:pt>
                      <c:pt idx="9" formatCode="#,##0;\-#,##0;0">
                        <c:v>0</c:v>
                      </c:pt>
                      <c:pt idx="10" formatCode="#,##0;\-#,##0;0">
                        <c:v>0</c:v>
                      </c:pt>
                      <c:pt idx="11" formatCode="_ * #,##0_ ;_ * \-#,##0_ ;_ * &quot;-&quot;??_ ;_ @_ ">
                        <c:v>0</c:v>
                      </c:pt>
                    </c:numCache>
                  </c:numRef>
                </c:val>
                <c:extLst xmlns:c15="http://schemas.microsoft.com/office/drawing/2012/chart">
                  <c:ext xmlns:c16="http://schemas.microsoft.com/office/drawing/2014/chart" uri="{C3380CC4-5D6E-409C-BE32-E72D297353CC}">
                    <c16:uniqueId val="{00000006-D8B5-419D-B6CB-91044763BD69}"/>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Sheet7!$H$3:$H$4</c15:sqref>
                        </c15:formulaRef>
                      </c:ext>
                    </c:extLst>
                    <c:strCache>
                      <c:ptCount val="2"/>
                      <c:pt idx="0">
                        <c:v>Total</c:v>
                      </c:pt>
                      <c:pt idx="1">
                        <c:v>No. of Trades</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Sheet7!$A$5:$A$19</c15:sqref>
                        </c15:formulaRef>
                      </c:ext>
                    </c:extLst>
                    <c:strCache>
                      <c:ptCount val="12"/>
                      <c:pt idx="0">
                        <c:v>Nov-20</c:v>
                      </c:pt>
                      <c:pt idx="1">
                        <c:v>Dec-20</c:v>
                      </c:pt>
                      <c:pt idx="2">
                        <c:v>Jan-21</c:v>
                      </c:pt>
                      <c:pt idx="3">
                        <c:v>Feb-21</c:v>
                      </c:pt>
                      <c:pt idx="4">
                        <c:v>Mar-21</c:v>
                      </c:pt>
                      <c:pt idx="5">
                        <c:v>Apr-21</c:v>
                      </c:pt>
                      <c:pt idx="6">
                        <c:v>May-21</c:v>
                      </c:pt>
                      <c:pt idx="7">
                        <c:v>Jun-21</c:v>
                      </c:pt>
                      <c:pt idx="8">
                        <c:v>Jul-21</c:v>
                      </c:pt>
                      <c:pt idx="9">
                        <c:v>Aug-21</c:v>
                      </c:pt>
                      <c:pt idx="10">
                        <c:v>Sep-21</c:v>
                      </c:pt>
                      <c:pt idx="11">
                        <c:v>Oct-21</c:v>
                      </c:pt>
                    </c:strCache>
                  </c:strRef>
                </c:cat>
                <c:val>
                  <c:numRef>
                    <c:extLst xmlns:c15="http://schemas.microsoft.com/office/drawing/2012/chart">
                      <c:ext xmlns:c15="http://schemas.microsoft.com/office/drawing/2012/chart" uri="{02D57815-91ED-43cb-92C2-25804820EDAC}">
                        <c15:formulaRef>
                          <c15:sqref>Sheet7!$H$5:$H$19</c15:sqref>
                        </c15:formulaRef>
                      </c:ext>
                    </c:extLst>
                    <c:numCache>
                      <c:formatCode>#,##0</c:formatCode>
                      <c:ptCount val="12"/>
                      <c:pt idx="0">
                        <c:v>9773</c:v>
                      </c:pt>
                      <c:pt idx="1">
                        <c:v>12215</c:v>
                      </c:pt>
                      <c:pt idx="2">
                        <c:v>10758</c:v>
                      </c:pt>
                      <c:pt idx="3">
                        <c:v>10472</c:v>
                      </c:pt>
                      <c:pt idx="4">
                        <c:v>15472</c:v>
                      </c:pt>
                      <c:pt idx="5">
                        <c:v>12176</c:v>
                      </c:pt>
                      <c:pt idx="6">
                        <c:v>11184</c:v>
                      </c:pt>
                      <c:pt idx="7">
                        <c:v>13672</c:v>
                      </c:pt>
                      <c:pt idx="8">
                        <c:v>11844</c:v>
                      </c:pt>
                      <c:pt idx="9" formatCode="#,##0;\-#,##0;0">
                        <c:v>13114</c:v>
                      </c:pt>
                      <c:pt idx="10" formatCode="#,##0;\-#,##0;0">
                        <c:v>13924</c:v>
                      </c:pt>
                      <c:pt idx="11" formatCode="_ * #,##0_ ;_ * \-#,##0_ ;_ * &quot;-&quot;??_ ;_ @_ ">
                        <c:v>12647</c:v>
                      </c:pt>
                    </c:numCache>
                  </c:numRef>
                </c:val>
                <c:extLst xmlns:c15="http://schemas.microsoft.com/office/drawing/2012/chart">
                  <c:ext xmlns:c16="http://schemas.microsoft.com/office/drawing/2014/chart" uri="{C3380CC4-5D6E-409C-BE32-E72D297353CC}">
                    <c16:uniqueId val="{00000007-D8B5-419D-B6CB-91044763BD69}"/>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Sheet7!$I$3:$I$4</c15:sqref>
                        </c15:formulaRef>
                      </c:ext>
                    </c:extLst>
                    <c:strCache>
                      <c:ptCount val="2"/>
                      <c:pt idx="0">
                        <c:v>Total</c:v>
                      </c:pt>
                      <c:pt idx="1">
                        <c:v>Traded Value (₹crore)</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Sheet7!$A$5:$A$19</c15:sqref>
                        </c15:formulaRef>
                      </c:ext>
                    </c:extLst>
                    <c:strCache>
                      <c:ptCount val="12"/>
                      <c:pt idx="0">
                        <c:v>Nov-20</c:v>
                      </c:pt>
                      <c:pt idx="1">
                        <c:v>Dec-20</c:v>
                      </c:pt>
                      <c:pt idx="2">
                        <c:v>Jan-21</c:v>
                      </c:pt>
                      <c:pt idx="3">
                        <c:v>Feb-21</c:v>
                      </c:pt>
                      <c:pt idx="4">
                        <c:v>Mar-21</c:v>
                      </c:pt>
                      <c:pt idx="5">
                        <c:v>Apr-21</c:v>
                      </c:pt>
                      <c:pt idx="6">
                        <c:v>May-21</c:v>
                      </c:pt>
                      <c:pt idx="7">
                        <c:v>Jun-21</c:v>
                      </c:pt>
                      <c:pt idx="8">
                        <c:v>Jul-21</c:v>
                      </c:pt>
                      <c:pt idx="9">
                        <c:v>Aug-21</c:v>
                      </c:pt>
                      <c:pt idx="10">
                        <c:v>Sep-21</c:v>
                      </c:pt>
                      <c:pt idx="11">
                        <c:v>Oct-21</c:v>
                      </c:pt>
                    </c:strCache>
                  </c:strRef>
                </c:cat>
                <c:val>
                  <c:numRef>
                    <c:extLst xmlns:c15="http://schemas.microsoft.com/office/drawing/2012/chart">
                      <c:ext xmlns:c15="http://schemas.microsoft.com/office/drawing/2012/chart" uri="{02D57815-91ED-43cb-92C2-25804820EDAC}">
                        <c15:formulaRef>
                          <c15:sqref>Sheet7!$I$5:$I$19</c15:sqref>
                        </c15:formulaRef>
                      </c:ext>
                    </c:extLst>
                    <c:numCache>
                      <c:formatCode>#,##0</c:formatCode>
                      <c:ptCount val="12"/>
                      <c:pt idx="0">
                        <c:v>114920.633224302</c:v>
                      </c:pt>
                      <c:pt idx="1">
                        <c:v>111500.16000000002</c:v>
                      </c:pt>
                      <c:pt idx="2">
                        <c:v>132003.22552429</c:v>
                      </c:pt>
                      <c:pt idx="3">
                        <c:v>119099.35999999999</c:v>
                      </c:pt>
                      <c:pt idx="4">
                        <c:v>159444.24999999997</c:v>
                      </c:pt>
                      <c:pt idx="5">
                        <c:v>151881.3131</c:v>
                      </c:pt>
                      <c:pt idx="6">
                        <c:v>134059.70000000001</c:v>
                      </c:pt>
                      <c:pt idx="7">
                        <c:v>153315.01999999999</c:v>
                      </c:pt>
                      <c:pt idx="8">
                        <c:v>115076.97930000001</c:v>
                      </c:pt>
                      <c:pt idx="9" formatCode="#,##0;\-#,##0;0">
                        <c:v>144216.49</c:v>
                      </c:pt>
                      <c:pt idx="10" formatCode="#,##0;\-#,##0;0">
                        <c:v>190740.68700000001</c:v>
                      </c:pt>
                      <c:pt idx="11" formatCode="_ * #,##0_ ;_ * \-#,##0_ ;_ * &quot;-&quot;??_ ;_ @_ ">
                        <c:v>146276.62</c:v>
                      </c:pt>
                    </c:numCache>
                  </c:numRef>
                </c:val>
                <c:extLst xmlns:c15="http://schemas.microsoft.com/office/drawing/2012/chart">
                  <c:ext xmlns:c16="http://schemas.microsoft.com/office/drawing/2014/chart" uri="{C3380CC4-5D6E-409C-BE32-E72D297353CC}">
                    <c16:uniqueId val="{00000008-D8B5-419D-B6CB-91044763BD69}"/>
                  </c:ext>
                </c:extLst>
              </c15:ser>
            </c15:filteredBarSeries>
          </c:ext>
        </c:extLst>
      </c:barChart>
      <c:catAx>
        <c:axId val="567799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crossAx val="559034080"/>
        <c:crosses val="autoZero"/>
        <c:auto val="1"/>
        <c:lblAlgn val="ctr"/>
        <c:lblOffset val="100"/>
        <c:noMultiLvlLbl val="1"/>
      </c:catAx>
      <c:valAx>
        <c:axId val="559034080"/>
        <c:scaling>
          <c:orientation val="minMax"/>
          <c:min val="30000"/>
        </c:scaling>
        <c:delete val="1"/>
        <c:axPos val="l"/>
        <c:numFmt formatCode="#,##0;\-#,##0;0" sourceLinked="1"/>
        <c:majorTickMark val="none"/>
        <c:minorTickMark val="none"/>
        <c:tickLblPos val="nextTo"/>
        <c:crossAx val="567799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0">
          <a:solidFill>
            <a:sysClr val="windowText" lastClr="000000"/>
          </a:solidFill>
          <a:latin typeface="Garamond" panose="02020404030301010803"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Klassify>
  <SNO>1</SNO>
  <KDate>2019-10-14 14:59:27</KDate>
  <Classification>SEBI-CONFIDENTIAL</Classification>
  <HostName>MUM0111832</HostName>
  <Domain_User>SEBINT/1832</Domain_User>
  <IPAdd>10.21.77.31</IPAdd>
  <FilePath>C:\Users\1832\Documents\Work_HO_DEPA\2019-20\Bulletin\October 2019\SEBI Bulletin October 2019 Issue.docx</FilePath>
  <KID>7427EA48EFCA637066619672483538</KID>
  <UniqueName/>
  <Suggested/>
  <Justification/>
</Klassify>
</file>

<file path=customXml/item2.xml><?xml version="1.0" encoding="utf-8"?>
<Klassify>
  <SNO>2</SNO>
  <KDate>2019-10-17 16:00:03</KDate>
  <Classification>SEBI-PUBLIC</Classification>
  <HostName>MUM0111515A</HostName>
  <Domain_User>SEBINT/1515</Domain_User>
  <IPAdd>10.21.53.15</IPAdd>
  <FilePath>E:\C Drive Data 19.12.2017\DEPA 2019\10. October 2019\SEBI Bulletin October 2019 Issue.docx</FilePath>
  <KID>7427EA48EFCA637066619672483538</KID>
  <UniqueName/>
  <Suggested/>
  <Justification/>
</Klassify>
</file>

<file path=customXml/item3.xml><?xml version="1.0" encoding="utf-8"?>
<Klassify>
  <SNO>6</SNO>
  <KDate>2021-03-04 13:03:23</KDate>
  <Classification>SEBI-PUBLIC</Classification>
  <HostName>MUM0111649</HostName>
  <Domain_User>SEBINT/1649</Domain_User>
  <IPAdd>10.88.99.116</IPAdd>
  <FilePath>C:\Users\1649\Desktop\Bulletin Feb 2021\Bulletin Files\Bulletin-February 2021 Revised.docx</FilePath>
  <KID>7427EA48EFCA637066619672483538</KID>
  <UniqueName/>
  <Suggested/>
  <Justification/>
</Klassify>
</file>

<file path=customXml/item4.xml><?xml version="1.0" encoding="utf-8"?>
<Klassify>
  <SNO>3</SNO>
  <KDate>2021-03-03 12:56:47</KDate>
  <Classification>SEBI-INTERNAL</Classification>
  <HostName>MUM0111564</HostName>
  <Domain_User>SEBINT/1564</Domain_User>
  <IPAdd>10.88.101.238</IPAdd>
  <FilePath>C:\Users\1564\AppData\Roaming\Klassify\47103\Bulletin-February 2021.docx</FilePath>
  <KID>7427EA48EFCA637066619672483538</KID>
</Klassify>
</file>

<file path=customXml/item5.xml>
</file>

<file path=customXml/item6.xml>
</file>

<file path=customXml/item7.xml>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74CF5-52D4-4685-80EC-6F1B86646A89}">
  <ds:schemaRefs/>
</ds:datastoreItem>
</file>

<file path=customXml/itemProps2.xml><?xml version="1.0" encoding="utf-8"?>
<ds:datastoreItem xmlns:ds="http://schemas.openxmlformats.org/officeDocument/2006/customXml" ds:itemID="{982F008C-5608-4977-B1FB-BF780A09BDC2}">
  <ds:schemaRefs/>
</ds:datastoreItem>
</file>

<file path=customXml/itemProps3.xml><?xml version="1.0" encoding="utf-8"?>
<ds:datastoreItem xmlns:ds="http://schemas.openxmlformats.org/officeDocument/2006/customXml" ds:itemID="{2C38164C-8094-471D-AC2C-77D018C8E0F2}">
  <ds:schemaRefs/>
</ds:datastoreItem>
</file>

<file path=customXml/itemProps4.xml><?xml version="1.0" encoding="utf-8"?>
<ds:datastoreItem xmlns:ds="http://schemas.openxmlformats.org/officeDocument/2006/customXml" ds:itemID="{D7543C77-5EBC-46F2-AC21-5D702358D3EF}">
  <ds:schemaRefs/>
</ds:datastoreItem>
</file>

<file path=customXml/itemProps5.xml><?xml version="1.0" encoding="utf-8"?>
<ds:datastoreItem xmlns:ds="http://schemas.openxmlformats.org/officeDocument/2006/customXml" ds:itemID="{FFFCDC47-2152-406C-A3E3-98A02192763B}"/>
</file>

<file path=customXml/itemProps6.xml><?xml version="1.0" encoding="utf-8"?>
<ds:datastoreItem xmlns:ds="http://schemas.openxmlformats.org/officeDocument/2006/customXml" ds:itemID="{F1A90E88-F8CE-47CC-B1F2-2802B9D4F2FE}"/>
</file>

<file path=customXml/itemProps7.xml><?xml version="1.0" encoding="utf-8"?>
<ds:datastoreItem xmlns:ds="http://schemas.openxmlformats.org/officeDocument/2006/customXml" ds:itemID="{8A5DE7B4-0207-485C-AD2D-76752FDBC33F}"/>
</file>

<file path=customXml/itemProps8.xml><?xml version="1.0" encoding="utf-8"?>
<ds:datastoreItem xmlns:ds="http://schemas.openxmlformats.org/officeDocument/2006/customXml" ds:itemID="{25752544-A17B-460F-8EAE-3BF60FFF7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20313</Words>
  <Characters>115788</Characters>
  <Application>Microsoft Office Word</Application>
  <DocSecurity>0</DocSecurity>
  <Lines>964</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Tathagata Biswas</dc:creator>
  <cp:keywords/>
  <dc:description/>
  <cp:lastModifiedBy>Nilima Karandikar</cp:lastModifiedBy>
  <cp:revision>2</cp:revision>
  <cp:lastPrinted>2021-09-22T10:08:00Z</cp:lastPrinted>
  <dcterms:created xsi:type="dcterms:W3CDTF">2021-11-29T11:28:00Z</dcterms:created>
  <dcterms:modified xsi:type="dcterms:W3CDTF">2021-11-29T11:28:00Z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ules">
    <vt:lpwstr/>
  </property>
  <property fmtid="{D5CDD505-2E9C-101B-9397-08002B2CF9AE}" pid="3" name="Classification">
    <vt:lpwstr>SEBI-PUBLIC</vt:lpwstr>
  </property>
  <property fmtid="{D5CDD505-2E9C-101B-9397-08002B2CF9AE}" pid="4" name="KID">
    <vt:lpwstr>7427EA48EFCA637066619672483538</vt:lpwstr>
  </property>
</Properties>
</file>